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87" w:rsidRDefault="00E01187" w:rsidP="003A003B">
      <w:pPr>
        <w:pStyle w:val="a8"/>
        <w:widowControl w:val="0"/>
        <w:spacing w:before="0" w:beforeAutospacing="0" w:afterLines="50" w:afterAutospacing="0" w:line="560" w:lineRule="exact"/>
        <w:jc w:val="center"/>
        <w:outlineLvl w:val="0"/>
        <w:rPr>
          <w:rFonts w:ascii="Times New Roman" w:eastAsia="方正小标宋_GBK" w:hAnsi="Times New Roman" w:cs="Times New Roman"/>
          <w:b/>
          <w:sz w:val="44"/>
          <w:szCs w:val="44"/>
        </w:rPr>
      </w:pPr>
      <w:bookmarkStart w:id="0" w:name="_Toc113267558"/>
      <w:r>
        <w:rPr>
          <w:rFonts w:ascii="Times New Roman" w:eastAsia="方正小标宋_GBK" w:hAnsi="Times New Roman" w:cs="Times New Roman"/>
          <w:b/>
          <w:sz w:val="44"/>
          <w:szCs w:val="44"/>
        </w:rPr>
        <w:t>彭水</w:t>
      </w:r>
      <w:r w:rsidR="003A003B">
        <w:rPr>
          <w:rFonts w:ascii="Times New Roman" w:eastAsia="方正小标宋_GBK" w:hAnsi="Times New Roman" w:cs="Times New Roman" w:hint="eastAsia"/>
          <w:b/>
          <w:sz w:val="44"/>
          <w:szCs w:val="44"/>
        </w:rPr>
        <w:t>苗族土家族</w:t>
      </w:r>
      <w:r>
        <w:rPr>
          <w:rFonts w:ascii="Times New Roman" w:eastAsia="方正小标宋_GBK" w:hAnsi="Times New Roman" w:cs="Times New Roman"/>
          <w:b/>
          <w:sz w:val="44"/>
          <w:szCs w:val="44"/>
        </w:rPr>
        <w:t>自治县交通信息与工程事务中心</w:t>
      </w:r>
      <w:r>
        <w:rPr>
          <w:rFonts w:ascii="Times New Roman" w:eastAsia="方正小标宋_GBK" w:hAnsi="Times New Roman" w:cs="Times New Roman"/>
          <w:b/>
          <w:sz w:val="44"/>
          <w:szCs w:val="44"/>
        </w:rPr>
        <w:t>2021</w:t>
      </w:r>
      <w:r>
        <w:rPr>
          <w:rFonts w:ascii="Times New Roman" w:eastAsia="方正小标宋_GBK" w:hAnsi="Times New Roman" w:cs="Times New Roman"/>
          <w:b/>
          <w:sz w:val="44"/>
          <w:szCs w:val="44"/>
        </w:rPr>
        <w:t>年度部门决算情况说明</w:t>
      </w:r>
      <w:bookmarkEnd w:id="0"/>
    </w:p>
    <w:p w:rsidR="003A003B" w:rsidRDefault="003A003B" w:rsidP="00E01187">
      <w:pPr>
        <w:pStyle w:val="a8"/>
        <w:widowControl w:val="0"/>
        <w:spacing w:before="0" w:beforeAutospacing="0" w:after="0" w:afterAutospacing="0" w:line="560" w:lineRule="exact"/>
        <w:ind w:firstLineChars="200" w:firstLine="643"/>
        <w:rPr>
          <w:rStyle w:val="15"/>
          <w:rFonts w:eastAsia="方正仿宋_GBK" w:hint="eastAsia"/>
          <w:sz w:val="32"/>
          <w:szCs w:val="32"/>
        </w:rPr>
      </w:pP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一、部门基本情况</w:t>
      </w:r>
    </w:p>
    <w:p w:rsidR="00E01187" w:rsidRDefault="00E01187" w:rsidP="00E01187">
      <w:pPr>
        <w:spacing w:line="560" w:lineRule="exact"/>
        <w:ind w:firstLineChars="200" w:firstLine="643"/>
        <w:jc w:val="left"/>
        <w:rPr>
          <w:rFonts w:eastAsia="方正仿宋_GBK"/>
          <w:sz w:val="32"/>
          <w:szCs w:val="32"/>
        </w:rPr>
      </w:pPr>
      <w:r>
        <w:rPr>
          <w:rStyle w:val="15"/>
          <w:rFonts w:eastAsia="方正仿宋_GBK"/>
          <w:sz w:val="32"/>
          <w:szCs w:val="32"/>
        </w:rPr>
        <w:t>（一）职能职责。</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承担交通运行监测、应急调度和交通工程质量安全监督管理相关辅助性、事务性、技术性等具体工作；承担组织实施交通信息化综合性应用项目和基础平台建设，监督全县公路工程质量和安全监督管理等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、负责交通运行状况（包括路网）的检测，承担交通应急通信保障，实施交通应急指令；采集交通信息资源，分析交通运行情况。</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、参与交通信息化项目规划、方案论证、系统设计等前期工作，负责审核项目可行性研究和初步设计文件，参与评估建成后的项目。</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、负责交通行业信息化硬软件的管理和登记，承担信息化运行维护考评工作，拟定信息化运行维护经费计划和预算。</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lastRenderedPageBreak/>
        <w:t>4</w:t>
      </w:r>
      <w:r>
        <w:rPr>
          <w:rFonts w:eastAsia="方正仿宋_GBK"/>
          <w:sz w:val="32"/>
          <w:szCs w:val="32"/>
        </w:rPr>
        <w:t>、组织实施交通信息化综合性应用项目和基础平台建设。</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、负责</w:t>
      </w:r>
      <w:r>
        <w:rPr>
          <w:rFonts w:eastAsia="方正仿宋_GBK"/>
          <w:sz w:val="32"/>
          <w:szCs w:val="32"/>
        </w:rPr>
        <w:t>96096</w:t>
      </w:r>
      <w:r>
        <w:rPr>
          <w:rFonts w:eastAsia="方正仿宋_GBK"/>
          <w:sz w:val="32"/>
          <w:szCs w:val="32"/>
        </w:rPr>
        <w:t>交通服务热线（</w:t>
      </w:r>
      <w:r>
        <w:rPr>
          <w:rFonts w:eastAsia="方正仿宋_GBK"/>
          <w:sz w:val="32"/>
          <w:szCs w:val="32"/>
        </w:rPr>
        <w:t>24</w:t>
      </w:r>
      <w:r>
        <w:rPr>
          <w:rFonts w:eastAsia="方正仿宋_GBK"/>
          <w:sz w:val="32"/>
          <w:szCs w:val="32"/>
        </w:rPr>
        <w:t>小时值守）、网站、微博的日常运行管理，承担交通出行信息发布工作；负责《彭水交通年鉴》《彭水交通志》的编辑工作，交通图文数据库和网络舆情监测工作。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、承担按工程现行技术规范、规程、定额和质量检查评定标准等对全县公路工程质量进行监督和安全监督管理的事务工作。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、承担公路工程建设项目设计，工程设计会审、审核工程开工报告的事务工作。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、承担办理公路工程质量监督手续和质量等级鉴定、工程竣工验收的事务工作。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9</w:t>
      </w:r>
      <w:r>
        <w:rPr>
          <w:rFonts w:eastAsia="方正仿宋_GBK"/>
          <w:sz w:val="32"/>
          <w:szCs w:val="32"/>
        </w:rPr>
        <w:t>、承担公路工程质量事故的调查处理的事务工作。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10</w:t>
      </w:r>
      <w:r>
        <w:rPr>
          <w:rFonts w:eastAsia="方正仿宋_GBK"/>
          <w:sz w:val="32"/>
          <w:szCs w:val="32"/>
        </w:rPr>
        <w:t>、承担交通工程技术人员业务培训的事务工作。</w:t>
      </w:r>
    </w:p>
    <w:p w:rsidR="00E01187" w:rsidRDefault="00E01187" w:rsidP="00E01187">
      <w:pPr>
        <w:spacing w:line="560" w:lineRule="exact"/>
        <w:ind w:firstLineChars="200" w:firstLine="616"/>
        <w:rPr>
          <w:rFonts w:eastAsia="方正仿宋_GBK"/>
          <w:spacing w:val="-6"/>
          <w:sz w:val="32"/>
          <w:szCs w:val="32"/>
        </w:rPr>
      </w:pPr>
      <w:r>
        <w:rPr>
          <w:rFonts w:eastAsia="方正仿宋_GBK"/>
          <w:spacing w:val="-6"/>
          <w:sz w:val="32"/>
          <w:szCs w:val="32"/>
        </w:rPr>
        <w:t>11</w:t>
      </w:r>
      <w:r>
        <w:rPr>
          <w:rFonts w:eastAsia="方正仿宋_GBK"/>
          <w:spacing w:val="-6"/>
          <w:sz w:val="32"/>
          <w:szCs w:val="32"/>
        </w:rPr>
        <w:t>、</w:t>
      </w:r>
      <w:r>
        <w:rPr>
          <w:rFonts w:eastAsia="方正仿宋_GBK"/>
          <w:sz w:val="32"/>
          <w:szCs w:val="32"/>
        </w:rPr>
        <w:t>承担公路建设项目投资估算、设计概算、施工图预算和上限价的审查的事务工作。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12</w:t>
      </w:r>
      <w:r>
        <w:rPr>
          <w:rFonts w:eastAsia="方正仿宋_GBK"/>
          <w:sz w:val="32"/>
          <w:szCs w:val="32"/>
        </w:rPr>
        <w:t>、承担测定和编制本县地方定额和部颁定额的补充和修订的事务工作。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13</w:t>
      </w:r>
      <w:r>
        <w:rPr>
          <w:rFonts w:eastAsia="方正仿宋_GBK"/>
          <w:sz w:val="32"/>
          <w:szCs w:val="32"/>
        </w:rPr>
        <w:t>、承担收集、整理、发布有关公路造价的法律法规和本县公路材料、信息，并定期发布造价信息，提供公路工程造价和定额的业务咨询服务等事务工作。</w:t>
      </w:r>
    </w:p>
    <w:p w:rsidR="00E01187" w:rsidRDefault="00E01187" w:rsidP="00E01187">
      <w:pPr>
        <w:spacing w:line="560" w:lineRule="exact"/>
        <w:ind w:firstLineChars="200" w:firstLine="640"/>
        <w:rPr>
          <w:rFonts w:eastAsia="方正仿宋_GBK"/>
          <w:sz w:val="32"/>
          <w:szCs w:val="32"/>
        </w:rPr>
      </w:pPr>
      <w:r>
        <w:rPr>
          <w:rFonts w:eastAsia="方正仿宋_GBK"/>
          <w:sz w:val="32"/>
          <w:szCs w:val="32"/>
        </w:rPr>
        <w:t>14</w:t>
      </w:r>
      <w:r>
        <w:rPr>
          <w:rFonts w:eastAsia="方正仿宋_GBK"/>
          <w:sz w:val="32"/>
          <w:szCs w:val="32"/>
        </w:rPr>
        <w:t>、完成主管部门交办的其他任务。</w:t>
      </w:r>
    </w:p>
    <w:p w:rsidR="00E01187" w:rsidRDefault="00E01187" w:rsidP="00E01187">
      <w:pPr>
        <w:pStyle w:val="a8"/>
        <w:widowControl w:val="0"/>
        <w:spacing w:before="0" w:beforeAutospacing="0" w:after="0" w:afterAutospacing="0" w:line="560" w:lineRule="exact"/>
        <w:ind w:firstLineChars="200" w:firstLine="643"/>
        <w:rPr>
          <w:rStyle w:val="15"/>
          <w:rFonts w:eastAsia="方正仿宋_GBK"/>
          <w:sz w:val="32"/>
          <w:szCs w:val="32"/>
        </w:rPr>
      </w:pPr>
      <w:r>
        <w:rPr>
          <w:rStyle w:val="15"/>
          <w:rFonts w:eastAsia="方正仿宋_GBK"/>
          <w:sz w:val="32"/>
          <w:szCs w:val="32"/>
        </w:rPr>
        <w:lastRenderedPageBreak/>
        <w:t>（二）机构设置。</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b/>
          <w:bCs/>
          <w:kern w:val="2"/>
          <w:sz w:val="32"/>
          <w:szCs w:val="32"/>
        </w:rPr>
      </w:pPr>
      <w:r>
        <w:rPr>
          <w:rFonts w:ascii="Times New Roman" w:eastAsia="方正仿宋_GBK" w:hAnsi="Times New Roman" w:cs="Times New Roman"/>
          <w:kern w:val="2"/>
          <w:sz w:val="32"/>
          <w:szCs w:val="32"/>
        </w:rPr>
        <w:t>彭水苗族土家族自治县交通信息与工程事务中心内设</w:t>
      </w:r>
      <w:r>
        <w:rPr>
          <w:rFonts w:ascii="Times New Roman" w:eastAsia="方正仿宋_GBK" w:hAnsi="Times New Roman" w:cs="Times New Roman"/>
          <w:bCs/>
          <w:sz w:val="32"/>
          <w:szCs w:val="32"/>
        </w:rPr>
        <w:t>监测调度科</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技术保障科</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工程事务科</w:t>
      </w:r>
      <w:r>
        <w:rPr>
          <w:rFonts w:ascii="Times New Roman" w:eastAsia="方正仿宋_GBK" w:hAnsi="Times New Roman" w:cs="Times New Roman"/>
          <w:kern w:val="2"/>
          <w:sz w:val="32"/>
          <w:szCs w:val="32"/>
        </w:rPr>
        <w:t>，共</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个科室。</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二、部门决算情况说明</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（一）收入支出决算总体情况说明</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1.</w:t>
      </w:r>
      <w:r>
        <w:rPr>
          <w:rStyle w:val="15"/>
          <w:rFonts w:eastAsia="方正仿宋_GBK"/>
          <w:sz w:val="32"/>
          <w:szCs w:val="32"/>
        </w:rPr>
        <w:t>总体情况。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年度当年收入</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元，支出总计</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万元。我单位今年开始独立报送决算，无上年数据对比。</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2.</w:t>
      </w:r>
      <w:r>
        <w:rPr>
          <w:rStyle w:val="15"/>
          <w:rFonts w:eastAsia="方正仿宋_GBK"/>
          <w:sz w:val="32"/>
          <w:szCs w:val="32"/>
        </w:rPr>
        <w:t>收入情况。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年度收入合计</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万元，我单位今年开始独立报送决算，无上年数据对比。本年度收入</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万元均为财政拨款收入。</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3.</w:t>
      </w:r>
      <w:r>
        <w:rPr>
          <w:rStyle w:val="15"/>
          <w:rFonts w:eastAsia="方正仿宋_GBK"/>
          <w:sz w:val="32"/>
          <w:szCs w:val="32"/>
        </w:rPr>
        <w:t>支出情况。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年度支出合计</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万元，全部为基本支出。我单位今年开始独立报送决算，无上年数据对比。</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4.</w:t>
      </w:r>
      <w:r>
        <w:rPr>
          <w:rStyle w:val="15"/>
          <w:rFonts w:eastAsia="方正仿宋_GBK"/>
          <w:sz w:val="32"/>
          <w:szCs w:val="32"/>
        </w:rPr>
        <w:t>结转结余情况。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年度无结转结余情况。</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2"/>
          <w:sz w:val="32"/>
          <w:szCs w:val="32"/>
        </w:rPr>
        <w:t>（二）</w:t>
      </w:r>
      <w:r>
        <w:rPr>
          <w:rFonts w:ascii="Times New Roman" w:eastAsia="方正仿宋_GBK" w:hAnsi="Times New Roman" w:cs="Times New Roman"/>
          <w:kern w:val="2"/>
          <w:sz w:val="32"/>
          <w:szCs w:val="32"/>
        </w:rPr>
        <w:t>、</w:t>
      </w:r>
      <w:r>
        <w:rPr>
          <w:rStyle w:val="15"/>
          <w:rFonts w:eastAsia="方正仿宋_GBK"/>
          <w:sz w:val="32"/>
          <w:szCs w:val="32"/>
        </w:rPr>
        <w:t>财政拨款收入支出决算总体情况说明</w:t>
      </w:r>
    </w:p>
    <w:p w:rsidR="00E01187" w:rsidRDefault="00E01187" w:rsidP="00E01187">
      <w:pPr>
        <w:pStyle w:val="a8"/>
        <w:widowControl w:val="0"/>
        <w:spacing w:before="0" w:beforeAutospacing="0" w:after="0" w:afterAutospacing="0" w:line="560" w:lineRule="exact"/>
        <w:ind w:leftChars="143" w:left="300" w:firstLineChars="200" w:firstLine="640"/>
        <w:rPr>
          <w:rFonts w:ascii="Times New Roman" w:eastAsia="方正仿宋_GBK" w:hAnsi="Times New Roman" w:cs="Times New Roman"/>
          <w:color w:val="000000"/>
          <w:kern w:val="2"/>
          <w:sz w:val="32"/>
          <w:szCs w:val="32"/>
        </w:rPr>
      </w:pPr>
      <w:r>
        <w:rPr>
          <w:rFonts w:ascii="Times New Roman" w:eastAsia="方正仿宋_GBK" w:hAnsi="Times New Roman" w:cs="Times New Roman"/>
          <w:color w:val="000000"/>
          <w:kern w:val="2"/>
          <w:sz w:val="32"/>
          <w:szCs w:val="32"/>
        </w:rPr>
        <w:t>2021</w:t>
      </w:r>
      <w:r>
        <w:rPr>
          <w:rFonts w:ascii="Times New Roman" w:eastAsia="方正仿宋_GBK" w:hAnsi="Times New Roman" w:cs="Times New Roman"/>
          <w:color w:val="000000"/>
          <w:kern w:val="2"/>
          <w:sz w:val="32"/>
          <w:szCs w:val="32"/>
        </w:rPr>
        <w:t>年度财政拨款收、支均为</w:t>
      </w:r>
      <w:r>
        <w:rPr>
          <w:rFonts w:ascii="Times New Roman" w:eastAsia="方正仿宋_GBK" w:hAnsi="Times New Roman" w:cs="Times New Roman"/>
          <w:color w:val="000000"/>
          <w:kern w:val="2"/>
          <w:sz w:val="32"/>
          <w:szCs w:val="32"/>
        </w:rPr>
        <w:t>176.44</w:t>
      </w:r>
      <w:r>
        <w:rPr>
          <w:rFonts w:ascii="Times New Roman" w:eastAsia="方正仿宋_GBK" w:hAnsi="Times New Roman" w:cs="Times New Roman"/>
          <w:color w:val="000000"/>
          <w:kern w:val="2"/>
          <w:sz w:val="32"/>
          <w:szCs w:val="32"/>
        </w:rPr>
        <w:t>万元。较年初预算数增加</w:t>
      </w:r>
      <w:r>
        <w:rPr>
          <w:rFonts w:ascii="Times New Roman" w:eastAsia="方正仿宋_GBK" w:hAnsi="Times New Roman" w:cs="Times New Roman"/>
          <w:color w:val="000000"/>
          <w:kern w:val="2"/>
          <w:sz w:val="32"/>
          <w:szCs w:val="32"/>
        </w:rPr>
        <w:t>12.74</w:t>
      </w:r>
      <w:r>
        <w:rPr>
          <w:rFonts w:ascii="Times New Roman" w:eastAsia="方正仿宋_GBK" w:hAnsi="Times New Roman" w:cs="Times New Roman"/>
          <w:color w:val="000000"/>
          <w:kern w:val="2"/>
          <w:sz w:val="32"/>
          <w:szCs w:val="32"/>
        </w:rPr>
        <w:t>万元，增长</w:t>
      </w:r>
      <w:r>
        <w:rPr>
          <w:rFonts w:ascii="Times New Roman" w:eastAsia="方正仿宋_GBK" w:hAnsi="Times New Roman" w:cs="Times New Roman"/>
          <w:color w:val="000000"/>
          <w:kern w:val="2"/>
          <w:sz w:val="32"/>
          <w:szCs w:val="32"/>
        </w:rPr>
        <w:t>7.8%</w:t>
      </w:r>
      <w:r>
        <w:rPr>
          <w:rFonts w:ascii="Times New Roman" w:eastAsia="方正仿宋_GBK" w:hAnsi="Times New Roman" w:cs="Times New Roman"/>
          <w:color w:val="000000"/>
          <w:kern w:val="2"/>
          <w:sz w:val="32"/>
          <w:szCs w:val="32"/>
        </w:rPr>
        <w:t>，主要</w:t>
      </w:r>
      <w:r>
        <w:rPr>
          <w:rFonts w:ascii="Times New Roman" w:eastAsia="方正仿宋_GBK" w:hAnsi="Times New Roman" w:cs="Times New Roman"/>
          <w:color w:val="000000"/>
          <w:kern w:val="2"/>
          <w:sz w:val="32"/>
          <w:szCs w:val="32"/>
        </w:rPr>
        <w:lastRenderedPageBreak/>
        <w:t>是因为增加了退休人员健康疗养费；增加了在职人员的工资和目标考核奖。</w:t>
      </w:r>
      <w:r>
        <w:rPr>
          <w:rFonts w:ascii="Times New Roman" w:eastAsia="方正仿宋_GBK" w:hAnsi="Times New Roman" w:cs="Times New Roman"/>
          <w:kern w:val="2"/>
          <w:sz w:val="32"/>
          <w:szCs w:val="32"/>
        </w:rPr>
        <w:t>我单位今年开始独立报送决算，无上年数据对比</w:t>
      </w:r>
      <w:r>
        <w:rPr>
          <w:rFonts w:ascii="Times New Roman" w:eastAsia="方正仿宋_GBK" w:hAnsi="Times New Roman" w:cs="Times New Roman"/>
          <w:color w:val="000000"/>
          <w:kern w:val="2"/>
          <w:sz w:val="32"/>
          <w:szCs w:val="32"/>
        </w:rPr>
        <w:t>。</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（三）一般公共预算财政拨款支出决算情况说明</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1.</w:t>
      </w:r>
      <w:r>
        <w:rPr>
          <w:rStyle w:val="15"/>
          <w:rFonts w:eastAsia="方正仿宋_GBK"/>
          <w:sz w:val="32"/>
          <w:szCs w:val="32"/>
        </w:rPr>
        <w:t>收入情况。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年度一般公共预算财政拨款收入</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万元，较年</w:t>
      </w:r>
      <w:r>
        <w:rPr>
          <w:rFonts w:ascii="Times New Roman" w:eastAsia="方正仿宋_GBK" w:hAnsi="Times New Roman" w:cs="Times New Roman"/>
          <w:color w:val="000000"/>
          <w:kern w:val="2"/>
          <w:sz w:val="32"/>
          <w:szCs w:val="32"/>
        </w:rPr>
        <w:t>初预算数增加</w:t>
      </w:r>
      <w:r>
        <w:rPr>
          <w:rFonts w:ascii="Times New Roman" w:eastAsia="方正仿宋_GBK" w:hAnsi="Times New Roman" w:cs="Times New Roman"/>
          <w:color w:val="000000"/>
          <w:kern w:val="2"/>
          <w:sz w:val="32"/>
          <w:szCs w:val="32"/>
        </w:rPr>
        <w:t>12.74</w:t>
      </w:r>
      <w:r>
        <w:rPr>
          <w:rFonts w:ascii="Times New Roman" w:eastAsia="方正仿宋_GBK" w:hAnsi="Times New Roman" w:cs="Times New Roman"/>
          <w:color w:val="000000"/>
          <w:kern w:val="2"/>
          <w:sz w:val="32"/>
          <w:szCs w:val="32"/>
        </w:rPr>
        <w:t>万元，</w:t>
      </w:r>
      <w:r>
        <w:rPr>
          <w:rFonts w:ascii="Times New Roman" w:eastAsia="方正仿宋_GBK" w:hAnsi="Times New Roman" w:cs="Times New Roman"/>
          <w:kern w:val="2"/>
          <w:sz w:val="32"/>
          <w:szCs w:val="32"/>
        </w:rPr>
        <w:t>增长</w:t>
      </w:r>
      <w:r>
        <w:rPr>
          <w:rFonts w:ascii="Times New Roman" w:eastAsia="方正仿宋_GBK" w:hAnsi="Times New Roman" w:cs="Times New Roman"/>
          <w:kern w:val="2"/>
          <w:sz w:val="32"/>
          <w:szCs w:val="32"/>
        </w:rPr>
        <w:t>7.8%</w:t>
      </w:r>
      <w:r>
        <w:rPr>
          <w:rFonts w:ascii="Times New Roman" w:eastAsia="方正仿宋_GBK" w:hAnsi="Times New Roman" w:cs="Times New Roman"/>
          <w:kern w:val="2"/>
          <w:sz w:val="32"/>
          <w:szCs w:val="32"/>
        </w:rPr>
        <w:t>。主要原因是</w:t>
      </w:r>
      <w:r>
        <w:rPr>
          <w:rFonts w:ascii="Times New Roman" w:eastAsia="方正仿宋_GBK" w:hAnsi="Times New Roman" w:cs="Times New Roman"/>
          <w:color w:val="000000"/>
          <w:kern w:val="2"/>
          <w:sz w:val="32"/>
          <w:szCs w:val="32"/>
        </w:rPr>
        <w:t>增加了退休人员健康疗养费；增加了在职人员的工资和目标考核奖</w:t>
      </w:r>
      <w:r>
        <w:rPr>
          <w:rFonts w:ascii="Times New Roman" w:eastAsia="方正仿宋_GBK" w:hAnsi="Times New Roman" w:cs="Times New Roman"/>
          <w:kern w:val="2"/>
          <w:sz w:val="32"/>
          <w:szCs w:val="32"/>
        </w:rPr>
        <w:t>。我单位今年开始独立报送决算，无上年数据对比。</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2.</w:t>
      </w:r>
      <w:r>
        <w:rPr>
          <w:rStyle w:val="15"/>
          <w:rFonts w:eastAsia="方正仿宋_GBK"/>
          <w:sz w:val="32"/>
          <w:szCs w:val="32"/>
        </w:rPr>
        <w:t>支出情况。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年度一般公共预算财政拨款支出</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万元，较</w:t>
      </w:r>
      <w:r>
        <w:rPr>
          <w:rFonts w:ascii="Times New Roman" w:eastAsia="方正仿宋_GBK" w:hAnsi="Times New Roman" w:cs="Times New Roman"/>
          <w:color w:val="000000"/>
          <w:kern w:val="2"/>
          <w:sz w:val="32"/>
          <w:szCs w:val="32"/>
        </w:rPr>
        <w:t>年初预算数增加</w:t>
      </w:r>
      <w:r>
        <w:rPr>
          <w:rFonts w:ascii="Times New Roman" w:eastAsia="方正仿宋_GBK" w:hAnsi="Times New Roman" w:cs="Times New Roman"/>
          <w:color w:val="000000"/>
          <w:kern w:val="2"/>
          <w:sz w:val="32"/>
          <w:szCs w:val="32"/>
        </w:rPr>
        <w:t>12.74</w:t>
      </w:r>
      <w:r>
        <w:rPr>
          <w:rFonts w:ascii="Times New Roman" w:eastAsia="方正仿宋_GBK" w:hAnsi="Times New Roman" w:cs="Times New Roman"/>
          <w:color w:val="000000"/>
          <w:kern w:val="2"/>
          <w:sz w:val="32"/>
          <w:szCs w:val="32"/>
        </w:rPr>
        <w:t>万元，增</w:t>
      </w:r>
      <w:r>
        <w:rPr>
          <w:rFonts w:ascii="Times New Roman" w:eastAsia="方正仿宋_GBK" w:hAnsi="Times New Roman" w:cs="Times New Roman"/>
          <w:kern w:val="2"/>
          <w:sz w:val="32"/>
          <w:szCs w:val="32"/>
        </w:rPr>
        <w:t>长</w:t>
      </w:r>
      <w:r>
        <w:rPr>
          <w:rFonts w:ascii="Times New Roman" w:eastAsia="方正仿宋_GBK" w:hAnsi="Times New Roman" w:cs="Times New Roman"/>
          <w:kern w:val="2"/>
          <w:sz w:val="32"/>
          <w:szCs w:val="32"/>
        </w:rPr>
        <w:t>7.8%</w:t>
      </w:r>
      <w:r>
        <w:rPr>
          <w:rFonts w:ascii="Times New Roman" w:eastAsia="方正仿宋_GBK" w:hAnsi="Times New Roman" w:cs="Times New Roman"/>
          <w:kern w:val="2"/>
          <w:sz w:val="32"/>
          <w:szCs w:val="32"/>
        </w:rPr>
        <w:t>。主要原因是</w:t>
      </w:r>
      <w:r>
        <w:rPr>
          <w:rFonts w:ascii="Times New Roman" w:eastAsia="方正仿宋_GBK" w:hAnsi="Times New Roman" w:cs="Times New Roman"/>
          <w:color w:val="000000"/>
          <w:kern w:val="2"/>
          <w:sz w:val="32"/>
          <w:szCs w:val="32"/>
        </w:rPr>
        <w:t>增加了退休人员健康疗养费；增加了在职人员的工资和目标考核奖</w:t>
      </w:r>
      <w:r>
        <w:rPr>
          <w:rFonts w:ascii="Times New Roman" w:eastAsia="方正仿宋_GBK" w:hAnsi="Times New Roman" w:cs="Times New Roman"/>
          <w:kern w:val="2"/>
          <w:sz w:val="32"/>
          <w:szCs w:val="32"/>
        </w:rPr>
        <w:t>。我单位今年开始独立报送决算，无上年数据对比。</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3.</w:t>
      </w:r>
      <w:r>
        <w:rPr>
          <w:rStyle w:val="15"/>
          <w:rFonts w:eastAsia="方正仿宋_GBK"/>
          <w:sz w:val="32"/>
          <w:szCs w:val="32"/>
        </w:rPr>
        <w:t>结转结余情况。</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年度无结转结余情况</w:t>
      </w:r>
      <w:r>
        <w:rPr>
          <w:rFonts w:ascii="Times New Roman" w:eastAsia="方正仿宋_GBK" w:hAnsi="Times New Roman" w:cs="Times New Roman"/>
          <w:color w:val="FF0000"/>
          <w:kern w:val="2"/>
          <w:sz w:val="32"/>
          <w:szCs w:val="32"/>
        </w:rPr>
        <w:t>。</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4.</w:t>
      </w:r>
      <w:r>
        <w:rPr>
          <w:rStyle w:val="15"/>
          <w:rFonts w:eastAsia="方正仿宋_GBK"/>
          <w:sz w:val="32"/>
          <w:szCs w:val="32"/>
        </w:rPr>
        <w:t>比较情况。</w:t>
      </w:r>
      <w:r>
        <w:rPr>
          <w:rFonts w:ascii="Times New Roman" w:eastAsia="方正仿宋_GBK" w:hAnsi="Times New Roman" w:cs="Times New Roman"/>
          <w:kern w:val="2"/>
          <w:sz w:val="32"/>
          <w:szCs w:val="32"/>
        </w:rPr>
        <w:t>本部门</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年度一般公共预算财政拨款支出主要用于以下几个方面：</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1</w:t>
      </w:r>
      <w:r>
        <w:rPr>
          <w:rFonts w:ascii="Times New Roman" w:eastAsia="方正仿宋_GBK" w:hAnsi="Times New Roman" w:cs="Times New Roman"/>
          <w:kern w:val="2"/>
          <w:sz w:val="32"/>
          <w:szCs w:val="32"/>
        </w:rPr>
        <w:t>）社会保障与就业支出</w:t>
      </w:r>
      <w:r>
        <w:rPr>
          <w:rFonts w:ascii="Times New Roman" w:eastAsia="方正仿宋_GBK" w:hAnsi="Times New Roman" w:cs="Times New Roman"/>
          <w:kern w:val="2"/>
          <w:sz w:val="32"/>
          <w:szCs w:val="32"/>
        </w:rPr>
        <w:t>17.03</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9.7%</w:t>
      </w:r>
      <w:r>
        <w:rPr>
          <w:rFonts w:ascii="Times New Roman" w:eastAsia="方正仿宋_GBK" w:hAnsi="Times New Roman" w:cs="Times New Roman"/>
          <w:kern w:val="2"/>
          <w:sz w:val="32"/>
          <w:szCs w:val="32"/>
        </w:rPr>
        <w:t>，较</w:t>
      </w:r>
      <w:r>
        <w:rPr>
          <w:rFonts w:ascii="Times New Roman" w:eastAsia="方正仿宋_GBK" w:hAnsi="Times New Roman" w:cs="Times New Roman"/>
          <w:color w:val="000000"/>
          <w:kern w:val="2"/>
          <w:sz w:val="32"/>
          <w:szCs w:val="32"/>
        </w:rPr>
        <w:t>年初预算数增加</w:t>
      </w:r>
      <w:r>
        <w:rPr>
          <w:rFonts w:ascii="Times New Roman" w:eastAsia="方正仿宋_GBK" w:hAnsi="Times New Roman" w:cs="Times New Roman"/>
          <w:color w:val="000000"/>
          <w:kern w:val="2"/>
          <w:sz w:val="32"/>
          <w:szCs w:val="32"/>
        </w:rPr>
        <w:t>0.27</w:t>
      </w:r>
      <w:r>
        <w:rPr>
          <w:rFonts w:ascii="Times New Roman" w:eastAsia="方正仿宋_GBK" w:hAnsi="Times New Roman" w:cs="Times New Roman"/>
          <w:color w:val="000000"/>
          <w:kern w:val="2"/>
          <w:sz w:val="32"/>
          <w:szCs w:val="32"/>
        </w:rPr>
        <w:t>万元</w:t>
      </w:r>
      <w:r>
        <w:rPr>
          <w:rFonts w:ascii="Times New Roman" w:eastAsia="方正仿宋_GBK" w:hAnsi="Times New Roman" w:cs="Times New Roman"/>
          <w:kern w:val="2"/>
          <w:sz w:val="32"/>
          <w:szCs w:val="32"/>
        </w:rPr>
        <w:t>，增长</w:t>
      </w:r>
      <w:r>
        <w:rPr>
          <w:rFonts w:ascii="Times New Roman" w:eastAsia="方正仿宋_GBK" w:hAnsi="Times New Roman" w:cs="Times New Roman"/>
          <w:kern w:val="2"/>
          <w:sz w:val="32"/>
          <w:szCs w:val="32"/>
        </w:rPr>
        <w:t>1.6%</w:t>
      </w:r>
      <w:r>
        <w:rPr>
          <w:rFonts w:ascii="Times New Roman" w:eastAsia="方正仿宋_GBK" w:hAnsi="Times New Roman" w:cs="Times New Roman"/>
          <w:kern w:val="2"/>
          <w:sz w:val="32"/>
          <w:szCs w:val="32"/>
        </w:rPr>
        <w:t>，主要原因是</w:t>
      </w:r>
      <w:r>
        <w:rPr>
          <w:rFonts w:ascii="Times New Roman" w:eastAsia="方正仿宋_GBK" w:hAnsi="Times New Roman" w:cs="Times New Roman"/>
          <w:color w:val="000000"/>
          <w:kern w:val="2"/>
          <w:sz w:val="32"/>
          <w:szCs w:val="32"/>
        </w:rPr>
        <w:t>增加了退休人员健康疗养费</w:t>
      </w:r>
      <w:r>
        <w:rPr>
          <w:rFonts w:ascii="Times New Roman" w:eastAsia="方正仿宋_GBK" w:hAnsi="Times New Roman" w:cs="Times New Roman"/>
          <w:kern w:val="2"/>
          <w:sz w:val="32"/>
          <w:szCs w:val="32"/>
        </w:rPr>
        <w:t>。</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2</w:t>
      </w:r>
      <w:r>
        <w:rPr>
          <w:rFonts w:ascii="Times New Roman" w:eastAsia="方正仿宋_GBK" w:hAnsi="Times New Roman" w:cs="Times New Roman"/>
          <w:kern w:val="2"/>
          <w:sz w:val="32"/>
          <w:szCs w:val="32"/>
        </w:rPr>
        <w:t>）卫生健康支出</w:t>
      </w:r>
      <w:r>
        <w:rPr>
          <w:rFonts w:ascii="Times New Roman" w:eastAsia="方正仿宋_GBK" w:hAnsi="Times New Roman" w:cs="Times New Roman"/>
          <w:kern w:val="2"/>
          <w:sz w:val="32"/>
          <w:szCs w:val="32"/>
        </w:rPr>
        <w:t>6.7</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3.8%</w:t>
      </w:r>
      <w:r>
        <w:rPr>
          <w:rFonts w:ascii="Times New Roman" w:eastAsia="方正仿宋_GBK" w:hAnsi="Times New Roman" w:cs="Times New Roman"/>
          <w:kern w:val="2"/>
          <w:sz w:val="32"/>
          <w:szCs w:val="32"/>
        </w:rPr>
        <w:t>，与年初预算数一致。</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）交通运输支出</w:t>
      </w:r>
      <w:r>
        <w:rPr>
          <w:rFonts w:ascii="Times New Roman" w:eastAsia="方正仿宋_GBK" w:hAnsi="Times New Roman" w:cs="Times New Roman"/>
          <w:kern w:val="2"/>
          <w:sz w:val="32"/>
          <w:szCs w:val="32"/>
        </w:rPr>
        <w:t>141.05</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79.9%</w:t>
      </w:r>
      <w:r>
        <w:rPr>
          <w:rFonts w:ascii="Times New Roman" w:eastAsia="方正仿宋_GBK" w:hAnsi="Times New Roman" w:cs="Times New Roman"/>
          <w:kern w:val="2"/>
          <w:sz w:val="32"/>
          <w:szCs w:val="32"/>
        </w:rPr>
        <w:t>，较年</w:t>
      </w:r>
      <w:r>
        <w:rPr>
          <w:rFonts w:ascii="Times New Roman" w:eastAsia="方正仿宋_GBK" w:hAnsi="Times New Roman" w:cs="Times New Roman"/>
          <w:color w:val="000000"/>
          <w:kern w:val="2"/>
          <w:sz w:val="32"/>
          <w:szCs w:val="32"/>
        </w:rPr>
        <w:t>初预算数增加</w:t>
      </w:r>
      <w:r>
        <w:rPr>
          <w:rFonts w:ascii="Times New Roman" w:eastAsia="方正仿宋_GBK" w:hAnsi="Times New Roman" w:cs="Times New Roman"/>
          <w:color w:val="000000"/>
          <w:kern w:val="2"/>
          <w:sz w:val="32"/>
          <w:szCs w:val="32"/>
        </w:rPr>
        <w:t>12.47</w:t>
      </w:r>
      <w:r>
        <w:rPr>
          <w:rFonts w:ascii="Times New Roman" w:eastAsia="方正仿宋_GBK" w:hAnsi="Times New Roman" w:cs="Times New Roman"/>
          <w:color w:val="000000"/>
          <w:kern w:val="2"/>
          <w:sz w:val="32"/>
          <w:szCs w:val="32"/>
        </w:rPr>
        <w:t>万元，</w:t>
      </w:r>
      <w:r>
        <w:rPr>
          <w:rFonts w:ascii="Times New Roman" w:eastAsia="方正仿宋_GBK" w:hAnsi="Times New Roman" w:cs="Times New Roman"/>
          <w:kern w:val="2"/>
          <w:sz w:val="32"/>
          <w:szCs w:val="32"/>
        </w:rPr>
        <w:t>增长</w:t>
      </w:r>
      <w:r>
        <w:rPr>
          <w:rFonts w:ascii="Times New Roman" w:eastAsia="方正仿宋_GBK" w:hAnsi="Times New Roman" w:cs="Times New Roman"/>
          <w:kern w:val="2"/>
          <w:sz w:val="32"/>
          <w:szCs w:val="32"/>
        </w:rPr>
        <w:t>9.7%</w:t>
      </w:r>
      <w:r>
        <w:rPr>
          <w:rFonts w:ascii="Times New Roman" w:eastAsia="方正仿宋_GBK" w:hAnsi="Times New Roman" w:cs="Times New Roman"/>
          <w:kern w:val="2"/>
          <w:sz w:val="32"/>
          <w:szCs w:val="32"/>
        </w:rPr>
        <w:t>，主要原因是</w:t>
      </w:r>
      <w:r>
        <w:rPr>
          <w:rFonts w:ascii="Times New Roman" w:eastAsia="方正仿宋_GBK" w:hAnsi="Times New Roman" w:cs="Times New Roman"/>
          <w:color w:val="000000"/>
          <w:kern w:val="2"/>
          <w:sz w:val="32"/>
          <w:szCs w:val="32"/>
        </w:rPr>
        <w:t>增加了在职人员的工资和目标考核奖。</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4</w:t>
      </w:r>
      <w:r>
        <w:rPr>
          <w:rFonts w:ascii="Times New Roman" w:eastAsia="方正仿宋_GBK" w:hAnsi="Times New Roman" w:cs="Times New Roman"/>
          <w:kern w:val="2"/>
          <w:sz w:val="32"/>
          <w:szCs w:val="32"/>
        </w:rPr>
        <w:t>）住房保障支出</w:t>
      </w:r>
      <w:r>
        <w:rPr>
          <w:rFonts w:ascii="Times New Roman" w:eastAsia="方正仿宋_GBK" w:hAnsi="Times New Roman" w:cs="Times New Roman"/>
          <w:kern w:val="2"/>
          <w:sz w:val="32"/>
          <w:szCs w:val="32"/>
        </w:rPr>
        <w:t>11.66</w:t>
      </w:r>
      <w:r>
        <w:rPr>
          <w:rFonts w:ascii="Times New Roman" w:eastAsia="方正仿宋_GBK" w:hAnsi="Times New Roman" w:cs="Times New Roman"/>
          <w:kern w:val="2"/>
          <w:sz w:val="32"/>
          <w:szCs w:val="32"/>
        </w:rPr>
        <w:t>万元，占</w:t>
      </w:r>
      <w:r>
        <w:rPr>
          <w:rFonts w:ascii="Times New Roman" w:eastAsia="方正仿宋_GBK" w:hAnsi="Times New Roman" w:cs="Times New Roman"/>
          <w:kern w:val="2"/>
          <w:sz w:val="32"/>
          <w:szCs w:val="32"/>
        </w:rPr>
        <w:t>6.6%</w:t>
      </w:r>
      <w:r>
        <w:rPr>
          <w:rFonts w:ascii="Times New Roman" w:eastAsia="方正仿宋_GBK" w:hAnsi="Times New Roman" w:cs="Times New Roman"/>
          <w:kern w:val="2"/>
          <w:sz w:val="32"/>
          <w:szCs w:val="32"/>
        </w:rPr>
        <w:t>，与年初预算数一致。</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（四）一般公共预算财政拨款基本支出决算情况说明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年度一般公共财政拨款基本支出</w:t>
      </w:r>
      <w:r>
        <w:rPr>
          <w:rFonts w:ascii="Times New Roman" w:eastAsia="方正仿宋_GBK" w:hAnsi="Times New Roman" w:cs="Times New Roman"/>
          <w:kern w:val="2"/>
          <w:sz w:val="32"/>
          <w:szCs w:val="32"/>
        </w:rPr>
        <w:t>176.44</w:t>
      </w:r>
      <w:r>
        <w:rPr>
          <w:rFonts w:ascii="Times New Roman" w:eastAsia="方正仿宋_GBK" w:hAnsi="Times New Roman" w:cs="Times New Roman"/>
          <w:kern w:val="2"/>
          <w:sz w:val="32"/>
          <w:szCs w:val="32"/>
        </w:rPr>
        <w:t>万元。其中人员经费</w:t>
      </w:r>
      <w:r>
        <w:rPr>
          <w:rFonts w:ascii="Times New Roman" w:eastAsia="方正仿宋_GBK" w:hAnsi="Times New Roman" w:cs="Times New Roman"/>
          <w:kern w:val="2"/>
          <w:sz w:val="32"/>
          <w:szCs w:val="32"/>
        </w:rPr>
        <w:t>149.6</w:t>
      </w:r>
      <w:r>
        <w:rPr>
          <w:rFonts w:ascii="Times New Roman" w:eastAsia="方正仿宋_GBK" w:hAnsi="Times New Roman" w:cs="Times New Roman"/>
          <w:kern w:val="2"/>
          <w:sz w:val="32"/>
          <w:szCs w:val="32"/>
        </w:rPr>
        <w:t>万元，人员经费用途主要包括工资福利支出、社会保障缴费支出、对个人和家庭补助支出。公用经费</w:t>
      </w:r>
      <w:r>
        <w:rPr>
          <w:rFonts w:ascii="Times New Roman" w:eastAsia="方正仿宋_GBK" w:hAnsi="Times New Roman" w:cs="Times New Roman"/>
          <w:kern w:val="2"/>
          <w:sz w:val="32"/>
          <w:szCs w:val="32"/>
        </w:rPr>
        <w:t>26.84</w:t>
      </w:r>
      <w:r>
        <w:rPr>
          <w:rFonts w:ascii="Times New Roman" w:eastAsia="方正仿宋_GBK" w:hAnsi="Times New Roman" w:cs="Times New Roman"/>
          <w:kern w:val="2"/>
          <w:sz w:val="32"/>
          <w:szCs w:val="32"/>
        </w:rPr>
        <w:t>万元，公用经费用途主要包括办公费、差旅费、邮电费、劳务费、公务车辆运行维护费、工会经费等。</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（五）政府性基金预算收支决算情况说明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年度我单位无政府性基金预算财政拨款收入。</w:t>
      </w:r>
    </w:p>
    <w:p w:rsidR="00E01187" w:rsidRDefault="00E01187" w:rsidP="00FE5498">
      <w:pPr>
        <w:pStyle w:val="a8"/>
        <w:widowControl w:val="0"/>
        <w:numPr>
          <w:ilvl w:val="0"/>
          <w:numId w:val="2"/>
        </w:numPr>
        <w:spacing w:before="0" w:beforeAutospacing="0" w:after="0" w:afterAutospacing="0" w:line="560" w:lineRule="exact"/>
        <w:ind w:firstLineChars="200" w:firstLine="643"/>
        <w:rPr>
          <w:rStyle w:val="15"/>
          <w:rFonts w:eastAsia="方正仿宋_GBK"/>
          <w:sz w:val="32"/>
          <w:szCs w:val="32"/>
        </w:rPr>
      </w:pPr>
      <w:r>
        <w:rPr>
          <w:rStyle w:val="15"/>
          <w:rFonts w:eastAsia="方正仿宋_GBK"/>
          <w:sz w:val="32"/>
          <w:szCs w:val="32"/>
        </w:rPr>
        <w:t>国有资本经营预算财政拨款支出决算情况说明</w:t>
      </w:r>
    </w:p>
    <w:p w:rsidR="00E01187" w:rsidRDefault="00E01187" w:rsidP="00E01187">
      <w:pPr>
        <w:pStyle w:val="a8"/>
        <w:widowControl w:val="0"/>
        <w:spacing w:before="0" w:beforeAutospacing="0" w:after="0" w:afterAutospacing="0" w:line="560" w:lineRule="exact"/>
        <w:rPr>
          <w:rStyle w:val="15"/>
          <w:rFonts w:eastAsia="方正仿宋_GBK"/>
          <w:sz w:val="32"/>
          <w:szCs w:val="32"/>
        </w:rPr>
      </w:pP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本单位</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年度无国有资本经营预算财政拨款支出。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三、</w:t>
      </w:r>
      <w:r>
        <w:rPr>
          <w:rStyle w:val="15"/>
          <w:rFonts w:eastAsia="方正仿宋_GBK"/>
          <w:sz w:val="32"/>
          <w:szCs w:val="32"/>
        </w:rPr>
        <w:t>“</w:t>
      </w:r>
      <w:r>
        <w:rPr>
          <w:rStyle w:val="15"/>
          <w:rFonts w:eastAsia="方正仿宋_GBK"/>
          <w:sz w:val="32"/>
          <w:szCs w:val="32"/>
        </w:rPr>
        <w:t>三公</w:t>
      </w:r>
      <w:r>
        <w:rPr>
          <w:rStyle w:val="15"/>
          <w:rFonts w:eastAsia="方正仿宋_GBK"/>
          <w:sz w:val="32"/>
          <w:szCs w:val="32"/>
        </w:rPr>
        <w:t>”</w:t>
      </w:r>
      <w:r>
        <w:rPr>
          <w:rStyle w:val="15"/>
          <w:rFonts w:eastAsia="方正仿宋_GBK"/>
          <w:sz w:val="32"/>
          <w:szCs w:val="32"/>
        </w:rPr>
        <w:t>经费情况说明</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（一）</w:t>
      </w:r>
      <w:r>
        <w:rPr>
          <w:rStyle w:val="15"/>
          <w:rFonts w:eastAsia="方正仿宋_GBK"/>
          <w:sz w:val="32"/>
          <w:szCs w:val="32"/>
        </w:rPr>
        <w:t>“</w:t>
      </w:r>
      <w:r>
        <w:rPr>
          <w:rStyle w:val="15"/>
          <w:rFonts w:eastAsia="方正仿宋_GBK"/>
          <w:sz w:val="32"/>
          <w:szCs w:val="32"/>
        </w:rPr>
        <w:t>三公</w:t>
      </w:r>
      <w:r>
        <w:rPr>
          <w:rStyle w:val="15"/>
          <w:rFonts w:eastAsia="方正仿宋_GBK"/>
          <w:sz w:val="32"/>
          <w:szCs w:val="32"/>
        </w:rPr>
        <w:t>”</w:t>
      </w:r>
      <w:r>
        <w:rPr>
          <w:rStyle w:val="15"/>
          <w:rFonts w:eastAsia="方正仿宋_GBK"/>
          <w:sz w:val="32"/>
          <w:szCs w:val="32"/>
        </w:rPr>
        <w:t>经费支出总体情况说明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三公</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经费支出共计</w:t>
      </w:r>
      <w:r>
        <w:rPr>
          <w:rFonts w:ascii="Times New Roman" w:eastAsia="方正仿宋_GBK" w:hAnsi="Times New Roman" w:cs="Times New Roman"/>
          <w:kern w:val="2"/>
          <w:sz w:val="32"/>
          <w:szCs w:val="32"/>
        </w:rPr>
        <w:t>1.99</w:t>
      </w:r>
      <w:r>
        <w:rPr>
          <w:rFonts w:ascii="Times New Roman" w:eastAsia="方正仿宋_GBK" w:hAnsi="Times New Roman" w:cs="Times New Roman"/>
          <w:kern w:val="2"/>
          <w:sz w:val="32"/>
          <w:szCs w:val="32"/>
        </w:rPr>
        <w:t>万元，较年初预算数减少</w:t>
      </w:r>
      <w:r>
        <w:rPr>
          <w:rFonts w:ascii="Times New Roman" w:eastAsia="方正仿宋_GBK" w:hAnsi="Times New Roman" w:cs="Times New Roman"/>
          <w:kern w:val="2"/>
          <w:sz w:val="32"/>
          <w:szCs w:val="32"/>
        </w:rPr>
        <w:t>0.08</w:t>
      </w:r>
      <w:r>
        <w:rPr>
          <w:rFonts w:ascii="Times New Roman" w:eastAsia="方正仿宋_GBK" w:hAnsi="Times New Roman" w:cs="Times New Roman"/>
          <w:kern w:val="2"/>
          <w:sz w:val="32"/>
          <w:szCs w:val="32"/>
        </w:rPr>
        <w:t>万元，下降</w:t>
      </w:r>
      <w:r>
        <w:rPr>
          <w:rFonts w:ascii="Times New Roman" w:eastAsia="方正仿宋_GBK" w:hAnsi="Times New Roman" w:cs="Times New Roman"/>
          <w:kern w:val="2"/>
          <w:sz w:val="32"/>
          <w:szCs w:val="32"/>
        </w:rPr>
        <w:t>3.9%</w:t>
      </w:r>
      <w:r>
        <w:rPr>
          <w:rFonts w:ascii="Times New Roman" w:eastAsia="方正仿宋_GBK" w:hAnsi="Times New Roman" w:cs="Times New Roman"/>
          <w:kern w:val="2"/>
          <w:sz w:val="32"/>
          <w:szCs w:val="32"/>
        </w:rPr>
        <w:t>。主要原因是：</w:t>
      </w:r>
      <w:r>
        <w:rPr>
          <w:rFonts w:ascii="Times New Roman" w:eastAsia="方正仿宋_GBK" w:hAnsi="Times New Roman" w:cs="Times New Roman"/>
          <w:kern w:val="2"/>
          <w:sz w:val="32"/>
          <w:szCs w:val="32"/>
        </w:rPr>
        <w:lastRenderedPageBreak/>
        <w:t>一是认真贯彻落实中央八项规定精神，按照只减不增的要求从严控制</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三公</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经费，全年实际支出较预算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我单位今年开始独立报送决算，无上年数据对比。</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（二）</w:t>
      </w:r>
      <w:r>
        <w:rPr>
          <w:rStyle w:val="15"/>
          <w:rFonts w:eastAsia="方正仿宋_GBK"/>
          <w:sz w:val="32"/>
          <w:szCs w:val="32"/>
        </w:rPr>
        <w:t>“</w:t>
      </w:r>
      <w:r>
        <w:rPr>
          <w:rStyle w:val="15"/>
          <w:rFonts w:eastAsia="方正仿宋_GBK"/>
          <w:sz w:val="32"/>
          <w:szCs w:val="32"/>
        </w:rPr>
        <w:t>三公</w:t>
      </w:r>
      <w:r>
        <w:rPr>
          <w:rStyle w:val="15"/>
          <w:rFonts w:eastAsia="方正仿宋_GBK"/>
          <w:sz w:val="32"/>
          <w:szCs w:val="32"/>
        </w:rPr>
        <w:t>”</w:t>
      </w:r>
      <w:r>
        <w:rPr>
          <w:rStyle w:val="15"/>
          <w:rFonts w:eastAsia="方正仿宋_GBK"/>
          <w:sz w:val="32"/>
          <w:szCs w:val="32"/>
        </w:rPr>
        <w:t>经费分项支出情况</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 xml:space="preserve"> 2021</w:t>
      </w:r>
      <w:r>
        <w:rPr>
          <w:rFonts w:ascii="Times New Roman" w:eastAsia="方正仿宋_GBK" w:hAnsi="Times New Roman" w:cs="Times New Roman"/>
          <w:kern w:val="2"/>
          <w:sz w:val="32"/>
          <w:szCs w:val="32"/>
        </w:rPr>
        <w:t>年度本单位未发生因公出国（境）费用。</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 xml:space="preserve"> 2021</w:t>
      </w:r>
      <w:r>
        <w:rPr>
          <w:rFonts w:ascii="Times New Roman" w:eastAsia="方正仿宋_GBK" w:hAnsi="Times New Roman" w:cs="Times New Roman"/>
          <w:kern w:val="2"/>
          <w:sz w:val="32"/>
          <w:szCs w:val="32"/>
        </w:rPr>
        <w:t>年度本单位未发生公务车购置费。</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 xml:space="preserve"> 2021</w:t>
      </w:r>
      <w:r>
        <w:rPr>
          <w:rFonts w:ascii="Times New Roman" w:eastAsia="方正仿宋_GBK" w:hAnsi="Times New Roman" w:cs="Times New Roman"/>
          <w:kern w:val="2"/>
          <w:sz w:val="32"/>
          <w:szCs w:val="32"/>
        </w:rPr>
        <w:t>年度本单位公务车运行维护费</w:t>
      </w:r>
      <w:r>
        <w:rPr>
          <w:rFonts w:ascii="Times New Roman" w:eastAsia="方正仿宋_GBK" w:hAnsi="Times New Roman" w:cs="Times New Roman"/>
          <w:kern w:val="2"/>
          <w:sz w:val="32"/>
          <w:szCs w:val="32"/>
        </w:rPr>
        <w:t>1.99</w:t>
      </w:r>
      <w:r>
        <w:rPr>
          <w:rFonts w:ascii="Times New Roman" w:eastAsia="方正仿宋_GBK" w:hAnsi="Times New Roman" w:cs="Times New Roman"/>
          <w:kern w:val="2"/>
          <w:sz w:val="32"/>
          <w:szCs w:val="32"/>
        </w:rPr>
        <w:t>万元，主要用于机要文件交换、市内因公出行、交通行业业务检查等工作所需车辆的燃料费、维修费、过桥过路费、保险费等。费用支出较年初预算数减少</w:t>
      </w:r>
      <w:r>
        <w:rPr>
          <w:rFonts w:ascii="Times New Roman" w:eastAsia="方正仿宋_GBK" w:hAnsi="Times New Roman" w:cs="Times New Roman"/>
          <w:kern w:val="2"/>
          <w:sz w:val="32"/>
          <w:szCs w:val="32"/>
        </w:rPr>
        <w:t>0.08</w:t>
      </w:r>
      <w:r>
        <w:rPr>
          <w:rFonts w:ascii="Times New Roman" w:eastAsia="方正仿宋_GBK" w:hAnsi="Times New Roman" w:cs="Times New Roman"/>
          <w:kern w:val="2"/>
          <w:sz w:val="32"/>
          <w:szCs w:val="32"/>
        </w:rPr>
        <w:t>万元，下降</w:t>
      </w:r>
      <w:r>
        <w:rPr>
          <w:rFonts w:ascii="Times New Roman" w:eastAsia="方正仿宋_GBK" w:hAnsi="Times New Roman" w:cs="Times New Roman"/>
          <w:kern w:val="2"/>
          <w:sz w:val="32"/>
          <w:szCs w:val="32"/>
        </w:rPr>
        <w:t>3.9%</w:t>
      </w:r>
      <w:r>
        <w:rPr>
          <w:rFonts w:ascii="Times New Roman" w:eastAsia="方正仿宋_GBK" w:hAnsi="Times New Roman" w:cs="Times New Roman"/>
          <w:kern w:val="2"/>
          <w:sz w:val="32"/>
          <w:szCs w:val="32"/>
        </w:rPr>
        <w:t>，主要原因是本单位严格落实公车使用规定，严格车辆维修及油料管理，费用降低。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年度本单位未发生公务接待费。</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（三）</w:t>
      </w:r>
      <w:r>
        <w:rPr>
          <w:rStyle w:val="15"/>
          <w:rFonts w:eastAsia="方正仿宋_GBK"/>
          <w:sz w:val="32"/>
          <w:szCs w:val="32"/>
        </w:rPr>
        <w:t>“</w:t>
      </w:r>
      <w:r>
        <w:rPr>
          <w:rStyle w:val="15"/>
          <w:rFonts w:eastAsia="方正仿宋_GBK"/>
          <w:sz w:val="32"/>
          <w:szCs w:val="32"/>
        </w:rPr>
        <w:t>三公</w:t>
      </w:r>
      <w:r>
        <w:rPr>
          <w:rStyle w:val="15"/>
          <w:rFonts w:eastAsia="方正仿宋_GBK"/>
          <w:sz w:val="32"/>
          <w:szCs w:val="32"/>
        </w:rPr>
        <w:t>”</w:t>
      </w:r>
      <w:r>
        <w:rPr>
          <w:rStyle w:val="15"/>
          <w:rFonts w:eastAsia="方正仿宋_GBK"/>
          <w:sz w:val="32"/>
          <w:szCs w:val="32"/>
        </w:rPr>
        <w:t>经费实物量情况</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2021</w:t>
      </w:r>
      <w:r>
        <w:rPr>
          <w:rFonts w:ascii="Times New Roman" w:eastAsia="方正仿宋_GBK" w:hAnsi="Times New Roman" w:cs="Times New Roman"/>
          <w:kern w:val="2"/>
          <w:sz w:val="32"/>
          <w:szCs w:val="32"/>
        </w:rPr>
        <w:t>年度本部门因公出国（境）共计</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个团组，</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人；公务用车购置</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辆，公务车保有量为</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辆；国内公务接待</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批次</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人，其中：国内外事接待</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批次，</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人；国（境）外公务接待</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批次，</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人。</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年本单位人均接待费</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元，车均购置费</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万元，车均维护费</w:t>
      </w:r>
      <w:r>
        <w:rPr>
          <w:rFonts w:ascii="Times New Roman" w:eastAsia="方正仿宋_GBK" w:hAnsi="Times New Roman" w:cs="Times New Roman"/>
          <w:kern w:val="2"/>
          <w:sz w:val="32"/>
          <w:szCs w:val="32"/>
        </w:rPr>
        <w:t xml:space="preserve"> 0.66</w:t>
      </w:r>
      <w:r>
        <w:rPr>
          <w:rFonts w:ascii="Times New Roman" w:eastAsia="方正仿宋_GBK" w:hAnsi="Times New Roman" w:cs="Times New Roman"/>
          <w:kern w:val="2"/>
          <w:sz w:val="32"/>
          <w:szCs w:val="32"/>
        </w:rPr>
        <w:t>万元。</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四、其他需要说明的事项</w:t>
      </w:r>
    </w:p>
    <w:p w:rsidR="00E01187" w:rsidRDefault="00E01187" w:rsidP="00E01187">
      <w:pPr>
        <w:spacing w:before="100" w:after="100" w:line="560" w:lineRule="exact"/>
        <w:ind w:firstLineChars="200" w:firstLine="643"/>
        <w:jc w:val="left"/>
        <w:rPr>
          <w:rFonts w:eastAsia="方正仿宋_GBK"/>
          <w:sz w:val="32"/>
          <w:szCs w:val="32"/>
        </w:rPr>
      </w:pPr>
      <w:r>
        <w:rPr>
          <w:rStyle w:val="15"/>
          <w:rFonts w:eastAsia="方正仿宋_GBK"/>
          <w:sz w:val="32"/>
          <w:szCs w:val="32"/>
        </w:rPr>
        <w:t>（一）一般公共预算财政拨款会议费和培训</w:t>
      </w:r>
      <w:r>
        <w:rPr>
          <w:rFonts w:eastAsia="方正仿宋_GBK"/>
          <w:sz w:val="32"/>
          <w:szCs w:val="32"/>
        </w:rPr>
        <w:t>费情况说明。</w:t>
      </w:r>
    </w:p>
    <w:p w:rsidR="00E01187" w:rsidRDefault="00E01187" w:rsidP="00E01187">
      <w:pPr>
        <w:spacing w:before="100" w:after="100" w:line="560" w:lineRule="exact"/>
        <w:ind w:firstLineChars="200" w:firstLine="640"/>
        <w:jc w:val="left"/>
        <w:rPr>
          <w:rFonts w:eastAsia="方正仿宋_GBK"/>
          <w:sz w:val="32"/>
          <w:szCs w:val="32"/>
        </w:rPr>
      </w:pPr>
      <w:r>
        <w:rPr>
          <w:rFonts w:eastAsia="方正仿宋_GBK"/>
          <w:sz w:val="32"/>
          <w:szCs w:val="32"/>
        </w:rPr>
        <w:t>2021</w:t>
      </w:r>
      <w:r>
        <w:rPr>
          <w:rFonts w:eastAsia="方正仿宋_GBK"/>
          <w:sz w:val="32"/>
          <w:szCs w:val="32"/>
        </w:rPr>
        <w:t>年度本单位未发生会议费和培训费。</w:t>
      </w:r>
    </w:p>
    <w:p w:rsidR="00E01187" w:rsidRDefault="00E01187" w:rsidP="00E01187">
      <w:pPr>
        <w:spacing w:before="100" w:after="100" w:line="560" w:lineRule="exact"/>
        <w:ind w:firstLineChars="200" w:firstLine="643"/>
        <w:jc w:val="left"/>
        <w:rPr>
          <w:rStyle w:val="15"/>
          <w:rFonts w:eastAsia="方正仿宋_GBK"/>
          <w:sz w:val="32"/>
          <w:szCs w:val="32"/>
        </w:rPr>
      </w:pPr>
      <w:r>
        <w:rPr>
          <w:rStyle w:val="15"/>
          <w:rFonts w:eastAsia="方正仿宋_GBK"/>
          <w:sz w:val="32"/>
          <w:szCs w:val="32"/>
        </w:rPr>
        <w:t>（二）机关运行经费情况说明。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年度本部门机关运行经费支出</w:t>
      </w:r>
      <w:r>
        <w:rPr>
          <w:rFonts w:ascii="Times New Roman" w:eastAsia="方正仿宋_GBK" w:hAnsi="Times New Roman" w:cs="Times New Roman"/>
          <w:kern w:val="2"/>
          <w:sz w:val="32"/>
          <w:szCs w:val="32"/>
        </w:rPr>
        <w:t>26.84</w:t>
      </w:r>
      <w:r>
        <w:rPr>
          <w:rFonts w:ascii="Times New Roman" w:eastAsia="方正仿宋_GBK" w:hAnsi="Times New Roman" w:cs="Times New Roman"/>
          <w:kern w:val="2"/>
          <w:sz w:val="32"/>
          <w:szCs w:val="32"/>
        </w:rPr>
        <w:t>万元，机关运行经费主要用于开支办公费、公务车运行维护费、劳务派遣费、差旅费用、邮电费、水电费等。我单位今年开始独立报送决算，无上年数据对比。</w:t>
      </w:r>
    </w:p>
    <w:p w:rsidR="00E01187" w:rsidRDefault="00E01187" w:rsidP="00E01187">
      <w:pPr>
        <w:pStyle w:val="a8"/>
        <w:widowControl w:val="0"/>
        <w:tabs>
          <w:tab w:val="left" w:pos="1039"/>
        </w:tabs>
        <w:spacing w:before="0" w:beforeAutospacing="0" w:after="0" w:afterAutospacing="0" w:line="560" w:lineRule="exact"/>
        <w:ind w:firstLineChars="200" w:firstLine="643"/>
        <w:rPr>
          <w:rStyle w:val="15"/>
          <w:rFonts w:eastAsia="方正仿宋_GBK"/>
          <w:sz w:val="32"/>
          <w:szCs w:val="32"/>
        </w:rPr>
      </w:pPr>
      <w:r>
        <w:rPr>
          <w:rStyle w:val="15"/>
          <w:rFonts w:eastAsia="方正仿宋_GBK"/>
          <w:sz w:val="32"/>
          <w:szCs w:val="32"/>
        </w:rPr>
        <w:t>（三）国有资产占用情况说明。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截至</w:t>
      </w: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w:t>
      </w:r>
      <w:r>
        <w:rPr>
          <w:rFonts w:ascii="Times New Roman" w:eastAsia="方正仿宋_GBK" w:hAnsi="Times New Roman" w:cs="Times New Roman"/>
          <w:kern w:val="2"/>
          <w:sz w:val="32"/>
          <w:szCs w:val="32"/>
        </w:rPr>
        <w:t>12</w:t>
      </w:r>
      <w:r>
        <w:rPr>
          <w:rFonts w:ascii="Times New Roman" w:eastAsia="方正仿宋_GBK" w:hAnsi="Times New Roman" w:cs="Times New Roman"/>
          <w:kern w:val="2"/>
          <w:sz w:val="32"/>
          <w:szCs w:val="32"/>
        </w:rPr>
        <w:t>月</w:t>
      </w:r>
      <w:r>
        <w:rPr>
          <w:rFonts w:ascii="Times New Roman" w:eastAsia="方正仿宋_GBK" w:hAnsi="Times New Roman" w:cs="Times New Roman"/>
          <w:kern w:val="2"/>
          <w:sz w:val="32"/>
          <w:szCs w:val="32"/>
        </w:rPr>
        <w:t>31</w:t>
      </w:r>
      <w:r>
        <w:rPr>
          <w:rFonts w:ascii="Times New Roman" w:eastAsia="方正仿宋_GBK" w:hAnsi="Times New Roman" w:cs="Times New Roman"/>
          <w:kern w:val="2"/>
          <w:sz w:val="32"/>
          <w:szCs w:val="32"/>
        </w:rPr>
        <w:t>日，本部门共有车辆</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辆，其中，副部（省）级及以上领导用车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辆、主要领导干部用车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辆、机要通信用车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辆、应急保障用车</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辆、执法执勤用车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辆，特种专业技术用车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辆，离退休干部用车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辆，其他用车</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辆。单价</w:t>
      </w:r>
      <w:r>
        <w:rPr>
          <w:rFonts w:ascii="Times New Roman" w:eastAsia="方正仿宋_GBK" w:hAnsi="Times New Roman" w:cs="Times New Roman"/>
          <w:kern w:val="2"/>
          <w:sz w:val="32"/>
          <w:szCs w:val="32"/>
        </w:rPr>
        <w:t>50</w:t>
      </w:r>
      <w:r>
        <w:rPr>
          <w:rFonts w:ascii="Times New Roman" w:eastAsia="方正仿宋_GBK" w:hAnsi="Times New Roman" w:cs="Times New Roman"/>
          <w:kern w:val="2"/>
          <w:sz w:val="32"/>
          <w:szCs w:val="32"/>
        </w:rPr>
        <w:t>万元（含）以上通用设备</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台（套），单价</w:t>
      </w:r>
      <w:r>
        <w:rPr>
          <w:rFonts w:ascii="Times New Roman" w:eastAsia="方正仿宋_GBK" w:hAnsi="Times New Roman" w:cs="Times New Roman"/>
          <w:kern w:val="2"/>
          <w:sz w:val="32"/>
          <w:szCs w:val="32"/>
        </w:rPr>
        <w:lastRenderedPageBreak/>
        <w:t>100</w:t>
      </w:r>
      <w:r>
        <w:rPr>
          <w:rFonts w:ascii="Times New Roman" w:eastAsia="方正仿宋_GBK" w:hAnsi="Times New Roman" w:cs="Times New Roman"/>
          <w:kern w:val="2"/>
          <w:sz w:val="32"/>
          <w:szCs w:val="32"/>
        </w:rPr>
        <w:t>万元（含）以上专用设备</w:t>
      </w:r>
      <w:r>
        <w:rPr>
          <w:rFonts w:ascii="Times New Roman" w:eastAsia="方正仿宋_GBK" w:hAnsi="Times New Roman" w:cs="Times New Roman"/>
          <w:kern w:val="2"/>
          <w:sz w:val="32"/>
          <w:szCs w:val="32"/>
        </w:rPr>
        <w:t>0</w:t>
      </w:r>
      <w:r>
        <w:rPr>
          <w:rFonts w:ascii="Times New Roman" w:eastAsia="方正仿宋_GBK" w:hAnsi="Times New Roman" w:cs="Times New Roman"/>
          <w:kern w:val="2"/>
          <w:sz w:val="32"/>
          <w:szCs w:val="32"/>
        </w:rPr>
        <w:t>台（套）。</w:t>
      </w:r>
    </w:p>
    <w:p w:rsidR="00E01187" w:rsidRDefault="00E01187" w:rsidP="00E01187">
      <w:pPr>
        <w:pStyle w:val="a8"/>
        <w:widowControl w:val="0"/>
        <w:spacing w:before="0" w:beforeAutospacing="0" w:after="0" w:afterAutospacing="0" w:line="560" w:lineRule="exact"/>
        <w:ind w:firstLineChars="200" w:firstLine="643"/>
        <w:rPr>
          <w:rStyle w:val="15"/>
          <w:rFonts w:eastAsia="方正仿宋_GBK"/>
          <w:sz w:val="32"/>
          <w:szCs w:val="32"/>
        </w:rPr>
      </w:pPr>
      <w:r>
        <w:rPr>
          <w:rStyle w:val="15"/>
          <w:rFonts w:eastAsia="方正仿宋_GBK"/>
          <w:sz w:val="32"/>
          <w:szCs w:val="32"/>
        </w:rPr>
        <w:t>（四）政府采购支出情况说明。</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2021</w:t>
      </w:r>
      <w:r>
        <w:rPr>
          <w:rFonts w:ascii="Times New Roman" w:eastAsia="方正仿宋_GBK" w:hAnsi="Times New Roman" w:cs="Times New Roman"/>
          <w:kern w:val="2"/>
          <w:sz w:val="32"/>
          <w:szCs w:val="32"/>
        </w:rPr>
        <w:t>年度本单位未发生政府采购事项，无相关经费支出。</w:t>
      </w:r>
    </w:p>
    <w:p w:rsidR="00E01187" w:rsidRDefault="00E01187" w:rsidP="00E01187">
      <w:pPr>
        <w:spacing w:line="560" w:lineRule="exact"/>
        <w:ind w:firstLineChars="200" w:firstLine="643"/>
        <w:jc w:val="left"/>
        <w:rPr>
          <w:rStyle w:val="a5"/>
          <w:rFonts w:eastAsia="方正仿宋_GBK"/>
          <w:sz w:val="32"/>
          <w:szCs w:val="32"/>
        </w:rPr>
      </w:pPr>
      <w:r>
        <w:rPr>
          <w:rStyle w:val="a5"/>
          <w:rFonts w:eastAsia="方正仿宋_GBK"/>
          <w:sz w:val="32"/>
          <w:szCs w:val="32"/>
        </w:rPr>
        <w:t>五、预算绩效管理情况说明</w:t>
      </w:r>
    </w:p>
    <w:p w:rsidR="00E01187" w:rsidRDefault="00E01187" w:rsidP="00E01187">
      <w:pPr>
        <w:pStyle w:val="a8"/>
        <w:widowControl w:val="0"/>
        <w:shd w:val="clear" w:color="auto" w:fill="FFFFFF"/>
        <w:spacing w:before="0" w:beforeAutospacing="0" w:after="0" w:afterAutospacing="0"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（一）预算绩效管理工作开展情况</w:t>
      </w:r>
    </w:p>
    <w:p w:rsidR="00E01187" w:rsidRDefault="00E01187" w:rsidP="00E01187">
      <w:pPr>
        <w:spacing w:line="560" w:lineRule="exact"/>
        <w:ind w:firstLineChars="200" w:firstLine="640"/>
        <w:jc w:val="left"/>
        <w:rPr>
          <w:rStyle w:val="a5"/>
          <w:rFonts w:eastAsia="方正仿宋_GBK"/>
          <w:sz w:val="32"/>
          <w:szCs w:val="32"/>
        </w:rPr>
      </w:pPr>
      <w:r>
        <w:rPr>
          <w:rFonts w:eastAsia="方正仿宋_GBK"/>
          <w:sz w:val="32"/>
          <w:szCs w:val="32"/>
        </w:rPr>
        <w:t>2021</w:t>
      </w:r>
      <w:r>
        <w:rPr>
          <w:rFonts w:eastAsia="方正仿宋_GBK"/>
          <w:sz w:val="32"/>
          <w:szCs w:val="32"/>
        </w:rPr>
        <w:t>年本部门（单位）无项目支出，因此未开展绩效自评。</w:t>
      </w:r>
    </w:p>
    <w:p w:rsidR="00E01187" w:rsidRDefault="00E01187" w:rsidP="00E01187">
      <w:pPr>
        <w:spacing w:line="560" w:lineRule="exact"/>
        <w:ind w:firstLineChars="200" w:firstLine="643"/>
        <w:jc w:val="left"/>
        <w:rPr>
          <w:rFonts w:eastAsia="方正仿宋_GBK"/>
          <w:sz w:val="32"/>
          <w:szCs w:val="32"/>
        </w:rPr>
      </w:pPr>
      <w:r>
        <w:rPr>
          <w:rStyle w:val="a5"/>
          <w:rFonts w:eastAsia="方正仿宋_GBK"/>
          <w:sz w:val="32"/>
          <w:szCs w:val="32"/>
        </w:rPr>
        <w:t>（二）绩效自评结果</w:t>
      </w:r>
    </w:p>
    <w:p w:rsidR="00E01187" w:rsidRDefault="00E01187" w:rsidP="00E01187">
      <w:pPr>
        <w:spacing w:line="560" w:lineRule="exact"/>
        <w:ind w:firstLineChars="200" w:firstLine="640"/>
        <w:jc w:val="left"/>
        <w:rPr>
          <w:rStyle w:val="a5"/>
          <w:rFonts w:eastAsia="方正仿宋_GBK"/>
          <w:sz w:val="32"/>
          <w:szCs w:val="32"/>
        </w:rPr>
      </w:pPr>
      <w:r>
        <w:rPr>
          <w:rFonts w:eastAsia="方正仿宋_GBK"/>
          <w:sz w:val="32"/>
          <w:szCs w:val="32"/>
        </w:rPr>
        <w:t>未开展绩效自评。</w:t>
      </w:r>
    </w:p>
    <w:p w:rsidR="00E01187" w:rsidRDefault="00E01187" w:rsidP="00E01187">
      <w:pPr>
        <w:spacing w:line="560" w:lineRule="exact"/>
        <w:ind w:firstLineChars="200" w:firstLine="643"/>
        <w:jc w:val="left"/>
        <w:rPr>
          <w:rStyle w:val="a5"/>
          <w:rFonts w:eastAsia="方正仿宋_GBK"/>
          <w:kern w:val="0"/>
          <w:sz w:val="32"/>
          <w:szCs w:val="32"/>
        </w:rPr>
      </w:pPr>
      <w:r>
        <w:rPr>
          <w:rStyle w:val="a5"/>
          <w:rFonts w:eastAsia="方正仿宋_GBK"/>
          <w:kern w:val="0"/>
          <w:sz w:val="32"/>
          <w:szCs w:val="32"/>
        </w:rPr>
        <w:t>（三）重点绩效评价结果</w:t>
      </w:r>
    </w:p>
    <w:p w:rsidR="00E01187" w:rsidRDefault="00E01187" w:rsidP="00E01187">
      <w:pPr>
        <w:spacing w:before="100" w:after="100" w:line="560" w:lineRule="exact"/>
        <w:ind w:left="316"/>
        <w:jc w:val="left"/>
        <w:rPr>
          <w:rFonts w:eastAsia="方正仿宋_GBK"/>
          <w:b/>
          <w:bCs/>
          <w:kern w:val="0"/>
          <w:sz w:val="32"/>
          <w:szCs w:val="32"/>
        </w:rPr>
      </w:pPr>
      <w:r>
        <w:rPr>
          <w:rFonts w:eastAsia="方正仿宋_GBK"/>
          <w:kern w:val="0"/>
          <w:sz w:val="32"/>
          <w:szCs w:val="32"/>
        </w:rPr>
        <w:t>未委托第三方开展重点绩效评价。</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六、专业名词解释</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（一）财政拨款收入</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指本年度从本级财政部门取得的财政拨款，包括一般公共预算财政拨款和政府性基金预算财政拨款。</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（二）事业收入</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指事业单位开展专业业务活动及其辅助活动取得的现金流入；事业单位收到的</w:t>
      </w:r>
      <w:r>
        <w:rPr>
          <w:rFonts w:ascii="Times New Roman" w:eastAsia="方正仿宋_GBK" w:hAnsi="Times New Roman" w:cs="Times New Roman"/>
          <w:kern w:val="2"/>
          <w:sz w:val="32"/>
          <w:szCs w:val="32"/>
        </w:rPr>
        <w:lastRenderedPageBreak/>
        <w:t>财政专户实际核拨的教育收费等资金在此反映。</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（三）经营收入</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指事业单位在专业业务活动及其辅助活动之外开展非独立核算经营活动取得的现金流入。</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（四）其他收入</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指单位取得的除</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财政拨款</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事业收入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经营收入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等以外的收入，包括未纳入财政预算或财政专户管理的投资收益、银行存款利息收入、租金收入、捐赠收入，现金盘盈收入、</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存货盘盈收入、收回已核销的应收及预付款项、无法偿付的应付及预收款项等。各单位从本级财政部门以外的同级单位取得的经费、从非本级财政部门取得的经费，</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以及行政单位收到的财政专户管理资金反映在本项内。</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（五）用事业基金弥补收支差额</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指事业单位在当年的</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财政拨款收入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事业收入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经营收入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其他收入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等不足以安排当年支出的情况下，使用以前年度积累的事业基金（事业单位当年收支相抵后按国家规定提取、用于弥补以后年度收支差额的基金）弥补本年度收支缺口的资金。</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（六）年初结转和结余</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指单位上年结转本年使用的基本支出结转、项目支出结转和结余、经营结余。</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（七）结余分配</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指单位按照国家有关规定，</w:t>
      </w:r>
      <w:r w:rsidR="00D40C10">
        <w:rPr>
          <w:rFonts w:ascii="Times New Roman" w:eastAsia="方正仿宋_GBK" w:hAnsi="Times New Roman" w:cs="Times New Roman"/>
          <w:kern w:val="2"/>
          <w:sz w:val="32"/>
          <w:szCs w:val="32"/>
        </w:rPr>
        <w:t>交</w:t>
      </w:r>
      <w:r>
        <w:rPr>
          <w:rFonts w:ascii="Times New Roman" w:eastAsia="方正仿宋_GBK" w:hAnsi="Times New Roman" w:cs="Times New Roman"/>
          <w:kern w:val="2"/>
          <w:sz w:val="32"/>
          <w:szCs w:val="32"/>
        </w:rPr>
        <w:t>所得税、提取专用基金、转入事业基金等当年结</w:t>
      </w:r>
      <w:r>
        <w:rPr>
          <w:rFonts w:ascii="Times New Roman" w:eastAsia="方正仿宋_GBK" w:hAnsi="Times New Roman" w:cs="Times New Roman"/>
          <w:kern w:val="2"/>
          <w:sz w:val="32"/>
          <w:szCs w:val="32"/>
        </w:rPr>
        <w:lastRenderedPageBreak/>
        <w:t>余的分配情况。</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（八）年末结转和结余</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指单位结转下年的基本支出结转、项目支出结转和结余、经营结余。</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（九）基本支出</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工资福利支出</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和</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对个人和家庭的补助</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；公用经费指政府收支分类经济科目中除</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工资福利支出</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和</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对个人和家庭的补助</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外的其他支出。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（十）项目支出</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指在基本支出之外为完成特定行政任务和事业发展目标所发生的支出。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（十一）经营支出</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指事业单位在专业业务活动及其辅助活动之外开展非独立核算经营活动发生的支出。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（十二）</w:t>
      </w:r>
      <w:r>
        <w:rPr>
          <w:rStyle w:val="15"/>
          <w:rFonts w:eastAsia="方正仿宋_GBK"/>
          <w:sz w:val="32"/>
          <w:szCs w:val="32"/>
        </w:rPr>
        <w:t>“</w:t>
      </w:r>
      <w:r>
        <w:rPr>
          <w:rStyle w:val="15"/>
          <w:rFonts w:eastAsia="方正仿宋_GBK"/>
          <w:sz w:val="32"/>
          <w:szCs w:val="32"/>
        </w:rPr>
        <w:t>三公</w:t>
      </w:r>
      <w:r>
        <w:rPr>
          <w:rStyle w:val="15"/>
          <w:rFonts w:eastAsia="方正仿宋_GBK"/>
          <w:sz w:val="32"/>
          <w:szCs w:val="32"/>
        </w:rPr>
        <w:t>”</w:t>
      </w:r>
      <w:r>
        <w:rPr>
          <w:rStyle w:val="15"/>
          <w:rFonts w:eastAsia="方正仿宋_GBK"/>
          <w:sz w:val="32"/>
          <w:szCs w:val="32"/>
        </w:rPr>
        <w:t>经费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kern w:val="2"/>
          <w:sz w:val="32"/>
          <w:szCs w:val="32"/>
        </w:rPr>
        <w:t>指用一般公共预算财政拨款安排的因公出国（境）费、公务用车购置及运行维护费、公务接待费。其中，因公出国（境）费反映单位公务出国（境）的国际旅费、国</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外城市间交通费、住宿费、伙食费、培训费、公杂费等支出；公务用车购置费反映单位公务用车购置支出（含车辆购置税）；公务用车运行维护费反映单位按规定保</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留的公务用车燃料费、维修费、过路过桥费、保险费、安全奖励费用等支出；公务接待费反映单位按规定开支的各类公务接待（含外宾接待）支出。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lastRenderedPageBreak/>
        <w:t>（十三）机关运行经费</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为保障行政单位（含</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参照公务员法管理的事业单位）运行用于购买货物和服务等的各项公用经费，包括办公及印刷费、邮电费、差旅费、会议费、福利费、日常维护费、专用材料及一般</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设备购置费、办公用房水电费、办公用房取暖费、办公用房物业管理费、公务用车运行维护费以及其他费用。</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（十四）工资福利支出（支出经济分类科目类级）</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反映单位开支的在职职工和编制外长期聘用人员的各类劳动报酬，以及为上述人员</w:t>
      </w:r>
      <w:r w:rsidR="00D40C10">
        <w:rPr>
          <w:rFonts w:ascii="Times New Roman" w:eastAsia="方正仿宋_GBK" w:hAnsi="Times New Roman" w:cs="Times New Roman"/>
          <w:kern w:val="2"/>
          <w:sz w:val="32"/>
          <w:szCs w:val="32"/>
        </w:rPr>
        <w:t>交纳</w:t>
      </w:r>
      <w:r>
        <w:rPr>
          <w:rFonts w:ascii="Times New Roman" w:eastAsia="方正仿宋_GBK" w:hAnsi="Times New Roman" w:cs="Times New Roman"/>
          <w:kern w:val="2"/>
          <w:sz w:val="32"/>
          <w:szCs w:val="32"/>
        </w:rPr>
        <w:t>的各项社会保险费等。</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（十五）商品和服务支出（支出经济分类科目类级）</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反映单位购买商品和服务的支出（不包括用于购置固定资产的支出、战略性和应急储备支出）。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（十六）对个人和家庭的补助（支出经济分类科目类级）</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反映用于对个人和家庭的补助支出。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kern w:val="2"/>
          <w:sz w:val="32"/>
          <w:szCs w:val="32"/>
        </w:rPr>
      </w:pPr>
      <w:r>
        <w:rPr>
          <w:rStyle w:val="15"/>
          <w:rFonts w:eastAsia="方正仿宋_GBK"/>
          <w:sz w:val="32"/>
          <w:szCs w:val="32"/>
        </w:rPr>
        <w:t>（十七）其他资本性支出（支出经济分类科目类级）</w:t>
      </w:r>
      <w:r>
        <w:rPr>
          <w:rFonts w:ascii="Times New Roman" w:eastAsia="方正仿宋_GBK" w:hAnsi="Times New Roman" w:cs="Times New Roman"/>
          <w:sz w:val="32"/>
          <w:szCs w:val="32"/>
        </w:rPr>
        <w:t>：</w:t>
      </w:r>
      <w:r>
        <w:rPr>
          <w:rFonts w:ascii="Times New Roman" w:eastAsia="方正仿宋_GBK" w:hAnsi="Times New Roman" w:cs="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E01187" w:rsidRDefault="00E01187" w:rsidP="00E01187">
      <w:pPr>
        <w:pStyle w:val="a8"/>
        <w:widowControl w:val="0"/>
        <w:spacing w:before="0" w:beforeAutospacing="0" w:after="0" w:afterAutospacing="0" w:line="560" w:lineRule="exact"/>
        <w:ind w:firstLineChars="200" w:firstLine="643"/>
        <w:rPr>
          <w:rFonts w:ascii="Times New Roman" w:eastAsia="方正仿宋_GBK" w:hAnsi="Times New Roman" w:cs="Times New Roman"/>
          <w:sz w:val="32"/>
          <w:szCs w:val="32"/>
        </w:rPr>
      </w:pPr>
      <w:r>
        <w:rPr>
          <w:rStyle w:val="15"/>
          <w:rFonts w:eastAsia="方正仿宋_GBK"/>
          <w:sz w:val="32"/>
          <w:szCs w:val="32"/>
        </w:rPr>
        <w:t>七、决算公开联系方式及信息反馈渠道</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2"/>
          <w:sz w:val="32"/>
          <w:szCs w:val="32"/>
        </w:rPr>
        <w:t>本单位决算公开信息反馈和联系方式：</w:t>
      </w:r>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1</w:t>
      </w:r>
      <w:r>
        <w:rPr>
          <w:rFonts w:ascii="Times New Roman" w:eastAsia="方正仿宋_GBK" w:hAnsi="Times New Roman" w:cs="Times New Roman"/>
          <w:kern w:val="2"/>
          <w:sz w:val="32"/>
          <w:szCs w:val="32"/>
        </w:rPr>
        <w:t>、邮箱：</w:t>
      </w:r>
      <w:hyperlink r:id="rId7" w:history="1">
        <w:r>
          <w:rPr>
            <w:rStyle w:val="a6"/>
            <w:rFonts w:ascii="Times New Roman" w:eastAsia="方正仿宋_GBK" w:hAnsi="Times New Roman" w:cs="Times New Roman"/>
            <w:kern w:val="2"/>
            <w:sz w:val="32"/>
            <w:szCs w:val="32"/>
          </w:rPr>
          <w:t>654783279@qq.com</w:t>
        </w:r>
      </w:hyperlink>
    </w:p>
    <w:p w:rsidR="00E01187" w:rsidRDefault="00E01187" w:rsidP="00E01187">
      <w:pPr>
        <w:pStyle w:val="a8"/>
        <w:widowControl w:val="0"/>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w:t>
      </w:r>
      <w:r>
        <w:rPr>
          <w:rFonts w:ascii="Times New Roman" w:eastAsia="方正仿宋_GBK" w:hAnsi="Times New Roman" w:cs="Times New Roman"/>
          <w:kern w:val="2"/>
          <w:sz w:val="32"/>
          <w:szCs w:val="32"/>
        </w:rPr>
        <w:t>、联系电话：</w:t>
      </w:r>
      <w:r>
        <w:rPr>
          <w:rFonts w:ascii="Times New Roman" w:eastAsia="方正仿宋_GBK" w:hAnsi="Times New Roman" w:cs="Times New Roman"/>
          <w:kern w:val="2"/>
          <w:sz w:val="32"/>
          <w:szCs w:val="32"/>
        </w:rPr>
        <w:t>023</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78442652</w:t>
      </w:r>
    </w:p>
    <w:p w:rsidR="00E01187" w:rsidRDefault="00E01187" w:rsidP="00E01187">
      <w:pPr>
        <w:spacing w:line="500" w:lineRule="exact"/>
        <w:ind w:firstLineChars="200" w:firstLine="420"/>
      </w:pPr>
    </w:p>
    <w:p w:rsidR="00E01187" w:rsidRDefault="00E01187" w:rsidP="00E01187">
      <w:r>
        <w:br w:type="page"/>
      </w:r>
    </w:p>
    <w:p w:rsidR="00E01187" w:rsidRDefault="00E01187" w:rsidP="00E01187">
      <w:pPr>
        <w:jc w:val="center"/>
        <w:rPr>
          <w:color w:val="000000"/>
          <w:sz w:val="22"/>
          <w:szCs w:val="22"/>
        </w:rPr>
      </w:pPr>
      <w:r>
        <w:rPr>
          <w:rFonts w:eastAsia="黑体"/>
          <w:color w:val="000000"/>
          <w:kern w:val="0"/>
          <w:sz w:val="44"/>
          <w:szCs w:val="44"/>
        </w:rPr>
        <w:lastRenderedPageBreak/>
        <w:t>收入支出决算总表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01</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96"/>
        <w:gridCol w:w="2102"/>
        <w:gridCol w:w="3772"/>
        <w:gridCol w:w="2103"/>
      </w:tblGrid>
      <w:tr w:rsidR="00E01187" w:rsidTr="00D90578">
        <w:trPr>
          <w:trHeight w:val="300"/>
          <w:tblHeader/>
          <w:jc w:val="center"/>
        </w:trPr>
        <w:tc>
          <w:tcPr>
            <w:tcW w:w="8298"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收入</w:t>
            </w:r>
          </w:p>
        </w:tc>
        <w:tc>
          <w:tcPr>
            <w:tcW w:w="5875"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支出</w:t>
            </w:r>
          </w:p>
        </w:tc>
      </w:tr>
      <w:tr w:rsidR="00E01187" w:rsidTr="00D90578">
        <w:trPr>
          <w:trHeight w:val="300"/>
          <w:tblHeader/>
          <w:jc w:val="center"/>
        </w:trPr>
        <w:tc>
          <w:tcPr>
            <w:tcW w:w="6196"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w:t>
            </w:r>
          </w:p>
        </w:tc>
        <w:tc>
          <w:tcPr>
            <w:tcW w:w="210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决算数</w:t>
            </w:r>
          </w:p>
        </w:tc>
        <w:tc>
          <w:tcPr>
            <w:tcW w:w="377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功能分类科目</w:t>
            </w:r>
          </w:p>
        </w:tc>
        <w:tc>
          <w:tcPr>
            <w:tcW w:w="2103"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决算数</w:t>
            </w: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一、一般公共预算财政拨款收入</w:t>
            </w:r>
          </w:p>
        </w:tc>
        <w:tc>
          <w:tcPr>
            <w:tcW w:w="21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一、一般公共服务支出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二、政府性基金预算财政拨款收入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二、外交支出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三、国有资本经营预算财政拨款收入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三、国防支出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四、上级补助收入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四、公共安全支出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五、事业收入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五、教育支出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六、经营收入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六、科学技术支出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七、附属单位上缴收入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七、文化旅游体育与传媒支出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八、其他收入</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八、社会保障和就业支出</w:t>
            </w:r>
          </w:p>
        </w:tc>
        <w:tc>
          <w:tcPr>
            <w:tcW w:w="210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17.03</w:t>
            </w: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九、卫生健康支出</w:t>
            </w:r>
          </w:p>
        </w:tc>
        <w:tc>
          <w:tcPr>
            <w:tcW w:w="210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十、节能环保支出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十一、城乡社区支出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十二、农林水支出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十三、交通运输支出</w:t>
            </w:r>
          </w:p>
        </w:tc>
        <w:tc>
          <w:tcPr>
            <w:tcW w:w="210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141.05</w:t>
            </w: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十四、资源勘探信息等支出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十五、商业服务业等支出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十六、金融支出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十七、援助其他地区支出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十八、自然资源海洋气象等支出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十九、住房保障支出</w:t>
            </w:r>
          </w:p>
        </w:tc>
        <w:tc>
          <w:tcPr>
            <w:tcW w:w="210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二十、粮油物资储备支出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二十一、国有资本经营预算支出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二十二、灾害防治及应急管理支出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二十三、其他支出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left"/>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二十四、债务还本支出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center"/>
              <w:rPr>
                <w:b/>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二十五、债务付息支出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center"/>
              <w:rPr>
                <w:color w:val="000000"/>
                <w:sz w:val="20"/>
                <w:szCs w:val="20"/>
              </w:rPr>
            </w:pP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二十六、抗疫特别国债安排的支出</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本年收入合计</w:t>
            </w:r>
          </w:p>
        </w:tc>
        <w:tc>
          <w:tcPr>
            <w:tcW w:w="21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377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本年支出合计</w:t>
            </w:r>
          </w:p>
        </w:tc>
        <w:tc>
          <w:tcPr>
            <w:tcW w:w="210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使用非财政拨款结余</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结余分配</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年初结转和结余</w:t>
            </w:r>
          </w:p>
        </w:tc>
        <w:tc>
          <w:tcPr>
            <w:tcW w:w="2102" w:type="dxa"/>
            <w:tcMar>
              <w:top w:w="15" w:type="dxa"/>
              <w:left w:w="15" w:type="dxa"/>
              <w:right w:w="15" w:type="dxa"/>
            </w:tcMar>
            <w:vAlign w:val="center"/>
          </w:tcPr>
          <w:p w:rsidR="00E01187" w:rsidRDefault="00E01187" w:rsidP="00D90578">
            <w:pPr>
              <w:jc w:val="right"/>
              <w:rPr>
                <w:color w:val="000000"/>
                <w:sz w:val="20"/>
                <w:szCs w:val="20"/>
              </w:rPr>
            </w:pPr>
          </w:p>
        </w:tc>
        <w:tc>
          <w:tcPr>
            <w:tcW w:w="377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年末结转和结余</w:t>
            </w:r>
          </w:p>
        </w:tc>
        <w:tc>
          <w:tcPr>
            <w:tcW w:w="21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6196"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总计</w:t>
            </w:r>
          </w:p>
        </w:tc>
        <w:tc>
          <w:tcPr>
            <w:tcW w:w="21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377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总计</w:t>
            </w:r>
          </w:p>
        </w:tc>
        <w:tc>
          <w:tcPr>
            <w:tcW w:w="210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r>
      <w:tr w:rsidR="00E01187" w:rsidTr="00D90578">
        <w:trPr>
          <w:trHeight w:val="300"/>
          <w:jc w:val="center"/>
        </w:trPr>
        <w:tc>
          <w:tcPr>
            <w:tcW w:w="14173" w:type="dxa"/>
            <w:gridSpan w:val="4"/>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备注：本表反映部门本年度的总收支和年末结转结余等情况。</w:t>
            </w:r>
            <w:r>
              <w:rPr>
                <w:color w:val="000000"/>
                <w:kern w:val="0"/>
                <w:sz w:val="20"/>
                <w:szCs w:val="20"/>
              </w:rPr>
              <w:t xml:space="preserve"> </w:t>
            </w:r>
          </w:p>
        </w:tc>
      </w:tr>
    </w:tbl>
    <w:p w:rsidR="00E01187" w:rsidRDefault="00E01187" w:rsidP="00E01187">
      <w:pPr>
        <w:jc w:val="center"/>
        <w:rPr>
          <w:color w:val="000000"/>
          <w:sz w:val="22"/>
          <w:szCs w:val="22"/>
        </w:rPr>
      </w:pPr>
      <w:r>
        <w:br w:type="page"/>
      </w:r>
      <w:r>
        <w:rPr>
          <w:rFonts w:eastAsia="黑体"/>
          <w:color w:val="000000"/>
          <w:kern w:val="0"/>
          <w:sz w:val="44"/>
          <w:szCs w:val="44"/>
        </w:rPr>
        <w:lastRenderedPageBreak/>
        <w:t>收入决算表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02</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49"/>
        <w:gridCol w:w="3503"/>
        <w:gridCol w:w="1027"/>
        <w:gridCol w:w="1028"/>
        <w:gridCol w:w="1028"/>
        <w:gridCol w:w="1028"/>
        <w:gridCol w:w="1027"/>
        <w:gridCol w:w="1028"/>
        <w:gridCol w:w="1027"/>
        <w:gridCol w:w="1028"/>
      </w:tblGrid>
      <w:tr w:rsidR="00E01187" w:rsidTr="00D90578">
        <w:trPr>
          <w:trHeight w:val="300"/>
          <w:jc w:val="center"/>
        </w:trPr>
        <w:tc>
          <w:tcPr>
            <w:tcW w:w="5952" w:type="dxa"/>
            <w:gridSpan w:val="2"/>
            <w:tcMar>
              <w:top w:w="15" w:type="dxa"/>
              <w:left w:w="15" w:type="dxa"/>
              <w:right w:w="15" w:type="dxa"/>
            </w:tcMar>
            <w:vAlign w:val="center"/>
          </w:tcPr>
          <w:p w:rsidR="00E01187" w:rsidRDefault="00E01187" w:rsidP="00D90578">
            <w:pPr>
              <w:textAlignment w:val="center"/>
              <w:rPr>
                <w:b/>
                <w:color w:val="000000"/>
                <w:sz w:val="20"/>
                <w:szCs w:val="20"/>
              </w:rPr>
            </w:pPr>
            <w:r>
              <w:rPr>
                <w:b/>
                <w:color w:val="000000"/>
                <w:kern w:val="0"/>
                <w:sz w:val="20"/>
                <w:szCs w:val="20"/>
              </w:rPr>
              <w:t>项目</w:t>
            </w:r>
          </w:p>
        </w:tc>
        <w:tc>
          <w:tcPr>
            <w:tcW w:w="1027"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本年收入合计</w:t>
            </w:r>
          </w:p>
        </w:tc>
        <w:tc>
          <w:tcPr>
            <w:tcW w:w="1028"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财政拨款收入</w:t>
            </w:r>
          </w:p>
        </w:tc>
        <w:tc>
          <w:tcPr>
            <w:tcW w:w="1028"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上级补助收入</w:t>
            </w:r>
          </w:p>
        </w:tc>
        <w:tc>
          <w:tcPr>
            <w:tcW w:w="2055" w:type="dxa"/>
            <w:gridSpan w:val="2"/>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事业收入</w:t>
            </w:r>
          </w:p>
        </w:tc>
        <w:tc>
          <w:tcPr>
            <w:tcW w:w="1028"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经营收入</w:t>
            </w:r>
          </w:p>
        </w:tc>
        <w:tc>
          <w:tcPr>
            <w:tcW w:w="1027"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附属单位上缴收入</w:t>
            </w:r>
          </w:p>
        </w:tc>
        <w:tc>
          <w:tcPr>
            <w:tcW w:w="1028"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其他收入</w:t>
            </w:r>
          </w:p>
        </w:tc>
      </w:tr>
      <w:tr w:rsidR="00E01187" w:rsidTr="00D90578">
        <w:trPr>
          <w:trHeight w:val="315"/>
          <w:jc w:val="center"/>
        </w:trPr>
        <w:tc>
          <w:tcPr>
            <w:tcW w:w="2449"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功能分类科目编码</w:t>
            </w:r>
          </w:p>
        </w:tc>
        <w:tc>
          <w:tcPr>
            <w:tcW w:w="3503"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2055" w:type="dxa"/>
            <w:gridSpan w:val="2"/>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15"/>
          <w:jc w:val="center"/>
        </w:trPr>
        <w:tc>
          <w:tcPr>
            <w:tcW w:w="2449" w:type="dxa"/>
            <w:vMerge/>
            <w:tcMar>
              <w:top w:w="15" w:type="dxa"/>
              <w:left w:w="15" w:type="dxa"/>
              <w:right w:w="15" w:type="dxa"/>
            </w:tcMar>
            <w:vAlign w:val="center"/>
          </w:tcPr>
          <w:p w:rsidR="00E01187" w:rsidRDefault="00E01187" w:rsidP="00D90578">
            <w:pPr>
              <w:jc w:val="center"/>
              <w:rPr>
                <w:b/>
                <w:color w:val="000000"/>
                <w:sz w:val="20"/>
                <w:szCs w:val="20"/>
              </w:rPr>
            </w:pPr>
          </w:p>
        </w:tc>
        <w:tc>
          <w:tcPr>
            <w:tcW w:w="3503" w:type="dxa"/>
            <w:vMerge/>
            <w:tcMar>
              <w:top w:w="15" w:type="dxa"/>
              <w:left w:w="15" w:type="dxa"/>
              <w:right w:w="15" w:type="dxa"/>
            </w:tcMar>
            <w:vAlign w:val="center"/>
          </w:tcPr>
          <w:p w:rsidR="00E01187" w:rsidRDefault="00E01187" w:rsidP="00D90578">
            <w:pPr>
              <w:jc w:val="center"/>
              <w:rPr>
                <w:b/>
                <w:color w:val="000000"/>
                <w:sz w:val="20"/>
                <w:szCs w:val="20"/>
              </w:rPr>
            </w:pP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小计</w:t>
            </w:r>
          </w:p>
        </w:tc>
        <w:tc>
          <w:tcPr>
            <w:tcW w:w="1027"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其中：教育收费</w:t>
            </w: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15"/>
          <w:jc w:val="center"/>
        </w:trPr>
        <w:tc>
          <w:tcPr>
            <w:tcW w:w="2449" w:type="dxa"/>
            <w:vMerge/>
            <w:tcMar>
              <w:top w:w="15" w:type="dxa"/>
              <w:left w:w="15" w:type="dxa"/>
              <w:right w:w="15" w:type="dxa"/>
            </w:tcMar>
            <w:vAlign w:val="center"/>
          </w:tcPr>
          <w:p w:rsidR="00E01187" w:rsidRDefault="00E01187" w:rsidP="00D90578">
            <w:pPr>
              <w:jc w:val="center"/>
              <w:rPr>
                <w:b/>
                <w:color w:val="000000"/>
                <w:sz w:val="20"/>
                <w:szCs w:val="20"/>
              </w:rPr>
            </w:pPr>
          </w:p>
        </w:tc>
        <w:tc>
          <w:tcPr>
            <w:tcW w:w="3503" w:type="dxa"/>
            <w:vMerge/>
            <w:tcMar>
              <w:top w:w="15" w:type="dxa"/>
              <w:left w:w="15" w:type="dxa"/>
              <w:right w:w="15" w:type="dxa"/>
            </w:tcMar>
            <w:vAlign w:val="center"/>
          </w:tcPr>
          <w:p w:rsidR="00E01187" w:rsidRDefault="00E01187" w:rsidP="00D90578">
            <w:pPr>
              <w:jc w:val="center"/>
              <w:rPr>
                <w:b/>
                <w:color w:val="000000"/>
                <w:sz w:val="20"/>
                <w:szCs w:val="20"/>
              </w:rPr>
            </w:pP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c>
          <w:tcPr>
            <w:tcW w:w="1027" w:type="dxa"/>
            <w:vMerge/>
            <w:tcMar>
              <w:top w:w="15" w:type="dxa"/>
              <w:left w:w="15" w:type="dxa"/>
              <w:right w:w="15" w:type="dxa"/>
            </w:tcMar>
            <w:vAlign w:val="center"/>
          </w:tcPr>
          <w:p w:rsidR="00E01187" w:rsidRDefault="00E01187" w:rsidP="00D90578">
            <w:pPr>
              <w:jc w:val="center"/>
              <w:rPr>
                <w:b/>
                <w:color w:val="000000"/>
                <w:sz w:val="20"/>
                <w:szCs w:val="20"/>
              </w:rPr>
            </w:pPr>
          </w:p>
        </w:tc>
        <w:tc>
          <w:tcPr>
            <w:tcW w:w="1028"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00"/>
          <w:jc w:val="center"/>
        </w:trPr>
        <w:tc>
          <w:tcPr>
            <w:tcW w:w="5952"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208</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社会保障和就业支出</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20805</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行政事业单位养老支出</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2080502</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事业单位离退休</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2.30</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2.30</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2080505</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2080506</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210</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卫生健康支出</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21011</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行政事业单位医疗</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2101102</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214</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交通运输支出</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21401</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公路水路运输</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2140109</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交通运输信息化建设</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136.44</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136.44</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2140199</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其他公路水路运输支出</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221</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住房保障支出</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22102</w:t>
            </w:r>
          </w:p>
        </w:tc>
        <w:tc>
          <w:tcPr>
            <w:tcW w:w="3503"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住房改革支出</w:t>
            </w:r>
          </w:p>
        </w:tc>
        <w:tc>
          <w:tcPr>
            <w:tcW w:w="102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028"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c>
          <w:tcPr>
            <w:tcW w:w="1027" w:type="dxa"/>
            <w:tcMar>
              <w:top w:w="15" w:type="dxa"/>
              <w:left w:w="15" w:type="dxa"/>
              <w:right w:w="15" w:type="dxa"/>
            </w:tcMar>
            <w:vAlign w:val="center"/>
          </w:tcPr>
          <w:p w:rsidR="00E01187" w:rsidRDefault="00E01187" w:rsidP="00D90578">
            <w:pPr>
              <w:jc w:val="right"/>
              <w:rPr>
                <w:b/>
                <w:color w:val="000000"/>
                <w:sz w:val="20"/>
                <w:szCs w:val="20"/>
              </w:rPr>
            </w:pPr>
          </w:p>
        </w:tc>
        <w:tc>
          <w:tcPr>
            <w:tcW w:w="1028"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449"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lastRenderedPageBreak/>
              <w:t>2210201</w:t>
            </w:r>
          </w:p>
        </w:tc>
        <w:tc>
          <w:tcPr>
            <w:tcW w:w="350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02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028"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c>
          <w:tcPr>
            <w:tcW w:w="1027" w:type="dxa"/>
            <w:tcMar>
              <w:top w:w="15" w:type="dxa"/>
              <w:left w:w="15" w:type="dxa"/>
              <w:right w:w="15" w:type="dxa"/>
            </w:tcMar>
            <w:vAlign w:val="center"/>
          </w:tcPr>
          <w:p w:rsidR="00E01187" w:rsidRDefault="00E01187" w:rsidP="00D90578">
            <w:pPr>
              <w:jc w:val="right"/>
              <w:rPr>
                <w:color w:val="000000"/>
                <w:sz w:val="20"/>
                <w:szCs w:val="20"/>
              </w:rPr>
            </w:pPr>
          </w:p>
        </w:tc>
        <w:tc>
          <w:tcPr>
            <w:tcW w:w="1028"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4173" w:type="dxa"/>
            <w:gridSpan w:val="10"/>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备注：本表反映部门本年度取得的各项收入情况。</w:t>
            </w:r>
          </w:p>
        </w:tc>
      </w:tr>
    </w:tbl>
    <w:p w:rsidR="00E01187" w:rsidRDefault="00E01187" w:rsidP="00E01187">
      <w:pPr>
        <w:jc w:val="center"/>
        <w:rPr>
          <w:color w:val="000000"/>
          <w:sz w:val="22"/>
          <w:szCs w:val="22"/>
        </w:rPr>
      </w:pPr>
      <w:r>
        <w:br w:type="page"/>
      </w:r>
      <w:r>
        <w:rPr>
          <w:rFonts w:eastAsia="黑体"/>
          <w:color w:val="000000"/>
          <w:kern w:val="0"/>
          <w:sz w:val="44"/>
          <w:szCs w:val="44"/>
        </w:rPr>
        <w:lastRenderedPageBreak/>
        <w:t>支出决算表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03</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35"/>
        <w:gridCol w:w="4626"/>
        <w:gridCol w:w="1202"/>
        <w:gridCol w:w="1202"/>
        <w:gridCol w:w="1202"/>
        <w:gridCol w:w="1202"/>
        <w:gridCol w:w="1202"/>
        <w:gridCol w:w="1202"/>
      </w:tblGrid>
      <w:tr w:rsidR="00E01187" w:rsidTr="00D90578">
        <w:trPr>
          <w:trHeight w:val="300"/>
          <w:tblHeader/>
          <w:jc w:val="center"/>
        </w:trPr>
        <w:tc>
          <w:tcPr>
            <w:tcW w:w="6961"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w:t>
            </w:r>
          </w:p>
        </w:tc>
        <w:tc>
          <w:tcPr>
            <w:tcW w:w="1202"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本年支出合计</w:t>
            </w:r>
          </w:p>
        </w:tc>
        <w:tc>
          <w:tcPr>
            <w:tcW w:w="1202"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基本支出</w:t>
            </w:r>
          </w:p>
        </w:tc>
        <w:tc>
          <w:tcPr>
            <w:tcW w:w="1202"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项目支出</w:t>
            </w:r>
          </w:p>
        </w:tc>
        <w:tc>
          <w:tcPr>
            <w:tcW w:w="1202"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上缴上级支出</w:t>
            </w:r>
          </w:p>
        </w:tc>
        <w:tc>
          <w:tcPr>
            <w:tcW w:w="1202"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经营支出</w:t>
            </w:r>
          </w:p>
        </w:tc>
        <w:tc>
          <w:tcPr>
            <w:tcW w:w="1202"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对附属单位补助支出</w:t>
            </w:r>
          </w:p>
        </w:tc>
      </w:tr>
      <w:tr w:rsidR="00E01187" w:rsidTr="00D90578">
        <w:trPr>
          <w:trHeight w:val="315"/>
          <w:tblHeader/>
          <w:jc w:val="center"/>
        </w:trPr>
        <w:tc>
          <w:tcPr>
            <w:tcW w:w="2335"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功能分类科目编码</w:t>
            </w:r>
          </w:p>
        </w:tc>
        <w:tc>
          <w:tcPr>
            <w:tcW w:w="4626"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15"/>
          <w:tblHeader/>
          <w:jc w:val="center"/>
        </w:trPr>
        <w:tc>
          <w:tcPr>
            <w:tcW w:w="2335" w:type="dxa"/>
            <w:vMerge/>
            <w:tcMar>
              <w:top w:w="15" w:type="dxa"/>
              <w:left w:w="15" w:type="dxa"/>
              <w:right w:w="15" w:type="dxa"/>
            </w:tcMar>
            <w:vAlign w:val="center"/>
          </w:tcPr>
          <w:p w:rsidR="00E01187" w:rsidRDefault="00E01187" w:rsidP="00D90578">
            <w:pPr>
              <w:jc w:val="center"/>
              <w:rPr>
                <w:b/>
                <w:color w:val="000000"/>
                <w:sz w:val="20"/>
                <w:szCs w:val="20"/>
              </w:rPr>
            </w:pPr>
          </w:p>
        </w:tc>
        <w:tc>
          <w:tcPr>
            <w:tcW w:w="4626"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15"/>
          <w:tblHeader/>
          <w:jc w:val="center"/>
        </w:trPr>
        <w:tc>
          <w:tcPr>
            <w:tcW w:w="2335" w:type="dxa"/>
            <w:vMerge/>
            <w:tcMar>
              <w:top w:w="15" w:type="dxa"/>
              <w:left w:w="15" w:type="dxa"/>
              <w:right w:w="15" w:type="dxa"/>
            </w:tcMar>
            <w:vAlign w:val="center"/>
          </w:tcPr>
          <w:p w:rsidR="00E01187" w:rsidRDefault="00E01187" w:rsidP="00D90578">
            <w:pPr>
              <w:jc w:val="center"/>
              <w:rPr>
                <w:b/>
                <w:color w:val="000000"/>
                <w:sz w:val="20"/>
                <w:szCs w:val="20"/>
              </w:rPr>
            </w:pPr>
          </w:p>
        </w:tc>
        <w:tc>
          <w:tcPr>
            <w:tcW w:w="4626"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c>
          <w:tcPr>
            <w:tcW w:w="1202"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00"/>
          <w:jc w:val="center"/>
        </w:trPr>
        <w:tc>
          <w:tcPr>
            <w:tcW w:w="6961"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208</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社会保障和就业支出</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20805</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行政事业单位养老支出</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2080502</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事业单位离退休</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2.30</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2.30</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2080505</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2080506</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210</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卫生健康支出</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21011</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行政事业单位医疗</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2101102</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214</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交通运输支出</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21401</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公路水路运输</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2140109</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交通运输信息化建设</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136.44</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136.44</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2140199</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其他公路水路运输支出</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221</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住房保障支出</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22102</w:t>
            </w:r>
          </w:p>
        </w:tc>
        <w:tc>
          <w:tcPr>
            <w:tcW w:w="4626"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住房改革支出</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202"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c>
          <w:tcPr>
            <w:tcW w:w="1202"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233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lastRenderedPageBreak/>
              <w:t>2210201</w:t>
            </w:r>
          </w:p>
        </w:tc>
        <w:tc>
          <w:tcPr>
            <w:tcW w:w="462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20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c>
          <w:tcPr>
            <w:tcW w:w="120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4173" w:type="dxa"/>
            <w:gridSpan w:val="8"/>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备注：本表反映部门本年度各项支出情况。</w:t>
            </w:r>
          </w:p>
        </w:tc>
      </w:tr>
    </w:tbl>
    <w:p w:rsidR="00E01187" w:rsidRDefault="00E01187" w:rsidP="00E01187">
      <w:r>
        <w:br w:type="page"/>
      </w:r>
    </w:p>
    <w:p w:rsidR="00E01187" w:rsidRDefault="00E01187" w:rsidP="00E01187">
      <w:pPr>
        <w:jc w:val="center"/>
        <w:rPr>
          <w:color w:val="000000"/>
          <w:sz w:val="22"/>
          <w:szCs w:val="22"/>
        </w:rPr>
      </w:pPr>
      <w:r>
        <w:rPr>
          <w:rFonts w:eastAsia="黑体"/>
          <w:color w:val="000000"/>
          <w:kern w:val="0"/>
          <w:sz w:val="44"/>
          <w:szCs w:val="44"/>
        </w:rPr>
        <w:lastRenderedPageBreak/>
        <w:t>财政拨款收入支出决算总表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04</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95"/>
        <w:gridCol w:w="1631"/>
        <w:gridCol w:w="2620"/>
        <w:gridCol w:w="1511"/>
        <w:gridCol w:w="1500"/>
        <w:gridCol w:w="1413"/>
        <w:gridCol w:w="1303"/>
      </w:tblGrid>
      <w:tr w:rsidR="00E01187" w:rsidTr="00D90578">
        <w:trPr>
          <w:trHeight w:val="300"/>
          <w:tblHeader/>
          <w:jc w:val="center"/>
        </w:trPr>
        <w:tc>
          <w:tcPr>
            <w:tcW w:w="5826"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收</w:t>
            </w:r>
            <w:r>
              <w:rPr>
                <w:b/>
                <w:color w:val="000000"/>
                <w:kern w:val="0"/>
                <w:sz w:val="20"/>
                <w:szCs w:val="20"/>
              </w:rPr>
              <w:t xml:space="preserve">     </w:t>
            </w:r>
            <w:r>
              <w:rPr>
                <w:b/>
                <w:color w:val="000000"/>
                <w:kern w:val="0"/>
                <w:sz w:val="20"/>
                <w:szCs w:val="20"/>
              </w:rPr>
              <w:t>入</w:t>
            </w:r>
          </w:p>
        </w:tc>
        <w:tc>
          <w:tcPr>
            <w:tcW w:w="8347" w:type="dxa"/>
            <w:gridSpan w:val="5"/>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支</w:t>
            </w:r>
            <w:r>
              <w:rPr>
                <w:b/>
                <w:color w:val="000000"/>
                <w:kern w:val="0"/>
                <w:sz w:val="20"/>
                <w:szCs w:val="20"/>
              </w:rPr>
              <w:t xml:space="preserve">     </w:t>
            </w:r>
            <w:r>
              <w:rPr>
                <w:b/>
                <w:color w:val="000000"/>
                <w:kern w:val="0"/>
                <w:sz w:val="20"/>
                <w:szCs w:val="20"/>
              </w:rPr>
              <w:t>出</w:t>
            </w:r>
          </w:p>
        </w:tc>
      </w:tr>
      <w:tr w:rsidR="00E01187" w:rsidTr="00D90578">
        <w:trPr>
          <w:trHeight w:val="285"/>
          <w:tblHeader/>
          <w:jc w:val="center"/>
        </w:trPr>
        <w:tc>
          <w:tcPr>
            <w:tcW w:w="4195"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w:t>
            </w:r>
            <w:r>
              <w:rPr>
                <w:b/>
                <w:color w:val="000000"/>
                <w:kern w:val="0"/>
                <w:sz w:val="20"/>
                <w:szCs w:val="20"/>
              </w:rPr>
              <w:t xml:space="preserve">    </w:t>
            </w:r>
            <w:r>
              <w:rPr>
                <w:b/>
                <w:color w:val="000000"/>
                <w:kern w:val="0"/>
                <w:sz w:val="20"/>
                <w:szCs w:val="20"/>
              </w:rPr>
              <w:t>目</w:t>
            </w:r>
          </w:p>
        </w:tc>
        <w:tc>
          <w:tcPr>
            <w:tcW w:w="1631"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决算数</w:t>
            </w:r>
          </w:p>
        </w:tc>
        <w:tc>
          <w:tcPr>
            <w:tcW w:w="2620"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功能分类科目</w:t>
            </w:r>
          </w:p>
        </w:tc>
        <w:tc>
          <w:tcPr>
            <w:tcW w:w="5727" w:type="dxa"/>
            <w:gridSpan w:val="4"/>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决算数</w:t>
            </w:r>
          </w:p>
        </w:tc>
      </w:tr>
      <w:tr w:rsidR="00E01187" w:rsidTr="00D90578">
        <w:trPr>
          <w:trHeight w:val="600"/>
          <w:tblHeader/>
          <w:jc w:val="center"/>
        </w:trPr>
        <w:tc>
          <w:tcPr>
            <w:tcW w:w="4195" w:type="dxa"/>
            <w:vMerge/>
            <w:tcMar>
              <w:top w:w="15" w:type="dxa"/>
              <w:left w:w="15" w:type="dxa"/>
              <w:right w:w="15" w:type="dxa"/>
            </w:tcMar>
            <w:vAlign w:val="center"/>
          </w:tcPr>
          <w:p w:rsidR="00E01187" w:rsidRDefault="00E01187" w:rsidP="00D90578">
            <w:pPr>
              <w:jc w:val="center"/>
              <w:rPr>
                <w:b/>
                <w:color w:val="000000"/>
                <w:sz w:val="20"/>
                <w:szCs w:val="20"/>
              </w:rPr>
            </w:pPr>
          </w:p>
        </w:tc>
        <w:tc>
          <w:tcPr>
            <w:tcW w:w="1631" w:type="dxa"/>
            <w:vMerge/>
            <w:tcMar>
              <w:top w:w="15" w:type="dxa"/>
              <w:left w:w="15" w:type="dxa"/>
              <w:right w:w="15" w:type="dxa"/>
            </w:tcMar>
            <w:vAlign w:val="center"/>
          </w:tcPr>
          <w:p w:rsidR="00E01187" w:rsidRDefault="00E01187" w:rsidP="00D90578">
            <w:pPr>
              <w:jc w:val="center"/>
              <w:rPr>
                <w:b/>
                <w:color w:val="000000"/>
                <w:sz w:val="20"/>
                <w:szCs w:val="20"/>
              </w:rPr>
            </w:pPr>
          </w:p>
        </w:tc>
        <w:tc>
          <w:tcPr>
            <w:tcW w:w="2620" w:type="dxa"/>
            <w:vMerge/>
            <w:tcMar>
              <w:top w:w="15" w:type="dxa"/>
              <w:left w:w="15" w:type="dxa"/>
              <w:right w:w="15" w:type="dxa"/>
            </w:tcMar>
            <w:vAlign w:val="center"/>
          </w:tcPr>
          <w:p w:rsidR="00E01187" w:rsidRDefault="00E01187" w:rsidP="00D90578">
            <w:pPr>
              <w:jc w:val="center"/>
              <w:rPr>
                <w:b/>
                <w:color w:val="000000"/>
                <w:sz w:val="20"/>
                <w:szCs w:val="20"/>
              </w:rPr>
            </w:pPr>
          </w:p>
        </w:tc>
        <w:tc>
          <w:tcPr>
            <w:tcW w:w="1511"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小计</w:t>
            </w:r>
          </w:p>
        </w:tc>
        <w:tc>
          <w:tcPr>
            <w:tcW w:w="1500"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一般公共预算财政拨款</w:t>
            </w:r>
          </w:p>
        </w:tc>
        <w:tc>
          <w:tcPr>
            <w:tcW w:w="1413"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政府性基金预算财政拨款</w:t>
            </w:r>
          </w:p>
        </w:tc>
        <w:tc>
          <w:tcPr>
            <w:tcW w:w="1303"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国有资本经营预算财政拨款</w:t>
            </w: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一、一般公共预算财政拨款</w:t>
            </w:r>
          </w:p>
        </w:tc>
        <w:tc>
          <w:tcPr>
            <w:tcW w:w="163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一、一般公共服务支出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二、政府性基金预算财政拨款</w:t>
            </w: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二、外交支出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三、国有资本经营预算财政拨款</w:t>
            </w: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三、国防支出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四、公共安全支出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五、教育支出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六、科学技术支出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七、文化旅游体育与传媒支出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八、社会保障和就业支出</w:t>
            </w:r>
          </w:p>
        </w:tc>
        <w:tc>
          <w:tcPr>
            <w:tcW w:w="15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17.03</w:t>
            </w:r>
          </w:p>
        </w:tc>
        <w:tc>
          <w:tcPr>
            <w:tcW w:w="150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17.03</w:t>
            </w: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九、卫生健康支出</w:t>
            </w:r>
          </w:p>
        </w:tc>
        <w:tc>
          <w:tcPr>
            <w:tcW w:w="15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50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十、节能环保支出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十一、城乡社区支出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十二、农林水支出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十三、交通运输支出</w:t>
            </w:r>
          </w:p>
        </w:tc>
        <w:tc>
          <w:tcPr>
            <w:tcW w:w="15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141.05</w:t>
            </w:r>
          </w:p>
        </w:tc>
        <w:tc>
          <w:tcPr>
            <w:tcW w:w="150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141.05</w:t>
            </w: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十四、资源勘探工业信息等支出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十五、商业服务业等支出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十六、金融支出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十七、援助其他地区支出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十八、自然资源海洋气象等支出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十九、住房保障支出</w:t>
            </w:r>
          </w:p>
        </w:tc>
        <w:tc>
          <w:tcPr>
            <w:tcW w:w="15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50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二十、粮油物资储备支出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二十一、国有资本经营预算支出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二十二、灾害防治及应急管理支出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二十三、其他支出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rPr>
                <w:color w:val="000000"/>
                <w:sz w:val="20"/>
                <w:szCs w:val="20"/>
              </w:rPr>
            </w:pP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二十四、债务还本支出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本年收入合计</w:t>
            </w:r>
          </w:p>
        </w:tc>
        <w:tc>
          <w:tcPr>
            <w:tcW w:w="163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二十五、债务付息支出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年初财政拨款结转和结余</w:t>
            </w: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二十六、抗疫特别国债安排的支出</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一、一般公共预算财政拨款</w:t>
            </w: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本年支出合计</w:t>
            </w:r>
          </w:p>
        </w:tc>
        <w:tc>
          <w:tcPr>
            <w:tcW w:w="15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50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二、政府性基金预算财政拨款</w:t>
            </w: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年末财政拨款结转和结余</w:t>
            </w: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三、国有资本经营预算财政拨款</w:t>
            </w:r>
          </w:p>
        </w:tc>
        <w:tc>
          <w:tcPr>
            <w:tcW w:w="1631" w:type="dxa"/>
            <w:tcMar>
              <w:top w:w="15" w:type="dxa"/>
              <w:left w:w="15" w:type="dxa"/>
              <w:right w:w="15" w:type="dxa"/>
            </w:tcMar>
            <w:vAlign w:val="center"/>
          </w:tcPr>
          <w:p w:rsidR="00E01187" w:rsidRDefault="00E01187" w:rsidP="00D90578">
            <w:pPr>
              <w:jc w:val="right"/>
              <w:rPr>
                <w:color w:val="000000"/>
                <w:sz w:val="20"/>
                <w:szCs w:val="20"/>
              </w:rPr>
            </w:pPr>
          </w:p>
        </w:tc>
        <w:tc>
          <w:tcPr>
            <w:tcW w:w="2620" w:type="dxa"/>
            <w:tcMar>
              <w:top w:w="15" w:type="dxa"/>
              <w:left w:w="15" w:type="dxa"/>
              <w:right w:w="15" w:type="dxa"/>
            </w:tcMar>
            <w:vAlign w:val="center"/>
          </w:tcPr>
          <w:p w:rsidR="00E01187" w:rsidRDefault="00E01187" w:rsidP="00D90578">
            <w:pPr>
              <w:jc w:val="left"/>
              <w:rPr>
                <w:color w:val="000000"/>
                <w:sz w:val="20"/>
                <w:szCs w:val="20"/>
              </w:rPr>
            </w:pPr>
          </w:p>
        </w:tc>
        <w:tc>
          <w:tcPr>
            <w:tcW w:w="1511" w:type="dxa"/>
            <w:tcMar>
              <w:top w:w="15" w:type="dxa"/>
              <w:left w:w="15" w:type="dxa"/>
              <w:right w:w="15" w:type="dxa"/>
            </w:tcMar>
            <w:vAlign w:val="center"/>
          </w:tcPr>
          <w:p w:rsidR="00E01187" w:rsidRDefault="00E01187" w:rsidP="00D90578">
            <w:pPr>
              <w:jc w:val="right"/>
              <w:rPr>
                <w:color w:val="000000"/>
                <w:sz w:val="20"/>
                <w:szCs w:val="20"/>
              </w:rPr>
            </w:pPr>
          </w:p>
        </w:tc>
        <w:tc>
          <w:tcPr>
            <w:tcW w:w="1500" w:type="dxa"/>
            <w:tcMar>
              <w:top w:w="15" w:type="dxa"/>
              <w:left w:w="15" w:type="dxa"/>
              <w:right w:w="15" w:type="dxa"/>
            </w:tcMar>
            <w:vAlign w:val="center"/>
          </w:tcPr>
          <w:p w:rsidR="00E01187" w:rsidRDefault="00E01187" w:rsidP="00D90578">
            <w:pPr>
              <w:jc w:val="right"/>
              <w:rPr>
                <w:color w:val="000000"/>
                <w:sz w:val="20"/>
                <w:szCs w:val="20"/>
              </w:rPr>
            </w:pP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95"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总计</w:t>
            </w:r>
          </w:p>
        </w:tc>
        <w:tc>
          <w:tcPr>
            <w:tcW w:w="163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2620"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总计</w:t>
            </w:r>
          </w:p>
        </w:tc>
        <w:tc>
          <w:tcPr>
            <w:tcW w:w="15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50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413" w:type="dxa"/>
            <w:tcMar>
              <w:top w:w="15" w:type="dxa"/>
              <w:left w:w="15" w:type="dxa"/>
              <w:right w:w="15" w:type="dxa"/>
            </w:tcMar>
            <w:vAlign w:val="center"/>
          </w:tcPr>
          <w:p w:rsidR="00E01187" w:rsidRDefault="00E01187" w:rsidP="00D90578">
            <w:pPr>
              <w:jc w:val="right"/>
              <w:rPr>
                <w:color w:val="000000"/>
                <w:sz w:val="20"/>
                <w:szCs w:val="20"/>
              </w:rPr>
            </w:pPr>
          </w:p>
        </w:tc>
        <w:tc>
          <w:tcPr>
            <w:tcW w:w="130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870" w:type="dxa"/>
            <w:gridSpan w:val="6"/>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备注：本表反映部门本年度一般公共预算财政拨款、政府性基金预算财政拨款及国有资本经营预算财政拨款的总收支和年末结转结余情况。</w:t>
            </w:r>
          </w:p>
        </w:tc>
        <w:tc>
          <w:tcPr>
            <w:tcW w:w="1303" w:type="dxa"/>
            <w:tcMar>
              <w:top w:w="15" w:type="dxa"/>
              <w:left w:w="15" w:type="dxa"/>
              <w:right w:w="15" w:type="dxa"/>
            </w:tcMar>
            <w:vAlign w:val="center"/>
          </w:tcPr>
          <w:p w:rsidR="00E01187" w:rsidRDefault="00E01187" w:rsidP="00D90578">
            <w:pPr>
              <w:jc w:val="left"/>
              <w:rPr>
                <w:color w:val="000000"/>
                <w:sz w:val="20"/>
                <w:szCs w:val="20"/>
              </w:rPr>
            </w:pPr>
          </w:p>
        </w:tc>
      </w:tr>
    </w:tbl>
    <w:p w:rsidR="00E01187" w:rsidRDefault="00E01187" w:rsidP="00E01187">
      <w:r>
        <w:br w:type="page"/>
      </w:r>
    </w:p>
    <w:p w:rsidR="00E01187" w:rsidRDefault="00E01187" w:rsidP="00E01187">
      <w:pPr>
        <w:jc w:val="center"/>
        <w:rPr>
          <w:color w:val="000000"/>
          <w:sz w:val="22"/>
          <w:szCs w:val="22"/>
        </w:rPr>
      </w:pPr>
      <w:r>
        <w:rPr>
          <w:rFonts w:eastAsia="黑体"/>
          <w:color w:val="000000"/>
          <w:kern w:val="0"/>
          <w:sz w:val="44"/>
          <w:szCs w:val="44"/>
        </w:rPr>
        <w:lastRenderedPageBreak/>
        <w:t>一般公共预算财政拨款支出决算表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05</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72"/>
        <w:gridCol w:w="3231"/>
        <w:gridCol w:w="1857"/>
        <w:gridCol w:w="1857"/>
        <w:gridCol w:w="1856"/>
      </w:tblGrid>
      <w:tr w:rsidR="00E01187" w:rsidTr="00D90578">
        <w:trPr>
          <w:trHeight w:val="300"/>
          <w:jc w:val="center"/>
        </w:trPr>
        <w:tc>
          <w:tcPr>
            <w:tcW w:w="8603" w:type="dxa"/>
            <w:gridSpan w:val="2"/>
            <w:tcMar>
              <w:top w:w="15" w:type="dxa"/>
              <w:left w:w="15" w:type="dxa"/>
              <w:right w:w="15" w:type="dxa"/>
            </w:tcMar>
            <w:vAlign w:val="center"/>
          </w:tcPr>
          <w:p w:rsidR="00E01187" w:rsidRDefault="00E01187" w:rsidP="00D90578">
            <w:pPr>
              <w:textAlignment w:val="center"/>
              <w:rPr>
                <w:b/>
                <w:color w:val="000000"/>
                <w:sz w:val="20"/>
                <w:szCs w:val="20"/>
              </w:rPr>
            </w:pPr>
            <w:r>
              <w:rPr>
                <w:b/>
                <w:color w:val="000000"/>
                <w:kern w:val="0"/>
                <w:sz w:val="20"/>
                <w:szCs w:val="20"/>
              </w:rPr>
              <w:t>项目</w:t>
            </w:r>
          </w:p>
        </w:tc>
        <w:tc>
          <w:tcPr>
            <w:tcW w:w="5570" w:type="dxa"/>
            <w:gridSpan w:val="3"/>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本年支出</w:t>
            </w: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功能分类科目编码</w:t>
            </w:r>
          </w:p>
        </w:tc>
        <w:tc>
          <w:tcPr>
            <w:tcW w:w="3231"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857"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1857"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基本支出</w:t>
            </w:r>
          </w:p>
        </w:tc>
        <w:tc>
          <w:tcPr>
            <w:tcW w:w="1856"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项目支出</w:t>
            </w:r>
          </w:p>
        </w:tc>
      </w:tr>
      <w:tr w:rsidR="00E01187" w:rsidTr="00D90578">
        <w:trPr>
          <w:trHeight w:val="300"/>
          <w:jc w:val="center"/>
        </w:trPr>
        <w:tc>
          <w:tcPr>
            <w:tcW w:w="8603"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176.44</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208</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社会保障和就业支出</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20805</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行政事业单位养老支出</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17.03</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2080502</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事业单位离退休</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2.30</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2.30</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2080505</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机关事业单位基本养老保险缴费支出</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2080506</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机关事业单位职业年金缴费支出</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210</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卫生健康支出</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21011</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行政事业单位医疗</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6.70</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2101102</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事业单位医疗</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6.70</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214</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交通运输支出</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21401</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公路水路运输</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141.05</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2140109</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交通运输信息化建设</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136.44</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136.44</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2140199</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其他公路水路运输支出</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221</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住房保障支出</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22102</w:t>
            </w:r>
          </w:p>
        </w:tc>
        <w:tc>
          <w:tcPr>
            <w:tcW w:w="3231"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住房改革支出</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857" w:type="dxa"/>
            <w:tcMar>
              <w:top w:w="15" w:type="dxa"/>
              <w:left w:w="15" w:type="dxa"/>
              <w:right w:w="15" w:type="dxa"/>
            </w:tcMar>
            <w:vAlign w:val="center"/>
          </w:tcPr>
          <w:p w:rsidR="00E01187" w:rsidRDefault="00E01187" w:rsidP="00D90578">
            <w:pPr>
              <w:jc w:val="right"/>
              <w:textAlignment w:val="center"/>
              <w:rPr>
                <w:b/>
                <w:color w:val="000000"/>
                <w:sz w:val="20"/>
                <w:szCs w:val="20"/>
              </w:rPr>
            </w:pPr>
            <w:r>
              <w:rPr>
                <w:b/>
                <w:color w:val="000000"/>
                <w:kern w:val="0"/>
                <w:sz w:val="20"/>
                <w:szCs w:val="20"/>
              </w:rPr>
              <w:t>11.66</w:t>
            </w:r>
          </w:p>
        </w:tc>
        <w:tc>
          <w:tcPr>
            <w:tcW w:w="1856" w:type="dxa"/>
            <w:tcMar>
              <w:top w:w="15" w:type="dxa"/>
              <w:left w:w="15" w:type="dxa"/>
              <w:right w:w="15" w:type="dxa"/>
            </w:tcMar>
            <w:vAlign w:val="center"/>
          </w:tcPr>
          <w:p w:rsidR="00E01187" w:rsidRDefault="00E01187" w:rsidP="00D90578">
            <w:pPr>
              <w:jc w:val="right"/>
              <w:rPr>
                <w:b/>
                <w:color w:val="000000"/>
                <w:sz w:val="20"/>
                <w:szCs w:val="20"/>
              </w:rPr>
            </w:pPr>
          </w:p>
        </w:tc>
      </w:tr>
      <w:tr w:rsidR="00E01187" w:rsidTr="00D90578">
        <w:trPr>
          <w:trHeight w:val="300"/>
          <w:jc w:val="center"/>
        </w:trPr>
        <w:tc>
          <w:tcPr>
            <w:tcW w:w="5372"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2210201</w:t>
            </w:r>
          </w:p>
        </w:tc>
        <w:tc>
          <w:tcPr>
            <w:tcW w:w="3231"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857"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856"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4173" w:type="dxa"/>
            <w:gridSpan w:val="5"/>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备注：本表反映部门本年度一般公共预算财政拨款支出情况。</w:t>
            </w:r>
          </w:p>
        </w:tc>
      </w:tr>
    </w:tbl>
    <w:p w:rsidR="00E01187" w:rsidRDefault="00E01187" w:rsidP="00E01187">
      <w:r>
        <w:lastRenderedPageBreak/>
        <w:br w:type="page"/>
      </w:r>
    </w:p>
    <w:p w:rsidR="00E01187" w:rsidRDefault="00E01187" w:rsidP="00E01187">
      <w:pPr>
        <w:jc w:val="center"/>
        <w:rPr>
          <w:color w:val="000000"/>
          <w:sz w:val="22"/>
          <w:szCs w:val="22"/>
        </w:rPr>
      </w:pPr>
      <w:r>
        <w:rPr>
          <w:rFonts w:eastAsia="黑体"/>
          <w:color w:val="000000"/>
          <w:kern w:val="0"/>
          <w:sz w:val="44"/>
          <w:szCs w:val="44"/>
        </w:rPr>
        <w:lastRenderedPageBreak/>
        <w:t>一般公共预算财政拨款基本支出决算表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06</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5"/>
        <w:gridCol w:w="3090"/>
        <w:gridCol w:w="1050"/>
        <w:gridCol w:w="1020"/>
        <w:gridCol w:w="2846"/>
        <w:gridCol w:w="911"/>
        <w:gridCol w:w="953"/>
        <w:gridCol w:w="1955"/>
        <w:gridCol w:w="1123"/>
      </w:tblGrid>
      <w:tr w:rsidR="00E01187" w:rsidTr="00D90578">
        <w:trPr>
          <w:trHeight w:val="300"/>
          <w:tblHeader/>
          <w:jc w:val="center"/>
        </w:trPr>
        <w:tc>
          <w:tcPr>
            <w:tcW w:w="5365" w:type="dxa"/>
            <w:gridSpan w:val="3"/>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人员经费</w:t>
            </w:r>
          </w:p>
        </w:tc>
        <w:tc>
          <w:tcPr>
            <w:tcW w:w="8808" w:type="dxa"/>
            <w:gridSpan w:val="6"/>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公用经费</w:t>
            </w:r>
          </w:p>
        </w:tc>
      </w:tr>
      <w:tr w:rsidR="00E01187" w:rsidTr="00D90578">
        <w:trPr>
          <w:trHeight w:val="315"/>
          <w:tblHeader/>
          <w:jc w:val="center"/>
        </w:trPr>
        <w:tc>
          <w:tcPr>
            <w:tcW w:w="1225"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经济分类科目编码</w:t>
            </w:r>
          </w:p>
        </w:tc>
        <w:tc>
          <w:tcPr>
            <w:tcW w:w="3090"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1050"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金额</w:t>
            </w:r>
          </w:p>
        </w:tc>
        <w:tc>
          <w:tcPr>
            <w:tcW w:w="1020"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经济分类科目编码</w:t>
            </w:r>
          </w:p>
        </w:tc>
        <w:tc>
          <w:tcPr>
            <w:tcW w:w="2846"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911"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金额</w:t>
            </w:r>
          </w:p>
        </w:tc>
        <w:tc>
          <w:tcPr>
            <w:tcW w:w="953"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经济分类科目编码</w:t>
            </w:r>
          </w:p>
        </w:tc>
        <w:tc>
          <w:tcPr>
            <w:tcW w:w="1955"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经济分类科目（按</w:t>
            </w:r>
            <w:r>
              <w:rPr>
                <w:b/>
                <w:color w:val="000000"/>
                <w:kern w:val="0"/>
                <w:sz w:val="20"/>
                <w:szCs w:val="20"/>
              </w:rPr>
              <w:t>“</w:t>
            </w:r>
            <w:r>
              <w:rPr>
                <w:b/>
                <w:color w:val="000000"/>
                <w:kern w:val="0"/>
                <w:sz w:val="20"/>
                <w:szCs w:val="20"/>
              </w:rPr>
              <w:t>款</w:t>
            </w:r>
            <w:r>
              <w:rPr>
                <w:b/>
                <w:color w:val="000000"/>
                <w:kern w:val="0"/>
                <w:sz w:val="20"/>
                <w:szCs w:val="20"/>
              </w:rPr>
              <w:t>”</w:t>
            </w:r>
            <w:r>
              <w:rPr>
                <w:b/>
                <w:color w:val="000000"/>
                <w:kern w:val="0"/>
                <w:sz w:val="20"/>
                <w:szCs w:val="20"/>
              </w:rPr>
              <w:t>级功能分类科目）</w:t>
            </w:r>
          </w:p>
        </w:tc>
        <w:tc>
          <w:tcPr>
            <w:tcW w:w="1123" w:type="dxa"/>
            <w:vMerge w:val="restart"/>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金额</w:t>
            </w:r>
          </w:p>
        </w:tc>
      </w:tr>
      <w:tr w:rsidR="00E01187" w:rsidTr="00D90578">
        <w:trPr>
          <w:trHeight w:val="600"/>
          <w:tblHeader/>
          <w:jc w:val="center"/>
        </w:trPr>
        <w:tc>
          <w:tcPr>
            <w:tcW w:w="1225" w:type="dxa"/>
            <w:vMerge/>
            <w:tcMar>
              <w:top w:w="15" w:type="dxa"/>
              <w:left w:w="15" w:type="dxa"/>
              <w:right w:w="15" w:type="dxa"/>
            </w:tcMar>
            <w:vAlign w:val="center"/>
          </w:tcPr>
          <w:p w:rsidR="00E01187" w:rsidRDefault="00E01187" w:rsidP="00D90578">
            <w:pPr>
              <w:jc w:val="center"/>
              <w:rPr>
                <w:b/>
                <w:color w:val="000000"/>
                <w:sz w:val="20"/>
                <w:szCs w:val="20"/>
              </w:rPr>
            </w:pPr>
          </w:p>
        </w:tc>
        <w:tc>
          <w:tcPr>
            <w:tcW w:w="3090" w:type="dxa"/>
            <w:vMerge/>
            <w:tcMar>
              <w:top w:w="15" w:type="dxa"/>
              <w:left w:w="15" w:type="dxa"/>
              <w:right w:w="15" w:type="dxa"/>
            </w:tcMar>
            <w:vAlign w:val="center"/>
          </w:tcPr>
          <w:p w:rsidR="00E01187" w:rsidRDefault="00E01187" w:rsidP="00D90578">
            <w:pPr>
              <w:jc w:val="center"/>
              <w:rPr>
                <w:b/>
                <w:color w:val="000000"/>
                <w:sz w:val="20"/>
                <w:szCs w:val="20"/>
              </w:rPr>
            </w:pPr>
          </w:p>
        </w:tc>
        <w:tc>
          <w:tcPr>
            <w:tcW w:w="1050" w:type="dxa"/>
            <w:vMerge/>
            <w:tcMar>
              <w:top w:w="15" w:type="dxa"/>
              <w:left w:w="15" w:type="dxa"/>
              <w:right w:w="15" w:type="dxa"/>
            </w:tcMar>
            <w:vAlign w:val="center"/>
          </w:tcPr>
          <w:p w:rsidR="00E01187" w:rsidRDefault="00E01187" w:rsidP="00D90578">
            <w:pPr>
              <w:jc w:val="center"/>
              <w:rPr>
                <w:b/>
                <w:color w:val="000000"/>
                <w:sz w:val="20"/>
                <w:szCs w:val="20"/>
              </w:rPr>
            </w:pPr>
          </w:p>
        </w:tc>
        <w:tc>
          <w:tcPr>
            <w:tcW w:w="1020" w:type="dxa"/>
            <w:vMerge/>
            <w:tcMar>
              <w:top w:w="15" w:type="dxa"/>
              <w:left w:w="15" w:type="dxa"/>
              <w:right w:w="15" w:type="dxa"/>
            </w:tcMar>
            <w:vAlign w:val="center"/>
          </w:tcPr>
          <w:p w:rsidR="00E01187" w:rsidRDefault="00E01187" w:rsidP="00D90578">
            <w:pPr>
              <w:jc w:val="center"/>
              <w:rPr>
                <w:b/>
                <w:color w:val="000000"/>
                <w:sz w:val="20"/>
                <w:szCs w:val="20"/>
              </w:rPr>
            </w:pPr>
          </w:p>
        </w:tc>
        <w:tc>
          <w:tcPr>
            <w:tcW w:w="2846" w:type="dxa"/>
            <w:vMerge/>
            <w:tcMar>
              <w:top w:w="15" w:type="dxa"/>
              <w:left w:w="15" w:type="dxa"/>
              <w:right w:w="15" w:type="dxa"/>
            </w:tcMar>
            <w:vAlign w:val="center"/>
          </w:tcPr>
          <w:p w:rsidR="00E01187" w:rsidRDefault="00E01187" w:rsidP="00D90578">
            <w:pPr>
              <w:jc w:val="center"/>
              <w:rPr>
                <w:b/>
                <w:color w:val="000000"/>
                <w:sz w:val="20"/>
                <w:szCs w:val="20"/>
              </w:rPr>
            </w:pPr>
          </w:p>
        </w:tc>
        <w:tc>
          <w:tcPr>
            <w:tcW w:w="911" w:type="dxa"/>
            <w:vMerge/>
            <w:tcMar>
              <w:top w:w="15" w:type="dxa"/>
              <w:left w:w="15" w:type="dxa"/>
              <w:right w:w="15" w:type="dxa"/>
            </w:tcMar>
            <w:vAlign w:val="center"/>
          </w:tcPr>
          <w:p w:rsidR="00E01187" w:rsidRDefault="00E01187" w:rsidP="00D90578">
            <w:pPr>
              <w:jc w:val="center"/>
              <w:rPr>
                <w:b/>
                <w:color w:val="000000"/>
                <w:sz w:val="20"/>
                <w:szCs w:val="20"/>
              </w:rPr>
            </w:pPr>
          </w:p>
        </w:tc>
        <w:tc>
          <w:tcPr>
            <w:tcW w:w="953" w:type="dxa"/>
            <w:vMerge/>
            <w:tcMar>
              <w:top w:w="15" w:type="dxa"/>
              <w:left w:w="15" w:type="dxa"/>
              <w:right w:w="15" w:type="dxa"/>
            </w:tcMar>
            <w:vAlign w:val="center"/>
          </w:tcPr>
          <w:p w:rsidR="00E01187" w:rsidRDefault="00E01187" w:rsidP="00D90578">
            <w:pPr>
              <w:jc w:val="center"/>
              <w:rPr>
                <w:b/>
                <w:color w:val="000000"/>
                <w:sz w:val="20"/>
                <w:szCs w:val="20"/>
              </w:rPr>
            </w:pPr>
          </w:p>
        </w:tc>
        <w:tc>
          <w:tcPr>
            <w:tcW w:w="1955" w:type="dxa"/>
            <w:vMerge/>
            <w:tcMar>
              <w:top w:w="15" w:type="dxa"/>
              <w:left w:w="15" w:type="dxa"/>
              <w:right w:w="15" w:type="dxa"/>
            </w:tcMar>
            <w:vAlign w:val="center"/>
          </w:tcPr>
          <w:p w:rsidR="00E01187" w:rsidRDefault="00E01187" w:rsidP="00D90578">
            <w:pPr>
              <w:jc w:val="center"/>
              <w:rPr>
                <w:b/>
                <w:color w:val="000000"/>
                <w:sz w:val="20"/>
                <w:szCs w:val="20"/>
              </w:rPr>
            </w:pPr>
          </w:p>
        </w:tc>
        <w:tc>
          <w:tcPr>
            <w:tcW w:w="1123" w:type="dxa"/>
            <w:vMerge/>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工资福利支出</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144.22</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商品和服务支出</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26.84</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资本性支出</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30101</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基本工资</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38.93</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30201</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办公费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2.43</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31001</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房屋建筑物购建</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30102</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津贴补贴</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38.19</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30202</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印刷费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31002</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办公设备购置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30103</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奖金</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30203</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咨询费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31003</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专用设备购置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30106</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伙食补助费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30204</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手续费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31005</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基础设施建设</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30107</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绩效工资</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28.14</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30205</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水费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0.37</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31006</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大型修缮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30108</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机关事业单位基本养老保险费</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9.82</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30206</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电费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0.95</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31007</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信息网络及软件购置更新</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30109</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职业年金缴费</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4.91</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30207</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邮电费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1.81</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31008</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物资储备</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30110</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职工基本医疗保险缴费</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6.50</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30208</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取暖费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31009</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土地补偿</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30111</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公务员医疗补助缴费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30209</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物业管理费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31010</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安置补助</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30112</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其他社会保障缴费</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0.18</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30211</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差旅费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2.83</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31011</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地上附着物和青苗补偿</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30113</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住房公积金</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11.66</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30212</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因公出国（境）费用</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31012</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拆迁补偿</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30114</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医疗费</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1.28</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30213</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维修（护）费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0.45</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31013</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公务用车购置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30199</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其他工资福利支出</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4.61</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30214</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租赁费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31019</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其他交通工具购置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lastRenderedPageBreak/>
              <w:t>303</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对个人和家庭的补助</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5.38</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30215</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会议费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31021</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文物和陈列品购置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30301</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离休费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30216</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培训费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31022</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无形资产购置</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30302</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退休费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30217</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公务接待费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31099</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其他资本性支出</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3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30303</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退职（役）费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30218</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专用材料费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312</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对企业补助</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30304</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抚恤金</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30224</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被装购置费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31201</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资本金注入</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30305</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生活补助</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5.16</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30225</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专用燃料费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31203</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政府投资基金股权投资</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30306</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救济费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30226</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劳务费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6.10</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31204</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费用补贴</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30307</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医疗费补助</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0.20</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30227</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委托业务费</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31205</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利息补贴</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30308</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助学金</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30228</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工会经费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2.90</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31299</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其他对企业补助</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30309</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奖励金</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0.02</w:t>
            </w: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30229</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福利费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1.58</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399</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其他支出</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30310</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个人农业生产补贴</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30231</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公务用车运行维护费</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1.99</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39906</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赠与</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30311</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代缴社会保险费</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30239</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其他交通费用</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3.90</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39907</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国家赔偿费用支出</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30399</w:t>
            </w:r>
          </w:p>
        </w:tc>
        <w:tc>
          <w:tcPr>
            <w:tcW w:w="309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其他个人和家庭的补助支出</w:t>
            </w: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30240</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税金及附加费用</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39908</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对民间非营利组织和群众性自治组织补贴</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rPr>
                <w:color w:val="000000"/>
                <w:sz w:val="20"/>
                <w:szCs w:val="20"/>
              </w:rPr>
            </w:pPr>
          </w:p>
        </w:tc>
        <w:tc>
          <w:tcPr>
            <w:tcW w:w="3090" w:type="dxa"/>
            <w:tcMar>
              <w:top w:w="15" w:type="dxa"/>
              <w:left w:w="15" w:type="dxa"/>
              <w:right w:w="15" w:type="dxa"/>
            </w:tcMar>
            <w:vAlign w:val="center"/>
          </w:tcPr>
          <w:p w:rsidR="00E01187" w:rsidRDefault="00E01187" w:rsidP="00D90578">
            <w:pPr>
              <w:jc w:val="left"/>
              <w:rPr>
                <w:color w:val="000000"/>
                <w:sz w:val="20"/>
                <w:szCs w:val="20"/>
              </w:rPr>
            </w:pP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30299</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其他商品和服务支出</w:t>
            </w:r>
          </w:p>
        </w:tc>
        <w:tc>
          <w:tcPr>
            <w:tcW w:w="911"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1.53</w:t>
            </w:r>
          </w:p>
        </w:tc>
        <w:tc>
          <w:tcPr>
            <w:tcW w:w="953"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39999</w:t>
            </w:r>
          </w:p>
        </w:tc>
        <w:tc>
          <w:tcPr>
            <w:tcW w:w="1955"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其他支出</w:t>
            </w: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rPr>
                <w:color w:val="000000"/>
                <w:sz w:val="20"/>
                <w:szCs w:val="20"/>
              </w:rPr>
            </w:pPr>
          </w:p>
        </w:tc>
        <w:tc>
          <w:tcPr>
            <w:tcW w:w="3090" w:type="dxa"/>
            <w:tcMar>
              <w:top w:w="15" w:type="dxa"/>
              <w:left w:w="15" w:type="dxa"/>
              <w:right w:w="15" w:type="dxa"/>
            </w:tcMar>
            <w:vAlign w:val="center"/>
          </w:tcPr>
          <w:p w:rsidR="00E01187" w:rsidRDefault="00E01187" w:rsidP="00D90578">
            <w:pPr>
              <w:jc w:val="left"/>
              <w:rPr>
                <w:color w:val="000000"/>
                <w:sz w:val="20"/>
                <w:szCs w:val="20"/>
              </w:rPr>
            </w:pP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307</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债务利息及费用支出</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rPr>
                <w:color w:val="000000"/>
                <w:sz w:val="20"/>
                <w:szCs w:val="20"/>
              </w:rPr>
            </w:pPr>
          </w:p>
        </w:tc>
        <w:tc>
          <w:tcPr>
            <w:tcW w:w="1955" w:type="dxa"/>
            <w:tcMar>
              <w:top w:w="15" w:type="dxa"/>
              <w:left w:w="15" w:type="dxa"/>
              <w:right w:w="15" w:type="dxa"/>
            </w:tcMar>
            <w:vAlign w:val="center"/>
          </w:tcPr>
          <w:p w:rsidR="00E01187" w:rsidRDefault="00E01187" w:rsidP="00D90578">
            <w:pPr>
              <w:jc w:val="left"/>
              <w:rPr>
                <w:color w:val="000000"/>
                <w:sz w:val="20"/>
                <w:szCs w:val="20"/>
              </w:rPr>
            </w:pP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rPr>
                <w:color w:val="000000"/>
                <w:sz w:val="20"/>
                <w:szCs w:val="20"/>
              </w:rPr>
            </w:pPr>
          </w:p>
        </w:tc>
        <w:tc>
          <w:tcPr>
            <w:tcW w:w="3090" w:type="dxa"/>
            <w:tcMar>
              <w:top w:w="15" w:type="dxa"/>
              <w:left w:w="15" w:type="dxa"/>
              <w:right w:w="15" w:type="dxa"/>
            </w:tcMar>
            <w:vAlign w:val="center"/>
          </w:tcPr>
          <w:p w:rsidR="00E01187" w:rsidRDefault="00E01187" w:rsidP="00D90578">
            <w:pPr>
              <w:jc w:val="left"/>
              <w:rPr>
                <w:color w:val="000000"/>
                <w:sz w:val="20"/>
                <w:szCs w:val="20"/>
              </w:rPr>
            </w:pP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30701</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国内债务付息</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rPr>
                <w:color w:val="000000"/>
                <w:sz w:val="20"/>
                <w:szCs w:val="20"/>
              </w:rPr>
            </w:pPr>
          </w:p>
        </w:tc>
        <w:tc>
          <w:tcPr>
            <w:tcW w:w="1955" w:type="dxa"/>
            <w:tcMar>
              <w:top w:w="15" w:type="dxa"/>
              <w:left w:w="15" w:type="dxa"/>
              <w:right w:w="15" w:type="dxa"/>
            </w:tcMar>
            <w:vAlign w:val="center"/>
          </w:tcPr>
          <w:p w:rsidR="00E01187" w:rsidRDefault="00E01187" w:rsidP="00D90578">
            <w:pPr>
              <w:jc w:val="left"/>
              <w:rPr>
                <w:color w:val="000000"/>
                <w:sz w:val="20"/>
                <w:szCs w:val="20"/>
              </w:rPr>
            </w:pP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rPr>
                <w:color w:val="000000"/>
                <w:sz w:val="20"/>
                <w:szCs w:val="20"/>
              </w:rPr>
            </w:pPr>
          </w:p>
        </w:tc>
        <w:tc>
          <w:tcPr>
            <w:tcW w:w="3090" w:type="dxa"/>
            <w:tcMar>
              <w:top w:w="15" w:type="dxa"/>
              <w:left w:w="15" w:type="dxa"/>
              <w:right w:w="15" w:type="dxa"/>
            </w:tcMar>
            <w:vAlign w:val="center"/>
          </w:tcPr>
          <w:p w:rsidR="00E01187" w:rsidRDefault="00E01187" w:rsidP="00D90578">
            <w:pPr>
              <w:jc w:val="left"/>
              <w:rPr>
                <w:color w:val="000000"/>
                <w:sz w:val="20"/>
                <w:szCs w:val="20"/>
              </w:rPr>
            </w:pP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30702</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国外债务付息</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rPr>
                <w:color w:val="000000"/>
                <w:sz w:val="20"/>
                <w:szCs w:val="20"/>
              </w:rPr>
            </w:pPr>
          </w:p>
        </w:tc>
        <w:tc>
          <w:tcPr>
            <w:tcW w:w="1955" w:type="dxa"/>
            <w:tcMar>
              <w:top w:w="15" w:type="dxa"/>
              <w:left w:w="15" w:type="dxa"/>
              <w:right w:w="15" w:type="dxa"/>
            </w:tcMar>
            <w:vAlign w:val="center"/>
          </w:tcPr>
          <w:p w:rsidR="00E01187" w:rsidRDefault="00E01187" w:rsidP="00D90578">
            <w:pPr>
              <w:jc w:val="left"/>
              <w:rPr>
                <w:color w:val="000000"/>
                <w:sz w:val="20"/>
                <w:szCs w:val="20"/>
              </w:rPr>
            </w:pP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rPr>
                <w:color w:val="000000"/>
                <w:sz w:val="20"/>
                <w:szCs w:val="20"/>
              </w:rPr>
            </w:pPr>
          </w:p>
        </w:tc>
        <w:tc>
          <w:tcPr>
            <w:tcW w:w="3090" w:type="dxa"/>
            <w:tcMar>
              <w:top w:w="15" w:type="dxa"/>
              <w:left w:w="15" w:type="dxa"/>
              <w:right w:w="15" w:type="dxa"/>
            </w:tcMar>
            <w:vAlign w:val="center"/>
          </w:tcPr>
          <w:p w:rsidR="00E01187" w:rsidRDefault="00E01187" w:rsidP="00D90578">
            <w:pPr>
              <w:jc w:val="left"/>
              <w:rPr>
                <w:color w:val="000000"/>
                <w:sz w:val="20"/>
                <w:szCs w:val="20"/>
              </w:rPr>
            </w:pP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30703</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国内债务发行费用</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rPr>
                <w:color w:val="000000"/>
                <w:sz w:val="20"/>
                <w:szCs w:val="20"/>
              </w:rPr>
            </w:pPr>
          </w:p>
        </w:tc>
        <w:tc>
          <w:tcPr>
            <w:tcW w:w="1955" w:type="dxa"/>
            <w:tcMar>
              <w:top w:w="15" w:type="dxa"/>
              <w:left w:w="15" w:type="dxa"/>
              <w:right w:w="15" w:type="dxa"/>
            </w:tcMar>
            <w:vAlign w:val="center"/>
          </w:tcPr>
          <w:p w:rsidR="00E01187" w:rsidRDefault="00E01187" w:rsidP="00D90578">
            <w:pPr>
              <w:jc w:val="left"/>
              <w:rPr>
                <w:color w:val="000000"/>
                <w:sz w:val="20"/>
                <w:szCs w:val="20"/>
              </w:rPr>
            </w:pP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225" w:type="dxa"/>
            <w:tcMar>
              <w:top w:w="15" w:type="dxa"/>
              <w:left w:w="15" w:type="dxa"/>
              <w:right w:w="15" w:type="dxa"/>
            </w:tcMar>
            <w:vAlign w:val="center"/>
          </w:tcPr>
          <w:p w:rsidR="00E01187" w:rsidRDefault="00E01187" w:rsidP="00D90578">
            <w:pPr>
              <w:jc w:val="left"/>
              <w:rPr>
                <w:color w:val="000000"/>
                <w:sz w:val="20"/>
                <w:szCs w:val="20"/>
              </w:rPr>
            </w:pPr>
          </w:p>
        </w:tc>
        <w:tc>
          <w:tcPr>
            <w:tcW w:w="3090" w:type="dxa"/>
            <w:tcMar>
              <w:top w:w="15" w:type="dxa"/>
              <w:left w:w="15" w:type="dxa"/>
              <w:right w:w="15" w:type="dxa"/>
            </w:tcMar>
            <w:vAlign w:val="center"/>
          </w:tcPr>
          <w:p w:rsidR="00E01187" w:rsidRDefault="00E01187" w:rsidP="00D90578">
            <w:pPr>
              <w:jc w:val="left"/>
              <w:rPr>
                <w:color w:val="000000"/>
                <w:sz w:val="20"/>
                <w:szCs w:val="20"/>
              </w:rPr>
            </w:pPr>
          </w:p>
        </w:tc>
        <w:tc>
          <w:tcPr>
            <w:tcW w:w="1050" w:type="dxa"/>
            <w:tcMar>
              <w:top w:w="15" w:type="dxa"/>
              <w:left w:w="15" w:type="dxa"/>
              <w:right w:w="15" w:type="dxa"/>
            </w:tcMar>
            <w:vAlign w:val="center"/>
          </w:tcPr>
          <w:p w:rsidR="00E01187" w:rsidRDefault="00E01187" w:rsidP="00D90578">
            <w:pPr>
              <w:jc w:val="right"/>
              <w:rPr>
                <w:color w:val="000000"/>
                <w:sz w:val="20"/>
                <w:szCs w:val="20"/>
              </w:rPr>
            </w:pPr>
          </w:p>
        </w:tc>
        <w:tc>
          <w:tcPr>
            <w:tcW w:w="102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30704</w:t>
            </w:r>
          </w:p>
        </w:tc>
        <w:tc>
          <w:tcPr>
            <w:tcW w:w="2846"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国外债务发行费用</w:t>
            </w:r>
          </w:p>
        </w:tc>
        <w:tc>
          <w:tcPr>
            <w:tcW w:w="911" w:type="dxa"/>
            <w:tcMar>
              <w:top w:w="15" w:type="dxa"/>
              <w:left w:w="15" w:type="dxa"/>
              <w:right w:w="15" w:type="dxa"/>
            </w:tcMar>
            <w:vAlign w:val="center"/>
          </w:tcPr>
          <w:p w:rsidR="00E01187" w:rsidRDefault="00E01187" w:rsidP="00D90578">
            <w:pPr>
              <w:jc w:val="right"/>
              <w:rPr>
                <w:color w:val="000000"/>
                <w:sz w:val="20"/>
                <w:szCs w:val="20"/>
              </w:rPr>
            </w:pPr>
          </w:p>
        </w:tc>
        <w:tc>
          <w:tcPr>
            <w:tcW w:w="953" w:type="dxa"/>
            <w:tcMar>
              <w:top w:w="15" w:type="dxa"/>
              <w:left w:w="15" w:type="dxa"/>
              <w:right w:w="15" w:type="dxa"/>
            </w:tcMar>
            <w:vAlign w:val="center"/>
          </w:tcPr>
          <w:p w:rsidR="00E01187" w:rsidRDefault="00E01187" w:rsidP="00D90578">
            <w:pPr>
              <w:jc w:val="left"/>
              <w:rPr>
                <w:color w:val="000000"/>
                <w:sz w:val="20"/>
                <w:szCs w:val="20"/>
              </w:rPr>
            </w:pPr>
          </w:p>
        </w:tc>
        <w:tc>
          <w:tcPr>
            <w:tcW w:w="1955" w:type="dxa"/>
            <w:tcMar>
              <w:top w:w="15" w:type="dxa"/>
              <w:left w:w="15" w:type="dxa"/>
              <w:right w:w="15" w:type="dxa"/>
            </w:tcMar>
            <w:vAlign w:val="center"/>
          </w:tcPr>
          <w:p w:rsidR="00E01187" w:rsidRDefault="00E01187" w:rsidP="00D90578">
            <w:pPr>
              <w:jc w:val="left"/>
              <w:rPr>
                <w:color w:val="000000"/>
                <w:sz w:val="20"/>
                <w:szCs w:val="20"/>
              </w:rPr>
            </w:pPr>
          </w:p>
        </w:tc>
        <w:tc>
          <w:tcPr>
            <w:tcW w:w="1123"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315" w:type="dxa"/>
            <w:gridSpan w:val="2"/>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人员经费合计</w:t>
            </w:r>
          </w:p>
        </w:tc>
        <w:tc>
          <w:tcPr>
            <w:tcW w:w="1050"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149.60</w:t>
            </w:r>
          </w:p>
        </w:tc>
        <w:tc>
          <w:tcPr>
            <w:tcW w:w="7685" w:type="dxa"/>
            <w:gridSpan w:val="5"/>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公用经费合计</w:t>
            </w:r>
          </w:p>
        </w:tc>
        <w:tc>
          <w:tcPr>
            <w:tcW w:w="1123"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26.84</w:t>
            </w:r>
          </w:p>
        </w:tc>
      </w:tr>
      <w:tr w:rsidR="00E01187" w:rsidTr="00D90578">
        <w:trPr>
          <w:trHeight w:val="300"/>
          <w:jc w:val="center"/>
        </w:trPr>
        <w:tc>
          <w:tcPr>
            <w:tcW w:w="14173" w:type="dxa"/>
            <w:gridSpan w:val="9"/>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注：本表反映部门本年度一般公共预算财政拨款基本支出明细情况。</w:t>
            </w:r>
          </w:p>
        </w:tc>
      </w:tr>
    </w:tbl>
    <w:p w:rsidR="00E01187" w:rsidRDefault="00E01187" w:rsidP="00E01187">
      <w:r>
        <w:br w:type="page"/>
      </w:r>
    </w:p>
    <w:tbl>
      <w:tblPr>
        <w:tblW w:w="0" w:type="auto"/>
        <w:jc w:val="center"/>
        <w:tblLayout w:type="fixed"/>
        <w:tblCellMar>
          <w:left w:w="0" w:type="dxa"/>
          <w:right w:w="0" w:type="dxa"/>
        </w:tblCellMar>
        <w:tblLook w:val="0000"/>
      </w:tblPr>
      <w:tblGrid>
        <w:gridCol w:w="3704"/>
        <w:gridCol w:w="211"/>
        <w:gridCol w:w="211"/>
        <w:gridCol w:w="2505"/>
        <w:gridCol w:w="1257"/>
        <w:gridCol w:w="1257"/>
        <w:gridCol w:w="1257"/>
        <w:gridCol w:w="1257"/>
        <w:gridCol w:w="1257"/>
        <w:gridCol w:w="1257"/>
      </w:tblGrid>
      <w:tr w:rsidR="00E01187" w:rsidTr="00D90578">
        <w:trPr>
          <w:trHeight w:val="555"/>
          <w:jc w:val="center"/>
        </w:trPr>
        <w:tc>
          <w:tcPr>
            <w:tcW w:w="14173" w:type="dxa"/>
            <w:gridSpan w:val="10"/>
            <w:tcBorders>
              <w:top w:val="nil"/>
              <w:left w:val="nil"/>
              <w:bottom w:val="nil"/>
              <w:right w:val="nil"/>
            </w:tcBorders>
            <w:tcMar>
              <w:top w:w="15" w:type="dxa"/>
              <w:left w:w="15" w:type="dxa"/>
              <w:right w:w="15" w:type="dxa"/>
            </w:tcMar>
            <w:vAlign w:val="center"/>
          </w:tcPr>
          <w:p w:rsidR="00E01187" w:rsidRDefault="00E01187" w:rsidP="00D90578">
            <w:pPr>
              <w:jc w:val="left"/>
              <w:rPr>
                <w:color w:val="000000"/>
                <w:sz w:val="18"/>
                <w:szCs w:val="18"/>
              </w:rPr>
            </w:pPr>
            <w:r>
              <w:rPr>
                <w:rFonts w:eastAsia="黑体"/>
                <w:color w:val="000000"/>
                <w:kern w:val="0"/>
                <w:sz w:val="44"/>
                <w:szCs w:val="44"/>
              </w:rPr>
              <w:lastRenderedPageBreak/>
              <w:t>政府性基金预算财政拨款收入支出决算表</w:t>
            </w:r>
          </w:p>
        </w:tc>
      </w:tr>
      <w:tr w:rsidR="00E01187" w:rsidTr="00D90578">
        <w:trPr>
          <w:trHeight w:val="300"/>
          <w:jc w:val="center"/>
        </w:trPr>
        <w:tc>
          <w:tcPr>
            <w:tcW w:w="3704" w:type="dxa"/>
            <w:tcBorders>
              <w:top w:val="nil"/>
              <w:left w:val="nil"/>
              <w:bottom w:val="nil"/>
              <w:right w:val="nil"/>
            </w:tcBorders>
            <w:tcMar>
              <w:top w:w="15" w:type="dxa"/>
              <w:left w:w="15" w:type="dxa"/>
              <w:right w:w="15" w:type="dxa"/>
            </w:tcMar>
            <w:vAlign w:val="center"/>
          </w:tcPr>
          <w:p w:rsidR="00E01187" w:rsidRDefault="00E01187" w:rsidP="00D90578">
            <w:pPr>
              <w:jc w:val="left"/>
              <w:rPr>
                <w:color w:val="000000"/>
                <w:sz w:val="22"/>
              </w:rPr>
            </w:pPr>
          </w:p>
        </w:tc>
        <w:tc>
          <w:tcPr>
            <w:tcW w:w="211"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211"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2505"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r>
      <w:tr w:rsidR="00E01187" w:rsidTr="00D90578">
        <w:trPr>
          <w:trHeight w:val="300"/>
          <w:jc w:val="center"/>
        </w:trPr>
        <w:tc>
          <w:tcPr>
            <w:tcW w:w="3704"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211"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211"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2505"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left"/>
              <w:rPr>
                <w:rFonts w:eastAsia="Tahoma"/>
                <w:color w:val="000000"/>
                <w:sz w:val="16"/>
                <w:szCs w:val="16"/>
              </w:rPr>
            </w:pPr>
          </w:p>
        </w:tc>
        <w:tc>
          <w:tcPr>
            <w:tcW w:w="1257" w:type="dxa"/>
            <w:tcBorders>
              <w:top w:val="nil"/>
              <w:left w:val="nil"/>
              <w:bottom w:val="nil"/>
              <w:right w:val="nil"/>
            </w:tcBorders>
            <w:tcMar>
              <w:top w:w="15" w:type="dxa"/>
              <w:left w:w="15" w:type="dxa"/>
              <w:right w:w="15" w:type="dxa"/>
            </w:tcMar>
            <w:vAlign w:val="center"/>
          </w:tcPr>
          <w:p w:rsidR="00E01187" w:rsidRDefault="00E01187" w:rsidP="00D90578">
            <w:pPr>
              <w:jc w:val="right"/>
              <w:textAlignment w:val="center"/>
              <w:rPr>
                <w:color w:val="000000"/>
                <w:sz w:val="24"/>
                <w:szCs w:val="24"/>
              </w:rPr>
            </w:pPr>
            <w:r>
              <w:rPr>
                <w:color w:val="000000"/>
                <w:kern w:val="0"/>
                <w:sz w:val="24"/>
                <w:szCs w:val="24"/>
              </w:rPr>
              <w:t>公开</w:t>
            </w:r>
            <w:r>
              <w:rPr>
                <w:color w:val="000000"/>
                <w:kern w:val="0"/>
                <w:sz w:val="24"/>
                <w:szCs w:val="24"/>
              </w:rPr>
              <w:t>07</w:t>
            </w:r>
            <w:r>
              <w:rPr>
                <w:color w:val="000000"/>
                <w:kern w:val="0"/>
                <w:sz w:val="24"/>
                <w:szCs w:val="24"/>
              </w:rPr>
              <w:t>表</w:t>
            </w:r>
          </w:p>
        </w:tc>
      </w:tr>
      <w:tr w:rsidR="00E01187" w:rsidTr="00D90578">
        <w:trPr>
          <w:trHeight w:val="300"/>
          <w:jc w:val="center"/>
        </w:trPr>
        <w:tc>
          <w:tcPr>
            <w:tcW w:w="7888" w:type="dxa"/>
            <w:gridSpan w:val="5"/>
            <w:tcBorders>
              <w:top w:val="nil"/>
              <w:left w:val="nil"/>
              <w:bottom w:val="single" w:sz="4" w:space="0" w:color="000000"/>
              <w:right w:val="nil"/>
            </w:tcBorders>
            <w:tcMar>
              <w:top w:w="15" w:type="dxa"/>
              <w:left w:w="15" w:type="dxa"/>
              <w:right w:w="15" w:type="dxa"/>
            </w:tcMar>
            <w:vAlign w:val="center"/>
          </w:tcPr>
          <w:p w:rsidR="00E01187" w:rsidRDefault="00E01187" w:rsidP="00D90578">
            <w:pPr>
              <w:rPr>
                <w:color w:val="000000"/>
                <w:sz w:val="24"/>
                <w:szCs w:val="24"/>
              </w:rPr>
            </w:pPr>
            <w:r>
              <w:rPr>
                <w:color w:val="000000"/>
                <w:kern w:val="0"/>
                <w:sz w:val="24"/>
                <w:szCs w:val="24"/>
              </w:rPr>
              <w:t>公开部门：重庆市彭水自治县交通信息与工程事务中心</w:t>
            </w:r>
          </w:p>
        </w:tc>
        <w:tc>
          <w:tcPr>
            <w:tcW w:w="1257" w:type="dxa"/>
            <w:tcBorders>
              <w:top w:val="nil"/>
              <w:left w:val="nil"/>
              <w:bottom w:val="single" w:sz="4" w:space="0" w:color="000000"/>
              <w:right w:val="nil"/>
            </w:tcBorders>
            <w:tcMar>
              <w:top w:w="15" w:type="dxa"/>
              <w:left w:w="15" w:type="dxa"/>
              <w:right w:w="15" w:type="dxa"/>
            </w:tcMar>
            <w:vAlign w:val="center"/>
          </w:tcPr>
          <w:p w:rsidR="00E01187" w:rsidRDefault="00E01187" w:rsidP="00D90578">
            <w:pPr>
              <w:jc w:val="center"/>
              <w:rPr>
                <w:color w:val="000000"/>
                <w:sz w:val="18"/>
                <w:szCs w:val="18"/>
              </w:rPr>
            </w:pPr>
          </w:p>
        </w:tc>
        <w:tc>
          <w:tcPr>
            <w:tcW w:w="1257" w:type="dxa"/>
            <w:tcBorders>
              <w:top w:val="nil"/>
              <w:left w:val="nil"/>
              <w:bottom w:val="single" w:sz="4" w:space="0" w:color="000000"/>
              <w:right w:val="nil"/>
            </w:tcBorders>
            <w:tcMar>
              <w:top w:w="15" w:type="dxa"/>
              <w:left w:w="15" w:type="dxa"/>
              <w:right w:w="15" w:type="dxa"/>
            </w:tcMar>
            <w:vAlign w:val="center"/>
          </w:tcPr>
          <w:p w:rsidR="00E01187" w:rsidRDefault="00E01187" w:rsidP="00D90578">
            <w:pPr>
              <w:jc w:val="center"/>
              <w:rPr>
                <w:color w:val="000000"/>
                <w:sz w:val="18"/>
                <w:szCs w:val="18"/>
              </w:rPr>
            </w:pPr>
          </w:p>
        </w:tc>
        <w:tc>
          <w:tcPr>
            <w:tcW w:w="1257" w:type="dxa"/>
            <w:tcBorders>
              <w:top w:val="nil"/>
              <w:left w:val="nil"/>
              <w:bottom w:val="single" w:sz="4" w:space="0" w:color="000000"/>
              <w:right w:val="nil"/>
            </w:tcBorders>
            <w:tcMar>
              <w:top w:w="15" w:type="dxa"/>
              <w:left w:w="15" w:type="dxa"/>
              <w:right w:w="15" w:type="dxa"/>
            </w:tcMar>
            <w:vAlign w:val="center"/>
          </w:tcPr>
          <w:p w:rsidR="00E01187" w:rsidRDefault="00E01187" w:rsidP="00D90578">
            <w:pPr>
              <w:jc w:val="center"/>
              <w:rPr>
                <w:color w:val="000000"/>
                <w:sz w:val="18"/>
                <w:szCs w:val="18"/>
              </w:rPr>
            </w:pPr>
          </w:p>
        </w:tc>
        <w:tc>
          <w:tcPr>
            <w:tcW w:w="1257" w:type="dxa"/>
            <w:tcBorders>
              <w:top w:val="nil"/>
              <w:left w:val="nil"/>
              <w:bottom w:val="single" w:sz="4" w:space="0" w:color="000000"/>
              <w:right w:val="nil"/>
            </w:tcBorders>
            <w:tcMar>
              <w:top w:w="15" w:type="dxa"/>
              <w:left w:w="15" w:type="dxa"/>
              <w:right w:w="15" w:type="dxa"/>
            </w:tcMar>
            <w:vAlign w:val="center"/>
          </w:tcPr>
          <w:p w:rsidR="00E01187" w:rsidRDefault="00E01187" w:rsidP="00D90578">
            <w:pPr>
              <w:jc w:val="center"/>
              <w:rPr>
                <w:color w:val="000000"/>
                <w:sz w:val="18"/>
                <w:szCs w:val="18"/>
              </w:rPr>
            </w:pPr>
          </w:p>
        </w:tc>
        <w:tc>
          <w:tcPr>
            <w:tcW w:w="1257" w:type="dxa"/>
            <w:tcBorders>
              <w:top w:val="nil"/>
              <w:left w:val="nil"/>
              <w:bottom w:val="single" w:sz="4" w:space="0" w:color="000000"/>
              <w:right w:val="nil"/>
            </w:tcBorders>
            <w:tcMar>
              <w:top w:w="15" w:type="dxa"/>
              <w:left w:w="15" w:type="dxa"/>
              <w:right w:w="15" w:type="dxa"/>
            </w:tcMar>
            <w:vAlign w:val="center"/>
          </w:tcPr>
          <w:p w:rsidR="00E01187" w:rsidRDefault="00E01187" w:rsidP="00D90578">
            <w:pPr>
              <w:jc w:val="right"/>
              <w:textAlignment w:val="center"/>
              <w:rPr>
                <w:color w:val="000000"/>
                <w:sz w:val="24"/>
                <w:szCs w:val="24"/>
              </w:rPr>
            </w:pPr>
            <w:r>
              <w:rPr>
                <w:color w:val="000000"/>
                <w:kern w:val="0"/>
                <w:sz w:val="24"/>
                <w:szCs w:val="24"/>
              </w:rPr>
              <w:t>单位：万元</w:t>
            </w:r>
          </w:p>
        </w:tc>
      </w:tr>
      <w:tr w:rsidR="00E01187" w:rsidTr="00D90578">
        <w:trPr>
          <w:trHeight w:val="300"/>
          <w:jc w:val="center"/>
        </w:trPr>
        <w:tc>
          <w:tcPr>
            <w:tcW w:w="6631"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textAlignment w:val="center"/>
              <w:rPr>
                <w:b/>
                <w:color w:val="000000"/>
                <w:sz w:val="20"/>
                <w:szCs w:val="20"/>
              </w:rPr>
            </w:pPr>
            <w:r>
              <w:rPr>
                <w:b/>
                <w:color w:val="000000"/>
                <w:kern w:val="0"/>
                <w:sz w:val="20"/>
                <w:szCs w:val="20"/>
              </w:rPr>
              <w:t>项目</w:t>
            </w:r>
          </w:p>
        </w:tc>
        <w:tc>
          <w:tcPr>
            <w:tcW w:w="12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年初结转和结余</w:t>
            </w:r>
          </w:p>
        </w:tc>
        <w:tc>
          <w:tcPr>
            <w:tcW w:w="12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本年收入</w:t>
            </w:r>
          </w:p>
        </w:tc>
        <w:tc>
          <w:tcPr>
            <w:tcW w:w="3771" w:type="dxa"/>
            <w:gridSpan w:val="3"/>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本年支出</w:t>
            </w:r>
          </w:p>
        </w:tc>
        <w:tc>
          <w:tcPr>
            <w:tcW w:w="12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年末结转和结余</w:t>
            </w:r>
          </w:p>
        </w:tc>
      </w:tr>
      <w:tr w:rsidR="00E01187" w:rsidTr="00D90578">
        <w:trPr>
          <w:trHeight w:val="315"/>
          <w:jc w:val="center"/>
        </w:trPr>
        <w:tc>
          <w:tcPr>
            <w:tcW w:w="412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功能分类科目编码</w:t>
            </w:r>
          </w:p>
        </w:tc>
        <w:tc>
          <w:tcPr>
            <w:tcW w:w="2505"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项目（按</w:t>
            </w:r>
            <w:r>
              <w:rPr>
                <w:b/>
                <w:color w:val="000000"/>
                <w:kern w:val="0"/>
                <w:sz w:val="20"/>
                <w:szCs w:val="20"/>
              </w:rPr>
              <w:t>“</w:t>
            </w:r>
            <w:r>
              <w:rPr>
                <w:b/>
                <w:color w:val="000000"/>
                <w:kern w:val="0"/>
                <w:sz w:val="20"/>
                <w:szCs w:val="20"/>
              </w:rPr>
              <w:t>项</w:t>
            </w:r>
            <w:r>
              <w:rPr>
                <w:b/>
                <w:color w:val="000000"/>
                <w:kern w:val="0"/>
                <w:sz w:val="20"/>
                <w:szCs w:val="20"/>
              </w:rPr>
              <w:t>”</w:t>
            </w:r>
            <w:r>
              <w:rPr>
                <w:b/>
                <w:color w:val="000000"/>
                <w:kern w:val="0"/>
                <w:sz w:val="20"/>
                <w:szCs w:val="20"/>
              </w:rPr>
              <w:t>级功能分类科目）</w:t>
            </w: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12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基本支出</w:t>
            </w:r>
          </w:p>
        </w:tc>
        <w:tc>
          <w:tcPr>
            <w:tcW w:w="12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项目支出</w:t>
            </w: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15"/>
          <w:jc w:val="center"/>
        </w:trPr>
        <w:tc>
          <w:tcPr>
            <w:tcW w:w="412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2505"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600"/>
          <w:jc w:val="center"/>
        </w:trPr>
        <w:tc>
          <w:tcPr>
            <w:tcW w:w="412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2505"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c>
          <w:tcPr>
            <w:tcW w:w="1257"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b/>
                <w:color w:val="000000"/>
                <w:sz w:val="20"/>
                <w:szCs w:val="20"/>
              </w:rPr>
            </w:pPr>
          </w:p>
        </w:tc>
      </w:tr>
      <w:tr w:rsidR="00E01187" w:rsidTr="00D90578">
        <w:trPr>
          <w:trHeight w:val="300"/>
          <w:jc w:val="center"/>
        </w:trPr>
        <w:tc>
          <w:tcPr>
            <w:tcW w:w="6631"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12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left"/>
              <w:rPr>
                <w:color w:val="000000"/>
                <w:sz w:val="20"/>
                <w:szCs w:val="20"/>
              </w:rPr>
            </w:pPr>
          </w:p>
        </w:tc>
        <w:tc>
          <w:tcPr>
            <w:tcW w:w="2505"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lef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257"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14173" w:type="dxa"/>
            <w:gridSpan w:val="10"/>
            <w:tcBorders>
              <w:top w:val="nil"/>
              <w:left w:val="nil"/>
              <w:bottom w:val="nil"/>
              <w:right w:val="nil"/>
            </w:tcBorders>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备注：本表反映部门本年度政府性基金预算财政拨款收入支出及结转和结余情况。</w:t>
            </w:r>
          </w:p>
        </w:tc>
      </w:tr>
      <w:tr w:rsidR="00E01187" w:rsidTr="00D90578">
        <w:trPr>
          <w:trHeight w:val="300"/>
          <w:jc w:val="center"/>
        </w:trPr>
        <w:tc>
          <w:tcPr>
            <w:tcW w:w="14173" w:type="dxa"/>
            <w:gridSpan w:val="10"/>
            <w:tcBorders>
              <w:top w:val="nil"/>
              <w:left w:val="nil"/>
              <w:bottom w:val="nil"/>
              <w:right w:val="nil"/>
            </w:tcBorders>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本表为空的部门应将空表公开，并注明：本单位无政府性基金收入，也没有使用政府性基金安排的支出，故本表无数据。</w:t>
            </w:r>
          </w:p>
        </w:tc>
      </w:tr>
    </w:tbl>
    <w:p w:rsidR="00E01187" w:rsidRDefault="00E01187" w:rsidP="00E01187">
      <w:r>
        <w:br w:type="page"/>
      </w:r>
    </w:p>
    <w:tbl>
      <w:tblPr>
        <w:tblW w:w="0" w:type="auto"/>
        <w:jc w:val="center"/>
        <w:tblLayout w:type="fixed"/>
        <w:tblCellMar>
          <w:left w:w="0" w:type="dxa"/>
          <w:right w:w="0" w:type="dxa"/>
        </w:tblCellMar>
        <w:tblLook w:val="0000"/>
      </w:tblPr>
      <w:tblGrid>
        <w:gridCol w:w="6667"/>
        <w:gridCol w:w="2092"/>
        <w:gridCol w:w="2139"/>
        <w:gridCol w:w="1504"/>
        <w:gridCol w:w="1771"/>
      </w:tblGrid>
      <w:tr w:rsidR="00E01187" w:rsidTr="00D90578">
        <w:trPr>
          <w:trHeight w:val="510"/>
          <w:jc w:val="center"/>
        </w:trPr>
        <w:tc>
          <w:tcPr>
            <w:tcW w:w="14173" w:type="dxa"/>
            <w:gridSpan w:val="5"/>
            <w:tcBorders>
              <w:top w:val="nil"/>
              <w:left w:val="nil"/>
              <w:bottom w:val="nil"/>
              <w:right w:val="single" w:sz="4" w:space="0" w:color="000000"/>
            </w:tcBorders>
            <w:tcMar>
              <w:top w:w="15" w:type="dxa"/>
              <w:left w:w="15" w:type="dxa"/>
              <w:right w:w="15" w:type="dxa"/>
            </w:tcMar>
            <w:vAlign w:val="center"/>
          </w:tcPr>
          <w:p w:rsidR="00E01187" w:rsidRDefault="00E01187" w:rsidP="00D90578">
            <w:pPr>
              <w:jc w:val="center"/>
              <w:textAlignment w:val="center"/>
              <w:rPr>
                <w:rFonts w:eastAsia="华文中宋"/>
                <w:color w:val="000000"/>
                <w:sz w:val="36"/>
                <w:szCs w:val="36"/>
              </w:rPr>
            </w:pPr>
            <w:r>
              <w:rPr>
                <w:rFonts w:eastAsia="华文中宋"/>
                <w:color w:val="000000"/>
                <w:kern w:val="0"/>
                <w:sz w:val="36"/>
                <w:szCs w:val="36"/>
              </w:rPr>
              <w:lastRenderedPageBreak/>
              <w:t>国有资本经营预算财政拨款支出决算表</w:t>
            </w:r>
          </w:p>
        </w:tc>
      </w:tr>
      <w:tr w:rsidR="00E01187" w:rsidTr="00D90578">
        <w:trPr>
          <w:trHeight w:val="270"/>
          <w:jc w:val="center"/>
        </w:trPr>
        <w:tc>
          <w:tcPr>
            <w:tcW w:w="14173" w:type="dxa"/>
            <w:gridSpan w:val="5"/>
            <w:tcBorders>
              <w:top w:val="nil"/>
              <w:left w:val="nil"/>
              <w:bottom w:val="nil"/>
              <w:right w:val="nil"/>
            </w:tcBorders>
            <w:tcMar>
              <w:top w:w="15" w:type="dxa"/>
              <w:left w:w="15" w:type="dxa"/>
              <w:right w:w="15" w:type="dxa"/>
            </w:tcMar>
            <w:vAlign w:val="center"/>
          </w:tcPr>
          <w:p w:rsidR="00E01187" w:rsidRDefault="00E01187" w:rsidP="00D90578">
            <w:pPr>
              <w:jc w:val="right"/>
              <w:textAlignment w:val="center"/>
              <w:rPr>
                <w:rFonts w:eastAsia="仿宋"/>
                <w:color w:val="000000"/>
                <w:sz w:val="22"/>
              </w:rPr>
            </w:pPr>
            <w:r>
              <w:rPr>
                <w:rFonts w:eastAsia="仿宋"/>
                <w:color w:val="000000"/>
                <w:kern w:val="0"/>
                <w:sz w:val="22"/>
                <w:szCs w:val="22"/>
              </w:rPr>
              <w:t>公开</w:t>
            </w:r>
            <w:r>
              <w:rPr>
                <w:rFonts w:eastAsia="仿宋"/>
                <w:color w:val="000000"/>
                <w:kern w:val="0"/>
                <w:sz w:val="22"/>
                <w:szCs w:val="22"/>
              </w:rPr>
              <w:t>08</w:t>
            </w:r>
            <w:r>
              <w:rPr>
                <w:rFonts w:eastAsia="仿宋"/>
                <w:color w:val="000000"/>
                <w:kern w:val="0"/>
                <w:sz w:val="22"/>
                <w:szCs w:val="22"/>
              </w:rPr>
              <w:t>表</w:t>
            </w:r>
          </w:p>
        </w:tc>
      </w:tr>
      <w:tr w:rsidR="00E01187" w:rsidTr="00D90578">
        <w:trPr>
          <w:trHeight w:val="270"/>
          <w:jc w:val="center"/>
        </w:trPr>
        <w:tc>
          <w:tcPr>
            <w:tcW w:w="8759" w:type="dxa"/>
            <w:gridSpan w:val="2"/>
            <w:tcBorders>
              <w:top w:val="nil"/>
              <w:left w:val="nil"/>
              <w:bottom w:val="nil"/>
              <w:right w:val="nil"/>
            </w:tcBorders>
            <w:shd w:val="clear" w:color="auto" w:fill="auto"/>
            <w:tcMar>
              <w:top w:w="15" w:type="dxa"/>
              <w:left w:w="15" w:type="dxa"/>
              <w:right w:w="15" w:type="dxa"/>
            </w:tcMar>
            <w:vAlign w:val="center"/>
          </w:tcPr>
          <w:p w:rsidR="00E01187" w:rsidRDefault="00E01187" w:rsidP="00D90578">
            <w:pPr>
              <w:jc w:val="left"/>
              <w:textAlignment w:val="center"/>
              <w:rPr>
                <w:rFonts w:eastAsia="仿宋"/>
                <w:color w:val="000000"/>
                <w:sz w:val="22"/>
              </w:rPr>
            </w:pPr>
            <w:r>
              <w:rPr>
                <w:rFonts w:eastAsia="仿宋"/>
                <w:color w:val="000000"/>
                <w:kern w:val="0"/>
                <w:sz w:val="22"/>
                <w:szCs w:val="22"/>
              </w:rPr>
              <w:t>公开部门：重庆市彭水自治县交通信息与工程事务中心</w:t>
            </w:r>
          </w:p>
        </w:tc>
        <w:tc>
          <w:tcPr>
            <w:tcW w:w="2139" w:type="dxa"/>
            <w:tcBorders>
              <w:top w:val="nil"/>
              <w:left w:val="nil"/>
              <w:bottom w:val="nil"/>
              <w:right w:val="nil"/>
            </w:tcBorders>
            <w:shd w:val="clear" w:color="auto" w:fill="FFFFFF"/>
            <w:tcMar>
              <w:top w:w="15" w:type="dxa"/>
              <w:left w:w="15" w:type="dxa"/>
              <w:right w:w="15" w:type="dxa"/>
            </w:tcMar>
            <w:vAlign w:val="center"/>
          </w:tcPr>
          <w:p w:rsidR="00E01187" w:rsidRDefault="00E01187" w:rsidP="00D90578">
            <w:pPr>
              <w:rPr>
                <w:color w:val="000000"/>
                <w:sz w:val="18"/>
                <w:szCs w:val="18"/>
              </w:rPr>
            </w:pPr>
          </w:p>
        </w:tc>
        <w:tc>
          <w:tcPr>
            <w:tcW w:w="1504" w:type="dxa"/>
            <w:tcBorders>
              <w:top w:val="nil"/>
              <w:left w:val="nil"/>
              <w:bottom w:val="nil"/>
              <w:right w:val="nil"/>
            </w:tcBorders>
            <w:shd w:val="clear" w:color="auto" w:fill="FFFFFF"/>
            <w:tcMar>
              <w:top w:w="15" w:type="dxa"/>
              <w:left w:w="15" w:type="dxa"/>
              <w:right w:w="15" w:type="dxa"/>
            </w:tcMar>
            <w:vAlign w:val="center"/>
          </w:tcPr>
          <w:p w:rsidR="00E01187" w:rsidRDefault="00E01187" w:rsidP="00D90578">
            <w:pPr>
              <w:rPr>
                <w:color w:val="000000"/>
                <w:sz w:val="18"/>
                <w:szCs w:val="18"/>
              </w:rPr>
            </w:pPr>
          </w:p>
        </w:tc>
        <w:tc>
          <w:tcPr>
            <w:tcW w:w="1771" w:type="dxa"/>
            <w:tcBorders>
              <w:top w:val="nil"/>
              <w:left w:val="nil"/>
              <w:bottom w:val="nil"/>
              <w:right w:val="nil"/>
            </w:tcBorders>
            <w:tcMar>
              <w:top w:w="15" w:type="dxa"/>
              <w:left w:w="15" w:type="dxa"/>
              <w:right w:w="15" w:type="dxa"/>
            </w:tcMar>
            <w:vAlign w:val="center"/>
          </w:tcPr>
          <w:p w:rsidR="00E01187" w:rsidRDefault="00E01187" w:rsidP="00D90578">
            <w:pPr>
              <w:jc w:val="right"/>
              <w:textAlignment w:val="center"/>
              <w:rPr>
                <w:rFonts w:eastAsia="仿宋"/>
                <w:color w:val="000000"/>
                <w:sz w:val="22"/>
              </w:rPr>
            </w:pPr>
            <w:r>
              <w:rPr>
                <w:rFonts w:eastAsia="仿宋"/>
                <w:color w:val="000000"/>
                <w:kern w:val="0"/>
                <w:sz w:val="22"/>
                <w:szCs w:val="22"/>
              </w:rPr>
              <w:t>单位：万元</w:t>
            </w:r>
          </w:p>
        </w:tc>
      </w:tr>
      <w:tr w:rsidR="00E01187" w:rsidTr="00D90578">
        <w:trPr>
          <w:trHeight w:val="270"/>
          <w:jc w:val="center"/>
        </w:trPr>
        <w:tc>
          <w:tcPr>
            <w:tcW w:w="875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项目</w:t>
            </w:r>
          </w:p>
        </w:tc>
        <w:tc>
          <w:tcPr>
            <w:tcW w:w="5414"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本年支出</w:t>
            </w:r>
          </w:p>
        </w:tc>
      </w:tr>
      <w:tr w:rsidR="00E01187" w:rsidTr="00D90578">
        <w:trPr>
          <w:trHeight w:val="315"/>
          <w:jc w:val="center"/>
        </w:trPr>
        <w:tc>
          <w:tcPr>
            <w:tcW w:w="666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功能分类科目编码</w:t>
            </w:r>
          </w:p>
        </w:tc>
        <w:tc>
          <w:tcPr>
            <w:tcW w:w="20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科目名称</w:t>
            </w:r>
          </w:p>
        </w:tc>
        <w:tc>
          <w:tcPr>
            <w:tcW w:w="2139"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合计</w:t>
            </w:r>
          </w:p>
        </w:tc>
        <w:tc>
          <w:tcPr>
            <w:tcW w:w="1504"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基本支出</w:t>
            </w:r>
          </w:p>
        </w:tc>
        <w:tc>
          <w:tcPr>
            <w:tcW w:w="1771" w:type="dxa"/>
            <w:vMerge w:val="restart"/>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rFonts w:eastAsia="黑体"/>
                <w:color w:val="000000"/>
                <w:sz w:val="22"/>
              </w:rPr>
            </w:pPr>
            <w:r>
              <w:rPr>
                <w:rFonts w:eastAsia="黑体"/>
                <w:color w:val="000000"/>
                <w:kern w:val="0"/>
                <w:sz w:val="22"/>
                <w:szCs w:val="22"/>
              </w:rPr>
              <w:t>项目支出</w:t>
            </w:r>
          </w:p>
        </w:tc>
      </w:tr>
      <w:tr w:rsidR="00E01187" w:rsidTr="00D90578">
        <w:trPr>
          <w:trHeight w:val="315"/>
          <w:jc w:val="center"/>
        </w:trPr>
        <w:tc>
          <w:tcPr>
            <w:tcW w:w="666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2092"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2139"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1504"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1771"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r>
      <w:tr w:rsidR="00E01187" w:rsidTr="00D90578">
        <w:trPr>
          <w:trHeight w:val="315"/>
          <w:jc w:val="center"/>
        </w:trPr>
        <w:tc>
          <w:tcPr>
            <w:tcW w:w="666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2092"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2139"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1504"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c>
          <w:tcPr>
            <w:tcW w:w="1771" w:type="dxa"/>
            <w:vMerge/>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center"/>
              <w:rPr>
                <w:rFonts w:eastAsia="黑体"/>
                <w:color w:val="000000"/>
                <w:sz w:val="22"/>
              </w:rPr>
            </w:pPr>
          </w:p>
        </w:tc>
      </w:tr>
      <w:tr w:rsidR="00E01187" w:rsidTr="00D90578">
        <w:trPr>
          <w:trHeight w:val="255"/>
          <w:jc w:val="center"/>
        </w:trPr>
        <w:tc>
          <w:tcPr>
            <w:tcW w:w="875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合计</w:t>
            </w:r>
          </w:p>
        </w:tc>
        <w:tc>
          <w:tcPr>
            <w:tcW w:w="2139"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504"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771"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255"/>
          <w:jc w:val="center"/>
        </w:trPr>
        <w:tc>
          <w:tcPr>
            <w:tcW w:w="666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1187" w:rsidRDefault="00E01187" w:rsidP="00D90578">
            <w:pPr>
              <w:jc w:val="left"/>
              <w:rPr>
                <w:color w:val="000000"/>
                <w:sz w:val="20"/>
                <w:szCs w:val="20"/>
              </w:rPr>
            </w:pPr>
          </w:p>
        </w:tc>
        <w:tc>
          <w:tcPr>
            <w:tcW w:w="2092"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left"/>
              <w:rPr>
                <w:color w:val="000000"/>
                <w:sz w:val="20"/>
                <w:szCs w:val="20"/>
              </w:rPr>
            </w:pPr>
          </w:p>
        </w:tc>
        <w:tc>
          <w:tcPr>
            <w:tcW w:w="2139"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504"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c>
          <w:tcPr>
            <w:tcW w:w="1771" w:type="dxa"/>
            <w:tcBorders>
              <w:top w:val="nil"/>
              <w:left w:val="nil"/>
              <w:bottom w:val="single" w:sz="4" w:space="0" w:color="000000"/>
              <w:right w:val="single" w:sz="4" w:space="0" w:color="000000"/>
            </w:tcBorders>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255"/>
          <w:jc w:val="center"/>
        </w:trPr>
        <w:tc>
          <w:tcPr>
            <w:tcW w:w="14173" w:type="dxa"/>
            <w:gridSpan w:val="5"/>
            <w:tcBorders>
              <w:top w:val="nil"/>
              <w:left w:val="nil"/>
              <w:bottom w:val="nil"/>
              <w:right w:val="nil"/>
            </w:tcBorders>
            <w:shd w:val="clear" w:color="auto" w:fill="FFFFFF"/>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备注：本表反映部门本年度国有资本经营预算财政拨款支出情况。</w:t>
            </w:r>
          </w:p>
        </w:tc>
      </w:tr>
      <w:tr w:rsidR="00E01187" w:rsidTr="00D90578">
        <w:trPr>
          <w:trHeight w:val="255"/>
          <w:jc w:val="center"/>
        </w:trPr>
        <w:tc>
          <w:tcPr>
            <w:tcW w:w="14173" w:type="dxa"/>
            <w:gridSpan w:val="5"/>
            <w:tcBorders>
              <w:top w:val="nil"/>
              <w:left w:val="nil"/>
              <w:bottom w:val="nil"/>
              <w:right w:val="nil"/>
            </w:tcBorders>
            <w:shd w:val="clear" w:color="auto" w:fill="FFFFFF"/>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本单位无国有资本经营预算财政拨款支出，故本表为空。</w:t>
            </w:r>
          </w:p>
        </w:tc>
      </w:tr>
    </w:tbl>
    <w:p w:rsidR="00E01187" w:rsidRDefault="00E01187" w:rsidP="00E01187"/>
    <w:p w:rsidR="00E01187" w:rsidRDefault="00E01187" w:rsidP="00E01187">
      <w:r>
        <w:br w:type="page"/>
      </w:r>
    </w:p>
    <w:p w:rsidR="00E01187" w:rsidRDefault="00E01187" w:rsidP="00E01187">
      <w:pPr>
        <w:jc w:val="center"/>
        <w:rPr>
          <w:color w:val="000000"/>
          <w:sz w:val="22"/>
          <w:szCs w:val="22"/>
        </w:rPr>
      </w:pPr>
      <w:r>
        <w:rPr>
          <w:rFonts w:eastAsia="黑体"/>
          <w:color w:val="000000"/>
          <w:kern w:val="0"/>
          <w:sz w:val="44"/>
          <w:szCs w:val="44"/>
        </w:rPr>
        <w:lastRenderedPageBreak/>
        <w:t>机构运行信息表</w:t>
      </w:r>
    </w:p>
    <w:p w:rsidR="00E01187" w:rsidRDefault="00E01187" w:rsidP="00E01187">
      <w:pPr>
        <w:jc w:val="right"/>
        <w:textAlignment w:val="center"/>
        <w:rPr>
          <w:color w:val="000000"/>
          <w:sz w:val="24"/>
          <w:szCs w:val="24"/>
        </w:rPr>
      </w:pPr>
      <w:r>
        <w:rPr>
          <w:color w:val="000000"/>
          <w:kern w:val="0"/>
          <w:sz w:val="24"/>
          <w:szCs w:val="24"/>
        </w:rPr>
        <w:t>公开</w:t>
      </w:r>
      <w:r>
        <w:rPr>
          <w:color w:val="000000"/>
          <w:kern w:val="0"/>
          <w:sz w:val="24"/>
          <w:szCs w:val="24"/>
        </w:rPr>
        <w:t>09</w:t>
      </w:r>
      <w:r>
        <w:rPr>
          <w:color w:val="000000"/>
          <w:kern w:val="0"/>
          <w:sz w:val="24"/>
          <w:szCs w:val="24"/>
        </w:rPr>
        <w:t>表</w:t>
      </w:r>
    </w:p>
    <w:p w:rsidR="00E01187" w:rsidRDefault="00E01187" w:rsidP="00E01187">
      <w:pPr>
        <w:jc w:val="left"/>
        <w:textAlignment w:val="center"/>
        <w:rPr>
          <w:color w:val="000000"/>
          <w:sz w:val="24"/>
          <w:szCs w:val="24"/>
        </w:rPr>
      </w:pPr>
      <w:r>
        <w:rPr>
          <w:color w:val="000000"/>
          <w:kern w:val="0"/>
          <w:sz w:val="24"/>
          <w:szCs w:val="24"/>
        </w:rPr>
        <w:t>公开部门：重庆市彭水自治县交通信息与工程事务中心</w:t>
      </w:r>
    </w:p>
    <w:p w:rsidR="00E01187" w:rsidRDefault="00E01187" w:rsidP="00E01187">
      <w:pPr>
        <w:jc w:val="right"/>
        <w:textAlignment w:val="center"/>
        <w:rPr>
          <w:color w:val="000000"/>
          <w:sz w:val="24"/>
          <w:szCs w:val="24"/>
        </w:rPr>
      </w:pPr>
      <w:r>
        <w:rPr>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67"/>
        <w:gridCol w:w="1652"/>
        <w:gridCol w:w="1652"/>
        <w:gridCol w:w="4350"/>
        <w:gridCol w:w="1652"/>
      </w:tblGrid>
      <w:tr w:rsidR="00E01187" w:rsidTr="00D90578">
        <w:trPr>
          <w:trHeight w:val="450"/>
          <w:tblHeader/>
          <w:jc w:val="center"/>
        </w:trPr>
        <w:tc>
          <w:tcPr>
            <w:tcW w:w="4867"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w:t>
            </w:r>
            <w:r>
              <w:rPr>
                <w:b/>
                <w:color w:val="000000"/>
                <w:kern w:val="0"/>
                <w:sz w:val="20"/>
                <w:szCs w:val="20"/>
              </w:rPr>
              <w:t xml:space="preserve">  </w:t>
            </w:r>
            <w:r>
              <w:rPr>
                <w:b/>
                <w:color w:val="000000"/>
                <w:kern w:val="0"/>
                <w:sz w:val="20"/>
                <w:szCs w:val="20"/>
              </w:rPr>
              <w:t>目</w:t>
            </w:r>
          </w:p>
        </w:tc>
        <w:tc>
          <w:tcPr>
            <w:tcW w:w="165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预算数</w:t>
            </w:r>
          </w:p>
        </w:tc>
        <w:tc>
          <w:tcPr>
            <w:tcW w:w="165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决算数</w:t>
            </w:r>
          </w:p>
        </w:tc>
        <w:tc>
          <w:tcPr>
            <w:tcW w:w="4350"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项</w:t>
            </w:r>
            <w:r>
              <w:rPr>
                <w:b/>
                <w:color w:val="000000"/>
                <w:kern w:val="0"/>
                <w:sz w:val="20"/>
                <w:szCs w:val="20"/>
              </w:rPr>
              <w:t xml:space="preserve">  </w:t>
            </w:r>
            <w:r>
              <w:rPr>
                <w:b/>
                <w:color w:val="000000"/>
                <w:kern w:val="0"/>
                <w:sz w:val="20"/>
                <w:szCs w:val="20"/>
              </w:rPr>
              <w:t>目</w:t>
            </w:r>
          </w:p>
        </w:tc>
        <w:tc>
          <w:tcPr>
            <w:tcW w:w="1652" w:type="dxa"/>
            <w:tcMar>
              <w:top w:w="15" w:type="dxa"/>
              <w:left w:w="15" w:type="dxa"/>
              <w:right w:w="15" w:type="dxa"/>
            </w:tcMar>
            <w:vAlign w:val="center"/>
          </w:tcPr>
          <w:p w:rsidR="00E01187" w:rsidRDefault="00E01187" w:rsidP="00D90578">
            <w:pPr>
              <w:jc w:val="center"/>
              <w:textAlignment w:val="center"/>
              <w:rPr>
                <w:b/>
                <w:color w:val="000000"/>
                <w:sz w:val="20"/>
                <w:szCs w:val="20"/>
              </w:rPr>
            </w:pPr>
            <w:r>
              <w:rPr>
                <w:b/>
                <w:color w:val="000000"/>
                <w:kern w:val="0"/>
                <w:sz w:val="20"/>
                <w:szCs w:val="20"/>
              </w:rPr>
              <w:t>决算数</w:t>
            </w: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一、</w:t>
            </w:r>
            <w:r>
              <w:rPr>
                <w:b/>
                <w:color w:val="000000"/>
                <w:kern w:val="0"/>
                <w:sz w:val="20"/>
                <w:szCs w:val="20"/>
              </w:rPr>
              <w:t>“</w:t>
            </w:r>
            <w:r>
              <w:rPr>
                <w:b/>
                <w:color w:val="000000"/>
                <w:kern w:val="0"/>
                <w:sz w:val="20"/>
                <w:szCs w:val="20"/>
              </w:rPr>
              <w:t>三公</w:t>
            </w:r>
            <w:r>
              <w:rPr>
                <w:b/>
                <w:color w:val="000000"/>
                <w:kern w:val="0"/>
                <w:sz w:val="20"/>
                <w:szCs w:val="20"/>
              </w:rPr>
              <w:t>”</w:t>
            </w:r>
            <w:r>
              <w:rPr>
                <w:b/>
                <w:color w:val="000000"/>
                <w:kern w:val="0"/>
                <w:sz w:val="20"/>
                <w:szCs w:val="20"/>
              </w:rPr>
              <w:t>经费支出</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4350"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四、机关运行经费</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（一）支出合计</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2.07</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1.99</w:t>
            </w: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（一）行政单位</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．因公出国（境）费</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（二）参照公务员法管理事业单位</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．公务用车购置及运行维护费</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2.07</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1.99</w:t>
            </w:r>
          </w:p>
        </w:tc>
        <w:tc>
          <w:tcPr>
            <w:tcW w:w="4350"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五、国有资产占用情况</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1</w:t>
            </w:r>
            <w:r>
              <w:rPr>
                <w:color w:val="000000"/>
                <w:kern w:val="0"/>
                <w:sz w:val="20"/>
                <w:szCs w:val="20"/>
              </w:rPr>
              <w:t>）公务用车购置费</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（一）车辆数合计（辆）</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3</w:t>
            </w: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2</w:t>
            </w:r>
            <w:r>
              <w:rPr>
                <w:color w:val="000000"/>
                <w:kern w:val="0"/>
                <w:sz w:val="20"/>
                <w:szCs w:val="20"/>
              </w:rPr>
              <w:t>）公务用车运行维护费</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2.07</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1.99</w:t>
            </w: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副部（省）级及以上领导用车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．公务接待费</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主要领导干部用车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1</w:t>
            </w:r>
            <w:r>
              <w:rPr>
                <w:color w:val="000000"/>
                <w:kern w:val="0"/>
                <w:sz w:val="20"/>
                <w:szCs w:val="20"/>
              </w:rPr>
              <w:t>）国内接待费</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机要通信用车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其中：外事接待费</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4.</w:t>
            </w:r>
            <w:r>
              <w:rPr>
                <w:color w:val="000000"/>
                <w:kern w:val="0"/>
                <w:sz w:val="20"/>
                <w:szCs w:val="20"/>
              </w:rPr>
              <w:t>应急保障用车</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3</w:t>
            </w: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w:t>
            </w:r>
            <w:r>
              <w:rPr>
                <w:color w:val="000000"/>
                <w:kern w:val="0"/>
                <w:sz w:val="20"/>
                <w:szCs w:val="20"/>
              </w:rPr>
              <w:t>2</w:t>
            </w:r>
            <w:r>
              <w:rPr>
                <w:color w:val="000000"/>
                <w:kern w:val="0"/>
                <w:sz w:val="20"/>
                <w:szCs w:val="20"/>
              </w:rPr>
              <w:t>）国（境）外接待费</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5.</w:t>
            </w:r>
            <w:r>
              <w:rPr>
                <w:color w:val="000000"/>
                <w:kern w:val="0"/>
                <w:sz w:val="20"/>
                <w:szCs w:val="20"/>
              </w:rPr>
              <w:t>执法执勤用车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（二）相关统计数</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6.</w:t>
            </w:r>
            <w:r>
              <w:rPr>
                <w:color w:val="000000"/>
                <w:kern w:val="0"/>
                <w:sz w:val="20"/>
                <w:szCs w:val="20"/>
              </w:rPr>
              <w:t>特种专业技术用车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．因公出国（境）团组数（个）</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7.</w:t>
            </w:r>
            <w:r>
              <w:rPr>
                <w:color w:val="000000"/>
                <w:kern w:val="0"/>
                <w:sz w:val="20"/>
                <w:szCs w:val="20"/>
              </w:rPr>
              <w:t>离退休干部用车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．因公出国（境）人次数（人）</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8.</w:t>
            </w:r>
            <w:r>
              <w:rPr>
                <w:color w:val="000000"/>
                <w:kern w:val="0"/>
                <w:sz w:val="20"/>
                <w:szCs w:val="20"/>
              </w:rPr>
              <w:t>其他用车</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．公务用车购置数（辆）</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（二）单价</w:t>
            </w:r>
            <w:r>
              <w:rPr>
                <w:color w:val="000000"/>
                <w:kern w:val="0"/>
                <w:sz w:val="20"/>
                <w:szCs w:val="20"/>
              </w:rPr>
              <w:t>50</w:t>
            </w:r>
            <w:r>
              <w:rPr>
                <w:color w:val="000000"/>
                <w:kern w:val="0"/>
                <w:sz w:val="20"/>
                <w:szCs w:val="20"/>
              </w:rPr>
              <w:t>万元（含）以上通用设备（台，套）</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4</w:t>
            </w:r>
            <w:r>
              <w:rPr>
                <w:color w:val="000000"/>
                <w:kern w:val="0"/>
                <w:sz w:val="20"/>
                <w:szCs w:val="20"/>
              </w:rPr>
              <w:t>．公务用车保有量（辆）</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textAlignment w:val="center"/>
              <w:rPr>
                <w:color w:val="000000"/>
                <w:sz w:val="20"/>
                <w:szCs w:val="20"/>
              </w:rPr>
            </w:pPr>
            <w:r>
              <w:rPr>
                <w:color w:val="000000"/>
                <w:kern w:val="0"/>
                <w:sz w:val="20"/>
                <w:szCs w:val="20"/>
              </w:rPr>
              <w:t>3</w:t>
            </w: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（三）单价</w:t>
            </w:r>
            <w:r>
              <w:rPr>
                <w:color w:val="000000"/>
                <w:kern w:val="0"/>
                <w:sz w:val="20"/>
                <w:szCs w:val="20"/>
              </w:rPr>
              <w:t>100</w:t>
            </w:r>
            <w:r>
              <w:rPr>
                <w:color w:val="000000"/>
                <w:kern w:val="0"/>
                <w:sz w:val="20"/>
                <w:szCs w:val="20"/>
              </w:rPr>
              <w:t>万（含）元以上专用设备（台，套）</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5</w:t>
            </w:r>
            <w:r>
              <w:rPr>
                <w:color w:val="000000"/>
                <w:kern w:val="0"/>
                <w:sz w:val="20"/>
                <w:szCs w:val="20"/>
              </w:rPr>
              <w:t>．国内公务接待批次（个）</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b/>
                <w:color w:val="000000"/>
                <w:sz w:val="20"/>
                <w:szCs w:val="20"/>
              </w:rPr>
            </w:pPr>
            <w:r>
              <w:rPr>
                <w:b/>
                <w:color w:val="000000"/>
                <w:kern w:val="0"/>
                <w:sz w:val="20"/>
                <w:szCs w:val="20"/>
              </w:rPr>
              <w:t>六、政府采购支出信息</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其中：外事接待批次（个）</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（一）政府采购支出合计</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6</w:t>
            </w:r>
            <w:r>
              <w:rPr>
                <w:color w:val="000000"/>
                <w:kern w:val="0"/>
                <w:sz w:val="20"/>
                <w:szCs w:val="20"/>
              </w:rPr>
              <w:t>．国内公务接待人次（人）</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1</w:t>
            </w:r>
            <w:r>
              <w:rPr>
                <w:color w:val="000000"/>
                <w:kern w:val="0"/>
                <w:sz w:val="20"/>
                <w:szCs w:val="20"/>
              </w:rPr>
              <w:t>．政府采购货物支出</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lastRenderedPageBreak/>
              <w:t xml:space="preserve">     </w:t>
            </w:r>
            <w:r>
              <w:rPr>
                <w:color w:val="000000"/>
                <w:kern w:val="0"/>
                <w:sz w:val="20"/>
                <w:szCs w:val="20"/>
              </w:rPr>
              <w:t>其中：外事接待人次（人）</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2</w:t>
            </w:r>
            <w:r>
              <w:rPr>
                <w:color w:val="000000"/>
                <w:kern w:val="0"/>
                <w:sz w:val="20"/>
                <w:szCs w:val="20"/>
              </w:rPr>
              <w:t>．政府采购工程支出</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7</w:t>
            </w:r>
            <w:r>
              <w:rPr>
                <w:color w:val="000000"/>
                <w:kern w:val="0"/>
                <w:sz w:val="20"/>
                <w:szCs w:val="20"/>
              </w:rPr>
              <w:t>．国（境）外公务接待批次（个）</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3</w:t>
            </w:r>
            <w:r>
              <w:rPr>
                <w:color w:val="000000"/>
                <w:kern w:val="0"/>
                <w:sz w:val="20"/>
                <w:szCs w:val="20"/>
              </w:rPr>
              <w:t>．政府采购服务支出</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8</w:t>
            </w:r>
            <w:r>
              <w:rPr>
                <w:color w:val="000000"/>
                <w:kern w:val="0"/>
                <w:sz w:val="20"/>
                <w:szCs w:val="20"/>
              </w:rPr>
              <w:t>．国（境）外公务接待人次（人）</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（二）政府采购授予中小企业合同金额</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二、会议费</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其中：授予小微企业合同金额</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r>
      <w:tr w:rsidR="00E01187" w:rsidTr="00D90578">
        <w:trPr>
          <w:trHeight w:val="300"/>
          <w:jc w:val="center"/>
        </w:trPr>
        <w:tc>
          <w:tcPr>
            <w:tcW w:w="4867" w:type="dxa"/>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三、培训费</w:t>
            </w:r>
          </w:p>
        </w:tc>
        <w:tc>
          <w:tcPr>
            <w:tcW w:w="1652" w:type="dxa"/>
            <w:tcMar>
              <w:top w:w="15" w:type="dxa"/>
              <w:left w:w="15" w:type="dxa"/>
              <w:right w:w="15" w:type="dxa"/>
            </w:tcMar>
            <w:vAlign w:val="center"/>
          </w:tcPr>
          <w:p w:rsidR="00E01187" w:rsidRDefault="00E01187" w:rsidP="00D90578">
            <w:pPr>
              <w:jc w:val="center"/>
              <w:textAlignment w:val="center"/>
              <w:rPr>
                <w:color w:val="000000"/>
                <w:sz w:val="20"/>
                <w:szCs w:val="20"/>
              </w:rPr>
            </w:pPr>
            <w:r>
              <w:rPr>
                <w:color w:val="000000"/>
                <w:kern w:val="0"/>
                <w:sz w:val="20"/>
                <w:szCs w:val="20"/>
              </w:rPr>
              <w:t>—</w:t>
            </w:r>
          </w:p>
        </w:tc>
        <w:tc>
          <w:tcPr>
            <w:tcW w:w="1652" w:type="dxa"/>
            <w:tcMar>
              <w:top w:w="15" w:type="dxa"/>
              <w:left w:w="15" w:type="dxa"/>
              <w:right w:w="15" w:type="dxa"/>
            </w:tcMar>
            <w:vAlign w:val="center"/>
          </w:tcPr>
          <w:p w:rsidR="00E01187" w:rsidRDefault="00E01187" w:rsidP="00D90578">
            <w:pPr>
              <w:jc w:val="right"/>
              <w:rPr>
                <w:color w:val="000000"/>
                <w:sz w:val="20"/>
                <w:szCs w:val="20"/>
              </w:rPr>
            </w:pPr>
          </w:p>
        </w:tc>
        <w:tc>
          <w:tcPr>
            <w:tcW w:w="4350" w:type="dxa"/>
            <w:tcMar>
              <w:top w:w="15" w:type="dxa"/>
              <w:left w:w="15" w:type="dxa"/>
              <w:right w:w="15" w:type="dxa"/>
            </w:tcMar>
            <w:vAlign w:val="center"/>
          </w:tcPr>
          <w:p w:rsidR="00E01187" w:rsidRDefault="00E01187" w:rsidP="00D90578">
            <w:pPr>
              <w:jc w:val="left"/>
              <w:rPr>
                <w:color w:val="000000"/>
                <w:sz w:val="20"/>
                <w:szCs w:val="20"/>
              </w:rPr>
            </w:pPr>
          </w:p>
        </w:tc>
        <w:tc>
          <w:tcPr>
            <w:tcW w:w="1652" w:type="dxa"/>
            <w:tcMar>
              <w:top w:w="15" w:type="dxa"/>
              <w:left w:w="15" w:type="dxa"/>
              <w:right w:w="15" w:type="dxa"/>
            </w:tcMar>
            <w:vAlign w:val="center"/>
          </w:tcPr>
          <w:p w:rsidR="00E01187" w:rsidRDefault="00E01187" w:rsidP="00D90578">
            <w:pPr>
              <w:jc w:val="left"/>
              <w:rPr>
                <w:color w:val="000000"/>
                <w:sz w:val="20"/>
                <w:szCs w:val="20"/>
              </w:rPr>
            </w:pPr>
          </w:p>
        </w:tc>
      </w:tr>
      <w:tr w:rsidR="00E01187" w:rsidTr="00D90578">
        <w:trPr>
          <w:trHeight w:val="300"/>
          <w:jc w:val="center"/>
        </w:trPr>
        <w:tc>
          <w:tcPr>
            <w:tcW w:w="14173" w:type="dxa"/>
            <w:gridSpan w:val="5"/>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备注：预算数年初部门预算批复数，决算数包括当年财政拨款预算和以前年度结转结余资金安排的实际支出。</w:t>
            </w:r>
          </w:p>
        </w:tc>
      </w:tr>
      <w:tr w:rsidR="00E01187" w:rsidTr="00D90578">
        <w:trPr>
          <w:trHeight w:val="300"/>
          <w:jc w:val="center"/>
        </w:trPr>
        <w:tc>
          <w:tcPr>
            <w:tcW w:w="14173" w:type="dxa"/>
            <w:gridSpan w:val="5"/>
            <w:tcMar>
              <w:top w:w="15" w:type="dxa"/>
              <w:left w:w="15" w:type="dxa"/>
              <w:right w:w="15" w:type="dxa"/>
            </w:tcMar>
            <w:vAlign w:val="center"/>
          </w:tcPr>
          <w:p w:rsidR="00E01187" w:rsidRDefault="00E01187" w:rsidP="00D90578">
            <w:pPr>
              <w:jc w:val="left"/>
              <w:textAlignment w:val="center"/>
              <w:rPr>
                <w:color w:val="000000"/>
                <w:sz w:val="20"/>
                <w:szCs w:val="20"/>
              </w:rPr>
            </w:pPr>
            <w:r>
              <w:rPr>
                <w:color w:val="000000"/>
                <w:kern w:val="0"/>
                <w:sz w:val="20"/>
                <w:szCs w:val="20"/>
              </w:rPr>
              <w:t xml:space="preserve">      </w:t>
            </w:r>
            <w:r>
              <w:rPr>
                <w:color w:val="000000"/>
                <w:kern w:val="0"/>
                <w:sz w:val="20"/>
                <w:szCs w:val="20"/>
              </w:rPr>
              <w:t>本表为空的单位应将空表公开，并注明：本单位无相关数据，故本表为空。</w:t>
            </w:r>
            <w:r>
              <w:rPr>
                <w:color w:val="000000"/>
                <w:kern w:val="0"/>
                <w:sz w:val="20"/>
                <w:szCs w:val="20"/>
              </w:rPr>
              <w:t xml:space="preserve">    </w:t>
            </w:r>
          </w:p>
        </w:tc>
      </w:tr>
    </w:tbl>
    <w:p w:rsidR="00FE5498" w:rsidRDefault="00E01187">
      <w:r>
        <w:br w:type="page"/>
      </w:r>
    </w:p>
    <w:sectPr w:rsidR="00FE5498" w:rsidSect="00E0118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524" w:rsidRDefault="00E06524" w:rsidP="00E01187">
      <w:r>
        <w:separator/>
      </w:r>
    </w:p>
  </w:endnote>
  <w:endnote w:type="continuationSeparator" w:id="1">
    <w:p w:rsidR="00E06524" w:rsidRDefault="00E06524" w:rsidP="00E01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524" w:rsidRDefault="00E06524" w:rsidP="00E01187">
      <w:r>
        <w:separator/>
      </w:r>
    </w:p>
  </w:footnote>
  <w:footnote w:type="continuationSeparator" w:id="1">
    <w:p w:rsidR="00E06524" w:rsidRDefault="00E06524" w:rsidP="00E01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B662E"/>
    <w:multiLevelType w:val="multilevel"/>
    <w:tmpl w:val="2BFB662E"/>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9417522"/>
    <w:multiLevelType w:val="singleLevel"/>
    <w:tmpl w:val="79417522"/>
    <w:lvl w:ilvl="0">
      <w:start w:val="6"/>
      <w:numFmt w:val="chineseCounting"/>
      <w:suff w:val="nothing"/>
      <w:lvlText w:val="（%1）"/>
      <w:lvlJc w:val="left"/>
      <w:rPr>
        <w:rFonts w:hint="eastAsi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187"/>
    <w:rsid w:val="003A003B"/>
    <w:rsid w:val="00647B05"/>
    <w:rsid w:val="00D40C10"/>
    <w:rsid w:val="00E01187"/>
    <w:rsid w:val="00E06524"/>
    <w:rsid w:val="00FE5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01187"/>
    <w:pPr>
      <w:widowControl w:val="0"/>
      <w:jc w:val="both"/>
    </w:pPr>
    <w:rPr>
      <w:rFonts w:ascii="Times New Roman" w:eastAsia="宋体" w:hAnsi="Times New Roman" w:cs="Times New Roman"/>
      <w:szCs w:val="21"/>
    </w:rPr>
  </w:style>
  <w:style w:type="paragraph" w:styleId="1">
    <w:name w:val="heading 1"/>
    <w:basedOn w:val="a"/>
    <w:next w:val="a"/>
    <w:link w:val="1Char"/>
    <w:qFormat/>
    <w:rsid w:val="00E01187"/>
    <w:pPr>
      <w:keepNext/>
      <w:keepLines/>
      <w:spacing w:line="576" w:lineRule="auto"/>
      <w:jc w:val="left"/>
      <w:outlineLvl w:val="0"/>
    </w:pPr>
    <w:rPr>
      <w:kern w:val="44"/>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01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1187"/>
    <w:rPr>
      <w:sz w:val="18"/>
      <w:szCs w:val="18"/>
    </w:rPr>
  </w:style>
  <w:style w:type="paragraph" w:styleId="a4">
    <w:name w:val="footer"/>
    <w:basedOn w:val="a"/>
    <w:link w:val="Char0"/>
    <w:unhideWhenUsed/>
    <w:rsid w:val="00E01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1187"/>
    <w:rPr>
      <w:sz w:val="18"/>
      <w:szCs w:val="18"/>
    </w:rPr>
  </w:style>
  <w:style w:type="character" w:customStyle="1" w:styleId="1Char">
    <w:name w:val="标题 1 Char"/>
    <w:basedOn w:val="a0"/>
    <w:link w:val="1"/>
    <w:rsid w:val="00E01187"/>
    <w:rPr>
      <w:rFonts w:ascii="Times New Roman" w:eastAsia="宋体" w:hAnsi="Times New Roman" w:cs="Times New Roman"/>
      <w:kern w:val="44"/>
      <w:sz w:val="28"/>
      <w:szCs w:val="21"/>
    </w:rPr>
  </w:style>
  <w:style w:type="character" w:customStyle="1" w:styleId="font91">
    <w:name w:val="font91"/>
    <w:basedOn w:val="a0"/>
    <w:rsid w:val="00E01187"/>
    <w:rPr>
      <w:rFonts w:ascii="仿宋" w:eastAsia="仿宋" w:hAnsi="仿宋" w:hint="eastAsia"/>
      <w:b w:val="0"/>
      <w:bCs w:val="0"/>
      <w:i w:val="0"/>
      <w:iCs w:val="0"/>
      <w:strike w:val="0"/>
      <w:dstrike w:val="0"/>
      <w:color w:val="000000"/>
      <w:sz w:val="22"/>
      <w:szCs w:val="22"/>
      <w:u w:val="none"/>
    </w:rPr>
  </w:style>
  <w:style w:type="character" w:customStyle="1" w:styleId="font31">
    <w:name w:val="font31"/>
    <w:basedOn w:val="a0"/>
    <w:rsid w:val="00E01187"/>
    <w:rPr>
      <w:rFonts w:ascii="仿宋" w:eastAsia="仿宋" w:hAnsi="仿宋" w:hint="eastAsia"/>
      <w:b w:val="0"/>
      <w:bCs w:val="0"/>
      <w:i w:val="0"/>
      <w:iCs w:val="0"/>
      <w:strike w:val="0"/>
      <w:dstrike w:val="0"/>
      <w:color w:val="000000"/>
      <w:sz w:val="22"/>
      <w:szCs w:val="22"/>
      <w:u w:val="none"/>
    </w:rPr>
  </w:style>
  <w:style w:type="character" w:customStyle="1" w:styleId="font141">
    <w:name w:val="font141"/>
    <w:rsid w:val="00E01187"/>
    <w:rPr>
      <w:rFonts w:ascii="仿宋" w:eastAsia="仿宋" w:hAnsi="仿宋" w:hint="eastAsia"/>
      <w:b/>
      <w:bCs/>
      <w:i w:val="0"/>
      <w:iCs w:val="0"/>
      <w:strike w:val="0"/>
      <w:dstrike w:val="0"/>
      <w:color w:val="000000"/>
      <w:sz w:val="22"/>
      <w:szCs w:val="22"/>
      <w:u w:val="none"/>
    </w:rPr>
  </w:style>
  <w:style w:type="character" w:customStyle="1" w:styleId="font12">
    <w:name w:val="font12"/>
    <w:rsid w:val="00E01187"/>
    <w:rPr>
      <w:rFonts w:ascii="宋体" w:eastAsia="宋体" w:hAnsi="宋体" w:hint="eastAsia"/>
      <w:b w:val="0"/>
      <w:bCs w:val="0"/>
      <w:i w:val="0"/>
      <w:iCs w:val="0"/>
      <w:strike w:val="0"/>
      <w:dstrike w:val="0"/>
      <w:color w:val="000000"/>
      <w:sz w:val="24"/>
      <w:szCs w:val="24"/>
      <w:u w:val="none"/>
    </w:rPr>
  </w:style>
  <w:style w:type="character" w:customStyle="1" w:styleId="15">
    <w:name w:val="15"/>
    <w:basedOn w:val="a0"/>
    <w:rsid w:val="00E01187"/>
    <w:rPr>
      <w:rFonts w:ascii="Times New Roman" w:hAnsi="Times New Roman" w:cs="Times New Roman" w:hint="default"/>
      <w:b/>
      <w:bCs/>
    </w:rPr>
  </w:style>
  <w:style w:type="character" w:customStyle="1" w:styleId="10">
    <w:name w:val="10"/>
    <w:rsid w:val="00E01187"/>
    <w:rPr>
      <w:rFonts w:ascii="Calibri" w:hAnsi="Calibri" w:hint="default"/>
    </w:rPr>
  </w:style>
  <w:style w:type="character" w:customStyle="1" w:styleId="19">
    <w:name w:val="19"/>
    <w:basedOn w:val="a0"/>
    <w:rsid w:val="00E01187"/>
    <w:rPr>
      <w:rFonts w:ascii="Times New Roman" w:hAnsi="Times New Roman" w:cs="Times New Roman" w:hint="default"/>
      <w:sz w:val="21"/>
      <w:szCs w:val="21"/>
    </w:rPr>
  </w:style>
  <w:style w:type="character" w:customStyle="1" w:styleId="font111">
    <w:name w:val="font111"/>
    <w:basedOn w:val="a0"/>
    <w:rsid w:val="00E01187"/>
    <w:rPr>
      <w:rFonts w:ascii="Times New Roman" w:hAnsi="Times New Roman" w:cs="Times New Roman" w:hint="default"/>
      <w:b w:val="0"/>
      <w:bCs w:val="0"/>
      <w:i w:val="0"/>
      <w:iCs w:val="0"/>
      <w:strike w:val="0"/>
      <w:dstrike w:val="0"/>
      <w:color w:val="000000"/>
      <w:sz w:val="24"/>
      <w:szCs w:val="24"/>
      <w:u w:val="none"/>
    </w:rPr>
  </w:style>
  <w:style w:type="character" w:customStyle="1" w:styleId="font131">
    <w:name w:val="font131"/>
    <w:rsid w:val="00E01187"/>
    <w:rPr>
      <w:rFonts w:ascii="仿宋" w:eastAsia="仿宋" w:hAnsi="仿宋" w:hint="eastAsia"/>
      <w:b w:val="0"/>
      <w:bCs w:val="0"/>
      <w:i w:val="0"/>
      <w:iCs w:val="0"/>
      <w:strike w:val="0"/>
      <w:dstrike w:val="0"/>
      <w:color w:val="000000"/>
      <w:sz w:val="22"/>
      <w:szCs w:val="22"/>
      <w:u w:val="none"/>
    </w:rPr>
  </w:style>
  <w:style w:type="character" w:customStyle="1" w:styleId="16">
    <w:name w:val="16"/>
    <w:basedOn w:val="a0"/>
    <w:rsid w:val="00E01187"/>
    <w:rPr>
      <w:rFonts w:ascii="Times New Roman" w:hAnsi="Times New Roman" w:cs="Times New Roman" w:hint="default"/>
      <w:b/>
      <w:bCs/>
    </w:rPr>
  </w:style>
  <w:style w:type="character" w:customStyle="1" w:styleId="font121">
    <w:name w:val="font121"/>
    <w:rsid w:val="00E01187"/>
    <w:rPr>
      <w:rFonts w:ascii="仿宋" w:eastAsia="仿宋" w:hAnsi="仿宋" w:hint="eastAsia"/>
      <w:b w:val="0"/>
      <w:bCs w:val="0"/>
      <w:i w:val="0"/>
      <w:iCs w:val="0"/>
      <w:strike w:val="0"/>
      <w:dstrike w:val="0"/>
      <w:color w:val="000000"/>
      <w:sz w:val="22"/>
      <w:szCs w:val="22"/>
      <w:u w:val="none"/>
    </w:rPr>
  </w:style>
  <w:style w:type="character" w:customStyle="1" w:styleId="font71">
    <w:name w:val="font71"/>
    <w:basedOn w:val="a0"/>
    <w:rsid w:val="00E01187"/>
    <w:rPr>
      <w:rFonts w:ascii="宋体" w:eastAsia="宋体" w:hAnsi="宋体" w:hint="eastAsia"/>
      <w:b w:val="0"/>
      <w:bCs w:val="0"/>
      <w:i w:val="0"/>
      <w:iCs w:val="0"/>
      <w:strike w:val="0"/>
      <w:dstrike w:val="0"/>
      <w:color w:val="000000"/>
      <w:sz w:val="20"/>
      <w:szCs w:val="20"/>
      <w:u w:val="none"/>
    </w:rPr>
  </w:style>
  <w:style w:type="character" w:customStyle="1" w:styleId="font101">
    <w:name w:val="font101"/>
    <w:rsid w:val="00E01187"/>
    <w:rPr>
      <w:rFonts w:ascii="Times New Roman" w:hAnsi="Times New Roman" w:cs="Times New Roman" w:hint="default"/>
      <w:b w:val="0"/>
      <w:bCs w:val="0"/>
      <w:i w:val="0"/>
      <w:iCs w:val="0"/>
      <w:strike w:val="0"/>
      <w:dstrike w:val="0"/>
      <w:color w:val="000000"/>
      <w:sz w:val="24"/>
      <w:szCs w:val="24"/>
      <w:u w:val="none"/>
    </w:rPr>
  </w:style>
  <w:style w:type="character" w:customStyle="1" w:styleId="font51">
    <w:name w:val="font51"/>
    <w:basedOn w:val="a0"/>
    <w:rsid w:val="00E01187"/>
    <w:rPr>
      <w:rFonts w:ascii="仿宋" w:eastAsia="仿宋" w:hAnsi="仿宋" w:hint="eastAsia"/>
      <w:b w:val="0"/>
      <w:bCs w:val="0"/>
      <w:i w:val="0"/>
      <w:iCs w:val="0"/>
      <w:strike w:val="0"/>
      <w:dstrike w:val="0"/>
      <w:color w:val="000000"/>
      <w:sz w:val="22"/>
      <w:szCs w:val="22"/>
      <w:u w:val="none"/>
    </w:rPr>
  </w:style>
  <w:style w:type="character" w:styleId="a5">
    <w:name w:val="Strong"/>
    <w:basedOn w:val="a0"/>
    <w:qFormat/>
    <w:rsid w:val="00E01187"/>
    <w:rPr>
      <w:b/>
      <w:bCs/>
    </w:rPr>
  </w:style>
  <w:style w:type="character" w:customStyle="1" w:styleId="font151">
    <w:name w:val="font151"/>
    <w:rsid w:val="00E01187"/>
    <w:rPr>
      <w:rFonts w:ascii="仿宋" w:eastAsia="仿宋" w:hAnsi="仿宋" w:hint="eastAsia"/>
      <w:b/>
      <w:bCs/>
      <w:i w:val="0"/>
      <w:iCs w:val="0"/>
      <w:strike w:val="0"/>
      <w:dstrike w:val="0"/>
      <w:color w:val="000000"/>
      <w:sz w:val="22"/>
      <w:szCs w:val="22"/>
      <w:u w:val="none"/>
    </w:rPr>
  </w:style>
  <w:style w:type="character" w:customStyle="1" w:styleId="font21">
    <w:name w:val="font21"/>
    <w:basedOn w:val="a0"/>
    <w:rsid w:val="00E01187"/>
    <w:rPr>
      <w:rFonts w:ascii="宋体" w:eastAsia="宋体" w:hAnsi="宋体" w:hint="eastAsia"/>
      <w:b w:val="0"/>
      <w:bCs w:val="0"/>
      <w:i w:val="0"/>
      <w:iCs w:val="0"/>
      <w:strike w:val="0"/>
      <w:dstrike w:val="0"/>
      <w:color w:val="000000"/>
      <w:sz w:val="24"/>
      <w:szCs w:val="24"/>
      <w:u w:val="none"/>
    </w:rPr>
  </w:style>
  <w:style w:type="character" w:customStyle="1" w:styleId="font81">
    <w:name w:val="font81"/>
    <w:basedOn w:val="a0"/>
    <w:rsid w:val="00E01187"/>
    <w:rPr>
      <w:rFonts w:ascii="仿宋" w:eastAsia="仿宋" w:hAnsi="仿宋" w:hint="eastAsia"/>
      <w:b w:val="0"/>
      <w:bCs w:val="0"/>
      <w:i w:val="0"/>
      <w:iCs w:val="0"/>
      <w:strike w:val="0"/>
      <w:dstrike w:val="0"/>
      <w:color w:val="000000"/>
      <w:sz w:val="22"/>
      <w:szCs w:val="22"/>
      <w:u w:val="none"/>
    </w:rPr>
  </w:style>
  <w:style w:type="character" w:styleId="a6">
    <w:name w:val="Hyperlink"/>
    <w:rsid w:val="00E01187"/>
    <w:rPr>
      <w:color w:val="0000FF"/>
      <w:u w:val="single"/>
    </w:rPr>
  </w:style>
  <w:style w:type="character" w:styleId="a7">
    <w:name w:val="page number"/>
    <w:basedOn w:val="a0"/>
    <w:rsid w:val="00E01187"/>
  </w:style>
  <w:style w:type="character" w:customStyle="1" w:styleId="detailtext1">
    <w:name w:val="detail_text1"/>
    <w:qFormat/>
    <w:rsid w:val="00E01187"/>
    <w:rPr>
      <w:sz w:val="21"/>
      <w:szCs w:val="21"/>
    </w:rPr>
  </w:style>
  <w:style w:type="character" w:customStyle="1" w:styleId="font41">
    <w:name w:val="font41"/>
    <w:basedOn w:val="a0"/>
    <w:rsid w:val="00E01187"/>
    <w:rPr>
      <w:rFonts w:ascii="宋体" w:eastAsia="宋体" w:hAnsi="宋体" w:hint="eastAsia"/>
      <w:b w:val="0"/>
      <w:bCs w:val="0"/>
      <w:i w:val="0"/>
      <w:iCs w:val="0"/>
      <w:strike w:val="0"/>
      <w:dstrike w:val="0"/>
      <w:color w:val="000000"/>
      <w:sz w:val="20"/>
      <w:szCs w:val="20"/>
      <w:u w:val="none"/>
    </w:rPr>
  </w:style>
  <w:style w:type="character" w:customStyle="1" w:styleId="font61">
    <w:name w:val="font61"/>
    <w:basedOn w:val="a0"/>
    <w:rsid w:val="00E01187"/>
    <w:rPr>
      <w:rFonts w:ascii="仿宋" w:eastAsia="仿宋" w:hAnsi="仿宋" w:hint="eastAsia"/>
      <w:b/>
      <w:bCs/>
      <w:i w:val="0"/>
      <w:iCs w:val="0"/>
      <w:strike w:val="0"/>
      <w:dstrike w:val="0"/>
      <w:color w:val="000000"/>
      <w:sz w:val="22"/>
      <w:szCs w:val="22"/>
      <w:u w:val="none"/>
    </w:rPr>
  </w:style>
  <w:style w:type="character" w:customStyle="1" w:styleId="17">
    <w:name w:val="17"/>
    <w:rsid w:val="00E01187"/>
    <w:rPr>
      <w:rFonts w:ascii="Times New Roman" w:hAnsi="Times New Roman" w:cs="Times New Roman" w:hint="default"/>
      <w:sz w:val="21"/>
      <w:szCs w:val="21"/>
    </w:rPr>
  </w:style>
  <w:style w:type="character" w:customStyle="1" w:styleId="18">
    <w:name w:val="18"/>
    <w:basedOn w:val="a0"/>
    <w:rsid w:val="00E01187"/>
    <w:rPr>
      <w:rFonts w:ascii="Times New Roman" w:hAnsi="Times New Roman" w:cs="Times New Roman" w:hint="default"/>
      <w:sz w:val="21"/>
      <w:szCs w:val="21"/>
    </w:rPr>
  </w:style>
  <w:style w:type="character" w:customStyle="1" w:styleId="font01">
    <w:name w:val="font01"/>
    <w:basedOn w:val="a0"/>
    <w:rsid w:val="00E01187"/>
    <w:rPr>
      <w:rFonts w:ascii="仿宋" w:eastAsia="仿宋" w:hAnsi="仿宋" w:hint="eastAsia"/>
      <w:b/>
      <w:bCs/>
      <w:i w:val="0"/>
      <w:iCs w:val="0"/>
      <w:strike w:val="0"/>
      <w:dstrike w:val="0"/>
      <w:color w:val="000000"/>
      <w:sz w:val="22"/>
      <w:szCs w:val="22"/>
      <w:u w:val="none"/>
    </w:rPr>
  </w:style>
  <w:style w:type="character" w:customStyle="1" w:styleId="font11">
    <w:name w:val="font11"/>
    <w:rsid w:val="00E01187"/>
    <w:rPr>
      <w:rFonts w:ascii="仿宋" w:eastAsia="仿宋" w:hAnsi="仿宋" w:hint="eastAsia"/>
      <w:b w:val="0"/>
      <w:bCs w:val="0"/>
      <w:i w:val="0"/>
      <w:iCs w:val="0"/>
      <w:strike w:val="0"/>
      <w:dstrike w:val="0"/>
      <w:color w:val="000000"/>
      <w:sz w:val="22"/>
      <w:szCs w:val="22"/>
      <w:u w:val="none"/>
    </w:rPr>
  </w:style>
  <w:style w:type="character" w:customStyle="1" w:styleId="font112">
    <w:name w:val="font112"/>
    <w:basedOn w:val="a0"/>
    <w:rsid w:val="00E01187"/>
    <w:rPr>
      <w:rFonts w:ascii="仿宋" w:eastAsia="仿宋" w:hAnsi="仿宋" w:cs="仿宋" w:hint="eastAsia"/>
      <w:color w:val="000000"/>
      <w:sz w:val="22"/>
      <w:szCs w:val="22"/>
      <w:u w:val="none"/>
    </w:rPr>
  </w:style>
  <w:style w:type="character" w:customStyle="1" w:styleId="21">
    <w:name w:val="21"/>
    <w:basedOn w:val="a0"/>
    <w:qFormat/>
    <w:rsid w:val="00E01187"/>
    <w:rPr>
      <w:rFonts w:ascii="Times New Roman" w:hAnsi="Times New Roman" w:cs="Times New Roman" w:hint="default"/>
      <w:b/>
    </w:rPr>
  </w:style>
  <w:style w:type="character" w:customStyle="1" w:styleId="25">
    <w:name w:val="25"/>
    <w:basedOn w:val="a0"/>
    <w:qFormat/>
    <w:rsid w:val="00E01187"/>
    <w:rPr>
      <w:rFonts w:ascii="Times New Roman" w:hAnsi="Times New Roman" w:cs="Times New Roman" w:hint="default"/>
      <w:b/>
    </w:rPr>
  </w:style>
  <w:style w:type="character" w:customStyle="1" w:styleId="20">
    <w:name w:val="20"/>
    <w:basedOn w:val="a0"/>
    <w:qFormat/>
    <w:rsid w:val="00E01187"/>
    <w:rPr>
      <w:rFonts w:ascii="Times New Roman" w:hAnsi="Times New Roman" w:cs="Times New Roman" w:hint="default"/>
      <w:sz w:val="21"/>
      <w:szCs w:val="21"/>
    </w:rPr>
  </w:style>
  <w:style w:type="character" w:customStyle="1" w:styleId="HTMLChar">
    <w:name w:val="HTML 预设格式 Char"/>
    <w:basedOn w:val="a0"/>
    <w:link w:val="HTML"/>
    <w:qFormat/>
    <w:locked/>
    <w:rsid w:val="00E01187"/>
    <w:rPr>
      <w:rFonts w:ascii="宋体" w:eastAsia="宋体" w:hAnsi="宋体" w:cs="Times New Roman"/>
      <w:kern w:val="0"/>
      <w:sz w:val="24"/>
      <w:szCs w:val="24"/>
    </w:rPr>
  </w:style>
  <w:style w:type="paragraph" w:styleId="2">
    <w:name w:val="toc 2"/>
    <w:basedOn w:val="a"/>
    <w:next w:val="a"/>
    <w:semiHidden/>
    <w:rsid w:val="00E01187"/>
    <w:pPr>
      <w:ind w:leftChars="200" w:left="420"/>
    </w:pPr>
    <w:rPr>
      <w:szCs w:val="24"/>
    </w:rPr>
  </w:style>
  <w:style w:type="paragraph" w:styleId="4">
    <w:name w:val="toc 4"/>
    <w:basedOn w:val="a"/>
    <w:next w:val="a"/>
    <w:semiHidden/>
    <w:rsid w:val="00E01187"/>
    <w:pPr>
      <w:ind w:leftChars="600" w:left="1260"/>
    </w:pPr>
    <w:rPr>
      <w:szCs w:val="24"/>
    </w:rPr>
  </w:style>
  <w:style w:type="paragraph" w:styleId="9">
    <w:name w:val="toc 9"/>
    <w:basedOn w:val="a"/>
    <w:next w:val="a"/>
    <w:semiHidden/>
    <w:rsid w:val="00E01187"/>
    <w:pPr>
      <w:ind w:leftChars="1600" w:left="3360"/>
    </w:pPr>
    <w:rPr>
      <w:szCs w:val="24"/>
    </w:rPr>
  </w:style>
  <w:style w:type="paragraph" w:styleId="5">
    <w:name w:val="toc 5"/>
    <w:basedOn w:val="a"/>
    <w:next w:val="a"/>
    <w:semiHidden/>
    <w:rsid w:val="00E01187"/>
    <w:pPr>
      <w:ind w:leftChars="800" w:left="1680"/>
    </w:pPr>
    <w:rPr>
      <w:szCs w:val="24"/>
    </w:rPr>
  </w:style>
  <w:style w:type="paragraph" w:customStyle="1" w:styleId="Default">
    <w:name w:val="Default"/>
    <w:basedOn w:val="a"/>
    <w:rsid w:val="00E01187"/>
    <w:pPr>
      <w:autoSpaceDE w:val="0"/>
      <w:autoSpaceDN w:val="0"/>
      <w:adjustRightInd w:val="0"/>
      <w:jc w:val="left"/>
    </w:pPr>
    <w:rPr>
      <w:rFonts w:ascii="仿宋_GB2312" w:eastAsia="仿宋_GB2312" w:cs="宋体"/>
      <w:color w:val="000000"/>
      <w:kern w:val="0"/>
      <w:sz w:val="24"/>
      <w:szCs w:val="24"/>
    </w:rPr>
  </w:style>
  <w:style w:type="paragraph" w:customStyle="1" w:styleId="11">
    <w:name w:val="列出段落1"/>
    <w:basedOn w:val="a"/>
    <w:rsid w:val="00E01187"/>
    <w:pPr>
      <w:ind w:firstLineChars="200" w:firstLine="420"/>
    </w:pPr>
    <w:rPr>
      <w:rFonts w:ascii="Calibri" w:hAnsi="Calibri" w:cs="宋体"/>
    </w:rPr>
  </w:style>
  <w:style w:type="paragraph" w:customStyle="1" w:styleId="22">
    <w:name w:val="列出段落2"/>
    <w:basedOn w:val="a"/>
    <w:rsid w:val="00E01187"/>
    <w:pPr>
      <w:ind w:firstLineChars="200" w:firstLine="420"/>
    </w:pPr>
    <w:rPr>
      <w:rFonts w:ascii="Calibri" w:hAnsi="Calibri" w:cs="宋体"/>
    </w:rPr>
  </w:style>
  <w:style w:type="paragraph" w:styleId="HTML">
    <w:name w:val="HTML Preformatted"/>
    <w:basedOn w:val="a"/>
    <w:link w:val="HTMLChar"/>
    <w:qFormat/>
    <w:rsid w:val="00E01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1">
    <w:name w:val="HTML 预设格式 Char1"/>
    <w:basedOn w:val="a0"/>
    <w:link w:val="HTML"/>
    <w:uiPriority w:val="99"/>
    <w:semiHidden/>
    <w:rsid w:val="00E01187"/>
    <w:rPr>
      <w:rFonts w:ascii="Courier New" w:eastAsia="宋体" w:hAnsi="Courier New" w:cs="Courier New"/>
      <w:sz w:val="20"/>
      <w:szCs w:val="20"/>
    </w:rPr>
  </w:style>
  <w:style w:type="paragraph" w:styleId="6">
    <w:name w:val="toc 6"/>
    <w:basedOn w:val="a"/>
    <w:next w:val="a"/>
    <w:semiHidden/>
    <w:rsid w:val="00E01187"/>
    <w:pPr>
      <w:ind w:leftChars="1000" w:left="2100"/>
    </w:pPr>
    <w:rPr>
      <w:szCs w:val="24"/>
    </w:rPr>
  </w:style>
  <w:style w:type="paragraph" w:styleId="12">
    <w:name w:val="toc 1"/>
    <w:basedOn w:val="a"/>
    <w:next w:val="a"/>
    <w:semiHidden/>
    <w:rsid w:val="00E01187"/>
    <w:pPr>
      <w:tabs>
        <w:tab w:val="left" w:pos="567"/>
        <w:tab w:val="right" w:leader="dot" w:pos="13993"/>
      </w:tabs>
      <w:spacing w:line="580" w:lineRule="exact"/>
      <w:ind w:left="567" w:hanging="567"/>
    </w:pPr>
    <w:rPr>
      <w:rFonts w:eastAsia="方正仿宋_GBK"/>
      <w:sz w:val="28"/>
      <w:szCs w:val="28"/>
    </w:rPr>
  </w:style>
  <w:style w:type="paragraph" w:styleId="3">
    <w:name w:val="toc 3"/>
    <w:basedOn w:val="a"/>
    <w:next w:val="a"/>
    <w:semiHidden/>
    <w:rsid w:val="00E01187"/>
    <w:pPr>
      <w:ind w:leftChars="400" w:left="840"/>
    </w:pPr>
    <w:rPr>
      <w:szCs w:val="24"/>
    </w:rPr>
  </w:style>
  <w:style w:type="paragraph" w:styleId="8">
    <w:name w:val="toc 8"/>
    <w:basedOn w:val="a"/>
    <w:next w:val="a"/>
    <w:semiHidden/>
    <w:rsid w:val="00E01187"/>
    <w:pPr>
      <w:ind w:leftChars="1400" w:left="2940"/>
    </w:pPr>
    <w:rPr>
      <w:szCs w:val="24"/>
    </w:rPr>
  </w:style>
  <w:style w:type="paragraph" w:customStyle="1" w:styleId="30">
    <w:name w:val="列出段落3"/>
    <w:basedOn w:val="a"/>
    <w:rsid w:val="00E01187"/>
    <w:pPr>
      <w:widowControl/>
      <w:spacing w:before="100" w:beforeAutospacing="1"/>
      <w:ind w:firstLineChars="200" w:firstLine="420"/>
      <w:jc w:val="left"/>
    </w:pPr>
    <w:rPr>
      <w:rFonts w:ascii="宋体" w:hAnsi="宋体" w:cs="宋体"/>
      <w:kern w:val="0"/>
      <w:sz w:val="24"/>
      <w:szCs w:val="24"/>
    </w:rPr>
  </w:style>
  <w:style w:type="paragraph" w:customStyle="1" w:styleId="13">
    <w:name w:val="无间隔1"/>
    <w:basedOn w:val="a"/>
    <w:rsid w:val="00E01187"/>
    <w:pPr>
      <w:widowControl/>
      <w:jc w:val="left"/>
    </w:pPr>
    <w:rPr>
      <w:rFonts w:ascii="宋体" w:hAnsi="宋体" w:cs="宋体"/>
      <w:kern w:val="0"/>
      <w:sz w:val="24"/>
      <w:szCs w:val="24"/>
    </w:rPr>
  </w:style>
  <w:style w:type="paragraph" w:styleId="a8">
    <w:name w:val="Normal (Web)"/>
    <w:basedOn w:val="a"/>
    <w:semiHidden/>
    <w:rsid w:val="00E01187"/>
    <w:pPr>
      <w:widowControl/>
      <w:spacing w:before="100" w:beforeAutospacing="1" w:after="100" w:afterAutospacing="1"/>
      <w:jc w:val="left"/>
    </w:pPr>
    <w:rPr>
      <w:rFonts w:ascii="宋体" w:hAnsi="宋体" w:cs="宋体"/>
      <w:kern w:val="0"/>
      <w:sz w:val="24"/>
      <w:szCs w:val="24"/>
    </w:rPr>
  </w:style>
  <w:style w:type="paragraph" w:styleId="7">
    <w:name w:val="toc 7"/>
    <w:basedOn w:val="a"/>
    <w:next w:val="a"/>
    <w:semiHidden/>
    <w:rsid w:val="00E01187"/>
    <w:pPr>
      <w:ind w:leftChars="1200" w:left="2520"/>
    </w:pPr>
    <w:rPr>
      <w:szCs w:val="24"/>
    </w:rPr>
  </w:style>
  <w:style w:type="paragraph" w:styleId="a9">
    <w:name w:val="Plain Text"/>
    <w:basedOn w:val="a"/>
    <w:link w:val="Char1"/>
    <w:rsid w:val="00E01187"/>
    <w:rPr>
      <w:rFonts w:ascii="宋体" w:hAnsi="Courier New"/>
    </w:rPr>
  </w:style>
  <w:style w:type="character" w:customStyle="1" w:styleId="Char1">
    <w:name w:val="纯文本 Char"/>
    <w:basedOn w:val="a0"/>
    <w:link w:val="a9"/>
    <w:rsid w:val="00E01187"/>
    <w:rPr>
      <w:rFonts w:ascii="宋体" w:eastAsia="宋体" w:hAnsi="Courier New" w:cs="Times New Roman"/>
      <w:szCs w:val="21"/>
    </w:rPr>
  </w:style>
  <w:style w:type="paragraph" w:customStyle="1" w:styleId="14">
    <w:name w:val="正文1"/>
    <w:basedOn w:val="a"/>
    <w:rsid w:val="00E01187"/>
    <w:pPr>
      <w:widowControl/>
    </w:pPr>
  </w:style>
  <w:style w:type="paragraph" w:customStyle="1" w:styleId="msolistparagraph0">
    <w:name w:val="msolistparagraph"/>
    <w:basedOn w:val="a"/>
    <w:rsid w:val="00E01187"/>
    <w:pPr>
      <w:ind w:firstLineChars="200" w:firstLine="420"/>
    </w:pPr>
    <w:rPr>
      <w:rFonts w:ascii="Calibri" w:hAnsi="Calibri"/>
    </w:rPr>
  </w:style>
  <w:style w:type="paragraph" w:styleId="aa">
    <w:name w:val="List Paragraph"/>
    <w:basedOn w:val="a"/>
    <w:qFormat/>
    <w:rsid w:val="00E01187"/>
    <w:pPr>
      <w:ind w:firstLineChars="200" w:firstLine="420"/>
    </w:pPr>
    <w:rPr>
      <w:rFonts w:ascii="Calibri" w:hAnsi="Calibri"/>
      <w:szCs w:val="22"/>
    </w:rPr>
  </w:style>
  <w:style w:type="paragraph" w:customStyle="1" w:styleId="Char2">
    <w:name w:val="普通(网站) Char"/>
    <w:basedOn w:val="msonormal0"/>
    <w:rsid w:val="00E01187"/>
  </w:style>
  <w:style w:type="paragraph" w:customStyle="1" w:styleId="msonormal0">
    <w:name w:val="msonormal"/>
    <w:basedOn w:val="a"/>
    <w:rsid w:val="00E01187"/>
    <w:pPr>
      <w:widowControl/>
      <w:spacing w:before="100" w:beforeAutospacing="1" w:after="100" w:afterAutospacing="1"/>
      <w:jc w:val="left"/>
    </w:pPr>
    <w:rPr>
      <w:rFonts w:ascii="宋体" w:hAnsi="宋体" w:hint="eastAsia"/>
      <w:kern w:val="0"/>
      <w:sz w:val="24"/>
      <w:szCs w:val="24"/>
    </w:rPr>
  </w:style>
  <w:style w:type="paragraph" w:customStyle="1" w:styleId="western">
    <w:name w:val="western"/>
    <w:basedOn w:val="a"/>
    <w:qFormat/>
    <w:rsid w:val="00E01187"/>
    <w:pPr>
      <w:widowControl/>
      <w:spacing w:before="100" w:beforeAutospacing="1" w:after="100" w:afterAutospacing="1"/>
      <w:jc w:val="left"/>
    </w:pPr>
    <w:rPr>
      <w:rFonts w:ascii="宋体" w:hAnsi="宋体" w:cs="宋体"/>
      <w:kern w:val="0"/>
      <w:sz w:val="24"/>
      <w:szCs w:val="24"/>
    </w:rPr>
  </w:style>
  <w:style w:type="paragraph" w:customStyle="1" w:styleId="31">
    <w:name w:val="列出段落3"/>
    <w:basedOn w:val="a"/>
    <w:qFormat/>
    <w:rsid w:val="00E01187"/>
    <w:pPr>
      <w:widowControl/>
      <w:spacing w:before="100" w:beforeAutospacing="1"/>
      <w:ind w:firstLineChars="200" w:firstLine="420"/>
      <w:jc w:val="left"/>
    </w:pPr>
    <w:rPr>
      <w:rFonts w:ascii="宋体" w:hAnsi="宋体" w:cs="宋体"/>
      <w:kern w:val="0"/>
      <w:sz w:val="24"/>
    </w:rPr>
  </w:style>
  <w:style w:type="paragraph" w:customStyle="1" w:styleId="CharChar">
    <w:name w:val="普通(网站) Char Char"/>
    <w:basedOn w:val="a"/>
    <w:qFormat/>
    <w:rsid w:val="00E01187"/>
    <w:pPr>
      <w:spacing w:before="100" w:beforeAutospacing="1" w:after="100" w:afterAutospacing="1"/>
      <w:jc w:val="left"/>
    </w:pPr>
    <w:rPr>
      <w:rFonts w:ascii="宋体" w:hAnsi="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54737499@1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1717</Words>
  <Characters>9790</Characters>
  <Application>Microsoft Office Word</Application>
  <DocSecurity>0</DocSecurity>
  <Lines>81</Lines>
  <Paragraphs>22</Paragraphs>
  <ScaleCrop>false</ScaleCrop>
  <Company>Microsoft</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赵燚</dc:creator>
  <cp:keywords/>
  <dc:description/>
  <cp:lastModifiedBy>陈其昌</cp:lastModifiedBy>
  <cp:revision>5</cp:revision>
  <dcterms:created xsi:type="dcterms:W3CDTF">2022-09-27T03:44:00Z</dcterms:created>
  <dcterms:modified xsi:type="dcterms:W3CDTF">2022-10-12T11:32:00Z</dcterms:modified>
</cp:coreProperties>
</file>