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40641">
      <w:pPr>
        <w:pStyle w:val="4"/>
        <w:spacing w:before="0" w:beforeAutospacing="0" w:after="0" w:afterAutospacing="0" w:line="560" w:lineRule="exact"/>
        <w:jc w:val="center"/>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pacing w:val="-11"/>
          <w:w w:val="90"/>
          <w:sz w:val="44"/>
          <w:szCs w:val="44"/>
        </w:rPr>
        <w:t>重庆市彭水苗族土家族自治县大数据事务中心</w:t>
      </w:r>
      <w:r>
        <w:rPr>
          <w:rFonts w:ascii="Times New Roman" w:hAnsi="Times New Roman" w:eastAsia="方正小标宋_GBK" w:cs="Times New Roman"/>
          <w:sz w:val="44"/>
          <w:szCs w:val="44"/>
          <w:shd w:val="clear" w:color="auto" w:fill="FFFFFF"/>
        </w:rPr>
        <w:t>2024年度决算情况说明</w:t>
      </w:r>
    </w:p>
    <w:p w14:paraId="44ED85E2">
      <w:pPr>
        <w:pStyle w:val="4"/>
        <w:spacing w:before="0" w:beforeAutospacing="0" w:after="0" w:afterAutospacing="0" w:line="560" w:lineRule="exact"/>
        <w:ind w:firstLine="562" w:firstLineChars="200"/>
        <w:rPr>
          <w:rStyle w:val="7"/>
          <w:rFonts w:ascii="Times New Roman" w:hAnsi="Times New Roman" w:cs="Times New Roman" w:eastAsiaTheme="minorEastAsia"/>
          <w:sz w:val="28"/>
          <w:szCs w:val="28"/>
        </w:rPr>
      </w:pPr>
    </w:p>
    <w:p w14:paraId="5105FC31">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一、部门基本情况</w:t>
      </w:r>
    </w:p>
    <w:p w14:paraId="1FB4564D">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（一）职能职责</w:t>
      </w:r>
    </w:p>
    <w:p w14:paraId="7088E0B7">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服务全县大数据应用发展。承担全县数据资源建设、管理、服务工作，促进大数据政用、民用、商用。指导推动大数据、人工智能等新一代信息技术和国民经济各领域的融合应用。指导推动全县信息化应用服务工作。</w:t>
      </w:r>
    </w:p>
    <w:p w14:paraId="43EDD894">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2.贯彻执行国家、市县有关大数据应用、人工智能和信息化发展的规章</w:t>
      </w:r>
      <w:r>
        <w:rPr>
          <w:rFonts w:hint="eastAsia" w:ascii="Times New Roman" w:hAnsi="Times New Roman" w:eastAsia="方正仿宋_GBK"/>
          <w:sz w:val="32"/>
          <w:lang w:eastAsia="zh-CN"/>
        </w:rPr>
        <w:t>、</w:t>
      </w:r>
      <w:r>
        <w:rPr>
          <w:rFonts w:ascii="Times New Roman" w:hAnsi="Times New Roman" w:eastAsia="方正仿宋_GBK"/>
          <w:sz w:val="32"/>
        </w:rPr>
        <w:t>方针政策，及其行业技术规范和标准。</w:t>
      </w:r>
    </w:p>
    <w:p w14:paraId="734F3B91">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3</w:t>
      </w:r>
      <w:r>
        <w:rPr>
          <w:rFonts w:ascii="Times New Roman" w:hAnsi="Times New Roman" w:eastAsia="方正仿宋_GBK"/>
          <w:sz w:val="32"/>
        </w:rPr>
        <w:t>.承担编制全县大数据、人工智能、信息化的发展规划和年度计划的事务性工作。</w:t>
      </w:r>
    </w:p>
    <w:p w14:paraId="2A2852FA">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4</w:t>
      </w:r>
      <w:r>
        <w:rPr>
          <w:rFonts w:ascii="Times New Roman" w:hAnsi="Times New Roman" w:eastAsia="方正仿宋_GBK"/>
          <w:sz w:val="32"/>
        </w:rPr>
        <w:t>.负责推动全县政务数据采集汇聚、登记管理、共享开放和社会数据汇聚融合、互联互通、资源共享。负责推动数据资源的流通交易。负责推动社会公共信息资源整合和应用。指导推动全县数据安全体系建设工作。</w:t>
      </w:r>
    </w:p>
    <w:p w14:paraId="0B45AE53">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5</w:t>
      </w:r>
      <w:r>
        <w:rPr>
          <w:rFonts w:ascii="Times New Roman" w:hAnsi="Times New Roman" w:eastAsia="方正仿宋_GBK"/>
          <w:sz w:val="32"/>
        </w:rPr>
        <w:t>.负责全县大数据应用发展管理的事务性工作。指导推动大数据、人工智能等新一代信息技术和国民经济各领域融合应用。指导推动大数据、人工智能等产学研用结合和向新兴领域发展。</w:t>
      </w:r>
    </w:p>
    <w:p w14:paraId="76FFC720">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6</w:t>
      </w:r>
      <w:r>
        <w:rPr>
          <w:rFonts w:ascii="Times New Roman" w:hAnsi="Times New Roman" w:eastAsia="方正仿宋_GBK"/>
          <w:sz w:val="32"/>
        </w:rPr>
        <w:t>.负责推动全县信息化应用服务的事务性工作，指导服务全县智慧城市建设和跨部门、跨行业、跨领域的信息化应用发展。</w:t>
      </w:r>
    </w:p>
    <w:p w14:paraId="461E6271">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7</w:t>
      </w:r>
      <w:r>
        <w:rPr>
          <w:rFonts w:ascii="Times New Roman" w:hAnsi="Times New Roman" w:eastAsia="方正仿宋_GBK"/>
          <w:sz w:val="32"/>
        </w:rPr>
        <w:t>.负责全县数据中心规划编制及实施的事务性工作。指导推动全县政务信息系统“上云”、下一代网络部署和规模化商用等事务性工作。</w:t>
      </w:r>
    </w:p>
    <w:p w14:paraId="4C9705DB">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8</w:t>
      </w:r>
      <w:r>
        <w:rPr>
          <w:rFonts w:ascii="Times New Roman" w:hAnsi="Times New Roman" w:eastAsia="方正仿宋_GBK"/>
          <w:sz w:val="32"/>
        </w:rPr>
        <w:t>.负责推动大数据、人工智能、信息化领域对外交流合作。参与国内重大交流合作活动，组织开展区域化合作，并承办相关活动。指导全县大数据、人工智能、信息化人才队伍建设。指导相关行业协会、学会、联盟机构工作。</w:t>
      </w:r>
    </w:p>
    <w:p w14:paraId="7E3047CF">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lang w:val="en-US" w:eastAsia="zh-CN"/>
        </w:rPr>
        <w:t>9</w:t>
      </w:r>
      <w:r>
        <w:rPr>
          <w:rFonts w:ascii="Times New Roman" w:hAnsi="Times New Roman" w:eastAsia="方正仿宋_GBK"/>
          <w:sz w:val="32"/>
        </w:rPr>
        <w:t>.完成主管部门交办的其他任务</w:t>
      </w:r>
    </w:p>
    <w:p w14:paraId="4785D87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（二）机构设置</w:t>
      </w:r>
    </w:p>
    <w:p w14:paraId="76A868AA">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彭水苗族土家族自治县大数据事务中心，为</w:t>
      </w:r>
      <w:r>
        <w:rPr>
          <w:rFonts w:hint="eastAsia" w:ascii="Times New Roman" w:hAnsi="Times New Roman" w:eastAsia="方正仿宋_GBK"/>
          <w:sz w:val="32"/>
          <w:lang w:val="en-US" w:eastAsia="zh-CN"/>
        </w:rPr>
        <w:t>彭水苗族土家族自治县发展和改革委员会</w:t>
      </w:r>
      <w:r>
        <w:rPr>
          <w:rFonts w:ascii="Times New Roman" w:hAnsi="Times New Roman" w:eastAsia="方正仿宋_GBK"/>
          <w:sz w:val="32"/>
        </w:rPr>
        <w:t>管理的副科级公益一类事业单位。</w:t>
      </w:r>
    </w:p>
    <w:p w14:paraId="61034744">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（三）单位构成</w:t>
      </w:r>
    </w:p>
    <w:p w14:paraId="491A2433">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sz w:val="32"/>
        </w:rPr>
        <w:t>从预算单位构成看，纳入本部门2024年度决算编制的二级预算单位主要包括彭水苗族土家族自治县经济和信息化委员会（本级）、彭水苗族土家族自治县经济和信息化行政执法支队、彭水苗族土家族自治县大数据事务中心和彭水苗族土家族自治县生产力促进中心等。</w:t>
      </w:r>
    </w:p>
    <w:p w14:paraId="2BF5BF3E">
      <w:pPr>
        <w:spacing w:line="560" w:lineRule="exact"/>
        <w:ind w:firstLine="640" w:firstLineChars="200"/>
        <w:rPr>
          <w:rFonts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ascii="方正黑体_GBK" w:hAnsi="方正黑体_GBK" w:eastAsia="方正黑体_GBK" w:cs="方正黑体_GBK"/>
          <w:sz w:val="32"/>
        </w:rPr>
        <w:t>收入支出决算总体情况说明</w:t>
      </w:r>
    </w:p>
    <w:p w14:paraId="5207DAD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（一）收入支出决算总体情况说明</w:t>
      </w:r>
    </w:p>
    <w:p w14:paraId="524B81C4">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1.总体情况。</w:t>
      </w:r>
      <w:r>
        <w:rPr>
          <w:rFonts w:ascii="Times New Roman" w:hAnsi="Times New Roman" w:eastAsia="方正仿宋_GBK"/>
          <w:sz w:val="32"/>
        </w:rPr>
        <w:t>2024年度收入总计</w:t>
      </w:r>
      <w:r>
        <w:rPr>
          <w:rFonts w:hint="eastAsia" w:ascii="Times New Roman" w:hAnsi="Times New Roman" w:eastAsia="方正仿宋_GBK"/>
          <w:sz w:val="32"/>
          <w:lang w:val="en-US" w:eastAsia="zh-CN"/>
        </w:rPr>
        <w:t>1.23</w:t>
      </w:r>
      <w:r>
        <w:rPr>
          <w:rFonts w:ascii="Times New Roman" w:hAnsi="Times New Roman" w:eastAsia="方正仿宋_GBK"/>
          <w:sz w:val="32"/>
        </w:rPr>
        <w:t>万元，支出总计</w:t>
      </w:r>
      <w:r>
        <w:rPr>
          <w:rFonts w:hint="eastAsia" w:ascii="Times New Roman" w:hAnsi="Times New Roman" w:eastAsia="方正仿宋_GBK"/>
          <w:sz w:val="32"/>
          <w:lang w:val="en-US" w:eastAsia="zh-CN"/>
        </w:rPr>
        <w:t>1.23</w:t>
      </w:r>
      <w:r>
        <w:rPr>
          <w:rFonts w:ascii="Times New Roman" w:hAnsi="Times New Roman" w:eastAsia="方正仿宋_GBK"/>
          <w:sz w:val="32"/>
        </w:rPr>
        <w:t>万元。收支较上年决算数减少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p>
    <w:p w14:paraId="695DE22E">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2.收入情况。</w:t>
      </w:r>
      <w:r>
        <w:rPr>
          <w:rFonts w:ascii="Times New Roman" w:hAnsi="Times New Roman" w:eastAsia="方正仿宋_GBK"/>
          <w:sz w:val="32"/>
        </w:rPr>
        <w:t>2024年度收入合计</w:t>
      </w:r>
      <w:r>
        <w:rPr>
          <w:rFonts w:hint="eastAsia" w:ascii="Times New Roman" w:hAnsi="Times New Roman" w:eastAsia="方正仿宋_GBK"/>
          <w:sz w:val="32"/>
          <w:lang w:val="en-US" w:eastAsia="zh-CN"/>
        </w:rPr>
        <w:t>1.23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上年度无此类支出。其中：财政拨款收入</w:t>
      </w:r>
      <w:r>
        <w:rPr>
          <w:rFonts w:hint="eastAsia" w:ascii="Times New Roman" w:hAnsi="Times New Roman" w:eastAsia="方正仿宋_GBK"/>
          <w:sz w:val="32"/>
          <w:lang w:val="en-US" w:eastAsia="zh-CN"/>
        </w:rPr>
        <w:t>1.23</w:t>
      </w:r>
      <w:r>
        <w:rPr>
          <w:rFonts w:ascii="Times New Roman" w:hAnsi="Times New Roman" w:eastAsia="方正仿宋_GBK"/>
          <w:sz w:val="32"/>
        </w:rPr>
        <w:t>万元，占100.0%。</w:t>
      </w:r>
    </w:p>
    <w:p w14:paraId="53B5F6A6">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3.支出情况。</w:t>
      </w:r>
      <w:r>
        <w:rPr>
          <w:rFonts w:ascii="Times New Roman" w:hAnsi="Times New Roman" w:eastAsia="方正仿宋_GBK"/>
          <w:sz w:val="32"/>
        </w:rPr>
        <w:t>2024年度支出合计</w:t>
      </w:r>
      <w:r>
        <w:rPr>
          <w:rFonts w:hint="eastAsia" w:ascii="Times New Roman" w:hAnsi="Times New Roman" w:eastAsia="方正仿宋_GBK"/>
          <w:sz w:val="32"/>
          <w:lang w:val="en-US" w:eastAsia="zh-CN"/>
        </w:rPr>
        <w:t>1.23</w:t>
      </w:r>
      <w:r>
        <w:rPr>
          <w:rFonts w:ascii="Times New Roman" w:hAnsi="Times New Roman" w:eastAsia="方正仿宋_GBK"/>
          <w:sz w:val="32"/>
        </w:rPr>
        <w:t>万元，较上年决算</w:t>
      </w:r>
      <w:r>
        <w:rPr>
          <w:rFonts w:hint="eastAsia" w:ascii="Times New Roman" w:hAnsi="Times New Roman" w:eastAsia="方正仿宋_GBK"/>
          <w:sz w:val="32"/>
          <w:lang w:val="en-US" w:eastAsia="zh-CN"/>
        </w:rPr>
        <w:t>数</w:t>
      </w:r>
      <w:r>
        <w:rPr>
          <w:rFonts w:ascii="Times New Roman" w:hAnsi="Times New Roman" w:eastAsia="方正仿宋_GBK"/>
          <w:sz w:val="32"/>
        </w:rPr>
        <w:t>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上年度无此类支出。其中：基本支出</w:t>
      </w:r>
      <w:r>
        <w:rPr>
          <w:rFonts w:hint="eastAsia" w:ascii="Times New Roman" w:hAnsi="Times New Roman" w:eastAsia="方正仿宋_GBK"/>
          <w:sz w:val="32"/>
          <w:lang w:val="en-US" w:eastAsia="zh-CN"/>
        </w:rPr>
        <w:t>1.23</w:t>
      </w:r>
      <w:r>
        <w:rPr>
          <w:rFonts w:ascii="Times New Roman" w:hAnsi="Times New Roman" w:eastAsia="方正仿宋_GBK"/>
          <w:sz w:val="32"/>
        </w:rPr>
        <w:t>万元，占</w:t>
      </w:r>
      <w:r>
        <w:rPr>
          <w:rFonts w:hint="eastAsia" w:ascii="Times New Roman" w:hAnsi="Times New Roman" w:eastAsia="方正仿宋_GBK"/>
          <w:sz w:val="32"/>
          <w:lang w:val="en-US" w:eastAsia="zh-CN"/>
        </w:rPr>
        <w:t>100</w:t>
      </w:r>
      <w:r>
        <w:rPr>
          <w:rFonts w:ascii="Times New Roman" w:hAnsi="Times New Roman" w:eastAsia="方正仿宋_GBK"/>
          <w:sz w:val="32"/>
        </w:rPr>
        <w:t>%。</w:t>
      </w:r>
    </w:p>
    <w:p w14:paraId="35E23461">
      <w:pPr>
        <w:pStyle w:val="8"/>
        <w:tabs>
          <w:tab w:val="center" w:pos="4153"/>
          <w:tab w:val="left" w:pos="7275"/>
        </w:tabs>
        <w:spacing w:line="560" w:lineRule="exact"/>
        <w:ind w:firstLine="643"/>
        <w:rPr>
          <w:rFonts w:hint="eastAsia" w:ascii="Times New Roman" w:hAnsi="Times New Roman" w:eastAsia="方正仿宋_GBK"/>
          <w:sz w:val="32"/>
          <w:highlight w:val="yellow"/>
          <w:lang w:eastAsia="zh-CN"/>
        </w:rPr>
      </w:pPr>
      <w:r>
        <w:rPr>
          <w:rFonts w:ascii="Times New Roman" w:hAnsi="Times New Roman" w:eastAsia="方正仿宋_GBK"/>
          <w:b/>
          <w:bCs/>
          <w:sz w:val="32"/>
        </w:rPr>
        <w:t>4.结转结余情况。</w:t>
      </w:r>
      <w:r>
        <w:rPr>
          <w:rFonts w:ascii="Times New Roman" w:hAnsi="Times New Roman" w:eastAsia="方正仿宋_GBK"/>
          <w:sz w:val="32"/>
        </w:rPr>
        <w:t>2024年度年末结转和结余0万元，与上年持平，主要原因是单位收入和支出金额一样</w:t>
      </w:r>
      <w:r>
        <w:rPr>
          <w:rFonts w:hint="eastAsia" w:ascii="Times New Roman" w:hAnsi="Times New Roman" w:eastAsia="方正仿宋_GBK"/>
          <w:sz w:val="32"/>
          <w:lang w:eastAsia="zh-CN"/>
        </w:rPr>
        <w:t>。</w:t>
      </w:r>
    </w:p>
    <w:p w14:paraId="440ABB42">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（二）财政拨款收入支出决算总体情况说明</w:t>
      </w:r>
    </w:p>
    <w:p w14:paraId="6C6EE20D">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2024年度财政拨款收、支总计</w:t>
      </w:r>
      <w:r>
        <w:rPr>
          <w:rFonts w:hint="eastAsia" w:ascii="Times New Roman" w:hAnsi="Times New Roman" w:eastAsia="方正仿宋_GBK"/>
          <w:sz w:val="32"/>
          <w:lang w:val="en-US" w:eastAsia="zh-CN"/>
        </w:rPr>
        <w:t>1.23</w:t>
      </w:r>
      <w:r>
        <w:rPr>
          <w:rFonts w:ascii="Times New Roman" w:hAnsi="Times New Roman" w:eastAsia="方正仿宋_GBK"/>
          <w:sz w:val="32"/>
        </w:rPr>
        <w:t>万元。与2023年相比，财政拨款收、支总计各减少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 xml:space="preserve">上年度无此类支出。 </w:t>
      </w:r>
    </w:p>
    <w:p w14:paraId="0555A69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（三）一般公共预算财政拨款收入支出决算情况说明</w:t>
      </w:r>
    </w:p>
    <w:p w14:paraId="26A91C10">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1.收入情况。</w:t>
      </w:r>
      <w:r>
        <w:rPr>
          <w:rFonts w:ascii="Times New Roman" w:hAnsi="Times New Roman" w:eastAsia="方正仿宋_GBK"/>
          <w:sz w:val="32"/>
        </w:rPr>
        <w:t>2024年度一般公共预算财政拨款收入</w:t>
      </w:r>
      <w:r>
        <w:rPr>
          <w:rFonts w:hint="eastAsia" w:ascii="Times New Roman" w:hAnsi="Times New Roman" w:eastAsia="方正仿宋_GBK"/>
          <w:sz w:val="32"/>
          <w:lang w:val="en-US" w:eastAsia="zh-CN"/>
        </w:rPr>
        <w:t>1.23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上年度无此类支出。较年初预算数增加</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本部门为新增公益一类事业单位，2024</w:t>
      </w:r>
      <w:r>
        <w:rPr>
          <w:rFonts w:ascii="Times New Roman" w:hAnsi="Times New Roman" w:eastAsia="方正仿宋_GBK"/>
          <w:sz w:val="32"/>
        </w:rPr>
        <w:t>年度无此类支出。此外，无年初财政拨款结转和结余。</w:t>
      </w:r>
    </w:p>
    <w:p w14:paraId="681EE1C4">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2.支出情况。</w:t>
      </w:r>
      <w:r>
        <w:rPr>
          <w:rFonts w:ascii="Times New Roman" w:hAnsi="Times New Roman" w:eastAsia="方正仿宋_GBK"/>
          <w:sz w:val="32"/>
        </w:rPr>
        <w:t>2024年度一般公共预算财政拨款支出</w:t>
      </w:r>
      <w:r>
        <w:rPr>
          <w:rFonts w:hint="eastAsia" w:ascii="Times New Roman" w:hAnsi="Times New Roman" w:eastAsia="方正仿宋_GBK"/>
          <w:sz w:val="32"/>
          <w:lang w:val="en-US" w:eastAsia="zh-CN"/>
        </w:rPr>
        <w:t>1.23</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上年度无此类支出。较年初预算数增加</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本部门为新增公益一类事业单位，2024</w:t>
      </w:r>
      <w:r>
        <w:rPr>
          <w:rFonts w:ascii="Times New Roman" w:hAnsi="Times New Roman" w:eastAsia="方正仿宋_GBK"/>
          <w:sz w:val="32"/>
        </w:rPr>
        <w:t>年度无此类支出。</w:t>
      </w:r>
    </w:p>
    <w:p w14:paraId="7FC3DF82">
      <w:pPr>
        <w:pStyle w:val="8"/>
        <w:tabs>
          <w:tab w:val="center" w:pos="4153"/>
          <w:tab w:val="left" w:pos="7275"/>
        </w:tabs>
        <w:spacing w:line="560" w:lineRule="exact"/>
        <w:ind w:firstLine="643"/>
        <w:rPr>
          <w:rFonts w:ascii="Times New Roman" w:hAnsi="Times New Roman" w:eastAsia="方正仿宋_GBK"/>
          <w:sz w:val="32"/>
        </w:rPr>
      </w:pPr>
      <w:r>
        <w:rPr>
          <w:rFonts w:ascii="Times New Roman" w:hAnsi="Times New Roman" w:eastAsia="方正仿宋_GBK"/>
          <w:b/>
          <w:bCs/>
          <w:sz w:val="32"/>
        </w:rPr>
        <w:t>3.结转结余情况。</w:t>
      </w:r>
      <w:r>
        <w:rPr>
          <w:rFonts w:ascii="Times New Roman" w:hAnsi="Times New Roman" w:eastAsia="方正仿宋_GBK"/>
          <w:sz w:val="32"/>
        </w:rPr>
        <w:t>2024年度年末一般公共预算财政拨款</w:t>
      </w:r>
      <w:r>
        <w:rPr>
          <w:rFonts w:hint="eastAsia" w:ascii="Times New Roman" w:hAnsi="Times New Roman" w:eastAsia="方正仿宋_GBK"/>
          <w:sz w:val="32"/>
          <w:lang w:val="en-US" w:eastAsia="zh-CN"/>
        </w:rPr>
        <w:t>无结转</w:t>
      </w:r>
      <w:bookmarkStart w:id="0" w:name="_GoBack"/>
      <w:bookmarkEnd w:id="0"/>
      <w:r>
        <w:rPr>
          <w:rFonts w:ascii="Times New Roman" w:hAnsi="Times New Roman" w:eastAsia="方正仿宋_GBK"/>
          <w:sz w:val="32"/>
        </w:rPr>
        <w:t>和结余，与上年持平。</w:t>
      </w:r>
    </w:p>
    <w:p w14:paraId="34F6B63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（四）一般公共预算财政拨款基本支出决算情况说明</w:t>
      </w:r>
    </w:p>
    <w:p w14:paraId="5622E777">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2024年度一般公共预算财政拨款基本支出</w:t>
      </w:r>
      <w:r>
        <w:rPr>
          <w:rFonts w:hint="eastAsia" w:ascii="Times New Roman" w:hAnsi="Times New Roman" w:eastAsia="方正仿宋_GBK"/>
          <w:sz w:val="32"/>
          <w:lang w:val="en-US" w:eastAsia="zh-CN"/>
        </w:rPr>
        <w:t>1.23</w:t>
      </w:r>
      <w:r>
        <w:rPr>
          <w:rFonts w:ascii="Times New Roman" w:hAnsi="Times New Roman" w:eastAsia="方正仿宋_GBK"/>
          <w:sz w:val="32"/>
        </w:rPr>
        <w:t>万元。其中：人员经费</w:t>
      </w:r>
      <w:r>
        <w:rPr>
          <w:rFonts w:hint="eastAsia" w:ascii="Times New Roman" w:hAnsi="Times New Roman" w:eastAsia="方正仿宋_GBK"/>
          <w:sz w:val="32"/>
          <w:lang w:val="en-US" w:eastAsia="zh-CN"/>
        </w:rPr>
        <w:t>1.11</w:t>
      </w:r>
      <w:r>
        <w:rPr>
          <w:rFonts w:ascii="Times New Roman" w:hAnsi="Times New Roman" w:eastAsia="方正仿宋_GBK"/>
          <w:sz w:val="32"/>
        </w:rPr>
        <w:t>万元，较上年决算数减少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，上年度无此类支出。人员经费用途主要包括。基本工资、津贴补贴、奖金、绩效工资、机关事业单位基本养老保险缴费、职业年金缴费、  职工基本医疗保险缴费、住房公积金等各种费用。公用经费</w:t>
      </w:r>
      <w:r>
        <w:rPr>
          <w:rFonts w:hint="eastAsia" w:ascii="Times New Roman" w:hAnsi="Times New Roman" w:eastAsia="方正仿宋_GBK"/>
          <w:sz w:val="32"/>
          <w:lang w:val="en-US" w:eastAsia="zh-CN"/>
        </w:rPr>
        <w:t>0.12</w:t>
      </w:r>
      <w:r>
        <w:rPr>
          <w:rFonts w:ascii="Times New Roman" w:hAnsi="Times New Roman" w:eastAsia="方正仿宋_GBK"/>
          <w:sz w:val="32"/>
        </w:rPr>
        <w:t>万元，较上年决</w:t>
      </w:r>
      <w:r>
        <w:rPr>
          <w:rFonts w:hint="eastAsia" w:ascii="Times New Roman" w:hAnsi="Times New Roman" w:eastAsia="方正仿宋_GBK"/>
          <w:sz w:val="32"/>
          <w:lang w:val="en-US" w:eastAsia="zh-CN"/>
        </w:rPr>
        <w:t>算数减少0万元，主要原因是本部门为新增公益一类事业单位，上年度无</w:t>
      </w:r>
      <w:r>
        <w:rPr>
          <w:rFonts w:ascii="Times New Roman" w:hAnsi="Times New Roman" w:eastAsia="方正仿宋_GBK"/>
          <w:sz w:val="32"/>
        </w:rPr>
        <w:t>此类支出。公用经费用途主要包括办公费、邮电费、物业管理费、差旅费、培训费、公务接待费、劳务费、工会经费、公务用车运行维护费等。</w:t>
      </w:r>
    </w:p>
    <w:p w14:paraId="499A83F8">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（五）政府性基金预算收支决算情况说明</w:t>
      </w:r>
    </w:p>
    <w:p w14:paraId="08761ABA">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w:t>
      </w:r>
      <w:r>
        <w:rPr>
          <w:rFonts w:hint="eastAsia" w:ascii="Times New Roman" w:hAnsi="Times New Roman" w:eastAsia="方正仿宋_GBK"/>
          <w:sz w:val="32"/>
        </w:rPr>
        <w:t>4</w:t>
      </w:r>
      <w:r>
        <w:rPr>
          <w:rFonts w:ascii="Times New Roman" w:hAnsi="Times New Roman" w:eastAsia="方正仿宋_GBK"/>
          <w:sz w:val="32"/>
        </w:rPr>
        <w:t>年度无政府性基金预算财政拨款收支。</w:t>
      </w:r>
    </w:p>
    <w:p w14:paraId="692916A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（六）国有资本经营预算财政拨款支出决算情况说明</w:t>
      </w:r>
    </w:p>
    <w:p w14:paraId="232C5935">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本部门2024年度无国有资本经营预算财政拨款支出。</w:t>
      </w:r>
    </w:p>
    <w:p w14:paraId="30F181D2">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三、“三公”经费情况说明</w:t>
      </w:r>
    </w:p>
    <w:p w14:paraId="48E5EAF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（一）“三公”经费支出总体情况说明</w:t>
      </w:r>
    </w:p>
    <w:p w14:paraId="17019300">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2024年度“三公”经费支出共计</w:t>
      </w:r>
      <w:r>
        <w:rPr>
          <w:rFonts w:hint="eastAsia" w:ascii="Times New Roman" w:hAnsi="Times New Roman" w:eastAsia="方正仿宋_GBK"/>
          <w:sz w:val="32"/>
          <w:lang w:val="en-US" w:eastAsia="zh-CN"/>
        </w:rPr>
        <w:t>0</w:t>
      </w:r>
      <w:r>
        <w:rPr>
          <w:rFonts w:ascii="Times New Roman" w:hAnsi="Times New Roman" w:eastAsia="方正仿宋_GBK"/>
          <w:sz w:val="32"/>
        </w:rPr>
        <w:t>万元，较年初预算数减少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w:t>
      </w:r>
      <w:r>
        <w:rPr>
          <w:rFonts w:hint="eastAsia" w:ascii="Times New Roman" w:hAnsi="Times New Roman" w:eastAsia="方正仿宋_GBK"/>
          <w:sz w:val="32"/>
          <w:lang w:val="en-US" w:eastAsia="zh-CN"/>
        </w:rPr>
        <w:t>2024</w:t>
      </w:r>
      <w:r>
        <w:rPr>
          <w:rFonts w:ascii="Times New Roman" w:hAnsi="Times New Roman" w:eastAsia="方正仿宋_GBK"/>
          <w:sz w:val="32"/>
        </w:rPr>
        <w:t>年度无此类支出。较上年决算支出数减少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p>
    <w:p w14:paraId="2FCAFCF7">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（二）“三公”经费分项支出情况</w:t>
      </w:r>
    </w:p>
    <w:p w14:paraId="6D4C37BD">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2023年度本部门因公出国（境）费用0万元，主要是用于本单位因公出国出境的情况。费用支出较年初预算数无增减，与上年支出数持平，主要原因是本单位无因公出国出境的情况。 </w:t>
      </w:r>
    </w:p>
    <w:p w14:paraId="68B4F50B">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公务车购置费0万元，费用支出较年初预算数持平，主要原因是本年度单位无新购置公务车的情况。较上年支出数持平，主要原因是本年度单位无新购置公务车的情况。 </w:t>
      </w:r>
    </w:p>
    <w:p w14:paraId="5C2DD07C">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公务车运行维护费</w:t>
      </w:r>
      <w:r>
        <w:rPr>
          <w:rFonts w:hint="eastAsia" w:ascii="Times New Roman" w:hAnsi="Times New Roman" w:eastAsia="方正仿宋_GBK"/>
          <w:sz w:val="32"/>
          <w:lang w:val="en-US" w:eastAsia="zh-CN"/>
        </w:rPr>
        <w:t>0</w:t>
      </w:r>
      <w:r>
        <w:rPr>
          <w:rFonts w:ascii="Times New Roman" w:hAnsi="Times New Roman" w:eastAsia="方正仿宋_GBK"/>
          <w:sz w:val="32"/>
        </w:rPr>
        <w:t>万元，主要用于单位公务车的维修保养、停车洗车等费用。费用支出较年初预算数减少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w:t>
      </w:r>
      <w:r>
        <w:rPr>
          <w:rFonts w:hint="eastAsia" w:ascii="Times New Roman" w:hAnsi="Times New Roman" w:eastAsia="方正仿宋_GBK"/>
          <w:sz w:val="32"/>
          <w:lang w:val="en-US" w:eastAsia="zh-CN"/>
        </w:rPr>
        <w:t>2024</w:t>
      </w:r>
      <w:r>
        <w:rPr>
          <w:rFonts w:ascii="Times New Roman" w:hAnsi="Times New Roman" w:eastAsia="方正仿宋_GBK"/>
          <w:sz w:val="32"/>
        </w:rPr>
        <w:t>年度无此类支出。较上年支出数减少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p>
    <w:p w14:paraId="50D55517">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 公务接待费</w:t>
      </w:r>
      <w:r>
        <w:rPr>
          <w:rFonts w:hint="eastAsia" w:ascii="Times New Roman" w:hAnsi="Times New Roman" w:eastAsia="方正仿宋_GBK"/>
          <w:sz w:val="32"/>
          <w:lang w:val="en-US" w:eastAsia="zh-CN"/>
        </w:rPr>
        <w:t>0</w:t>
      </w:r>
      <w:r>
        <w:rPr>
          <w:rFonts w:ascii="Times New Roman" w:hAnsi="Times New Roman" w:eastAsia="方正仿宋_GBK"/>
          <w:sz w:val="32"/>
        </w:rPr>
        <w:t>万元，主要用于接待外来企业和客商的住宿和用餐。费用支出较年初预算数减少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w:t>
      </w:r>
      <w:r>
        <w:rPr>
          <w:rFonts w:hint="eastAsia" w:ascii="Times New Roman" w:hAnsi="Times New Roman" w:eastAsia="方正仿宋_GBK"/>
          <w:sz w:val="32"/>
          <w:lang w:val="en-US" w:eastAsia="zh-CN"/>
        </w:rPr>
        <w:t>2024</w:t>
      </w:r>
      <w:r>
        <w:rPr>
          <w:rFonts w:ascii="Times New Roman" w:hAnsi="Times New Roman" w:eastAsia="方正仿宋_GBK"/>
          <w:sz w:val="32"/>
        </w:rPr>
        <w:t>年度无此类支出。较上年支出数增加</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p>
    <w:p w14:paraId="2E4CB2F9">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（三）“三公”经费实物量情况</w:t>
      </w:r>
    </w:p>
    <w:p w14:paraId="46D4AAF6">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2024年度本部门因公出国（境）共计0个团组，0人；公务用车购置0辆，公务车保有量为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辆；国内公务接待</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批次</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人，其中：国内外事接待0批次，0人；国（境）外公务接待0批次，0人。2024年本部门人均接待费</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元，车均购置费0万元，车均维护费</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p>
    <w:p w14:paraId="023CE5AF">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四、其他需要说明的事项</w:t>
      </w:r>
    </w:p>
    <w:p w14:paraId="20B75E56">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（一）财政拨款会议费和培训费情况说明</w:t>
      </w:r>
    </w:p>
    <w:p w14:paraId="7C4C16BA">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w:t>
      </w:r>
      <w:r>
        <w:rPr>
          <w:rFonts w:ascii="Times New Roman" w:hAnsi="Times New Roman" w:eastAsia="方正仿宋_GBK" w:cs="Times New Roman"/>
          <w:kern w:val="2"/>
          <w:sz w:val="32"/>
          <w:szCs w:val="22"/>
        </w:rPr>
        <w:t xml:space="preserve"> 本年度会议费支出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万元，较上年决算数减少</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r>
        <w:rPr>
          <w:rFonts w:ascii="Times New Roman" w:hAnsi="Times New Roman" w:eastAsia="方正仿宋_GBK" w:cs="Times New Roman"/>
          <w:kern w:val="2"/>
          <w:sz w:val="32"/>
          <w:szCs w:val="22"/>
        </w:rPr>
        <w:t>本年度培训费支出</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万元，较上年决算数增加</w:t>
      </w:r>
      <w:r>
        <w:rPr>
          <w:rFonts w:hint="eastAsia" w:ascii="Times New Roman" w:hAnsi="Times New Roman" w:eastAsia="方正仿宋_GBK" w:cs="Times New Roman"/>
          <w:kern w:val="2"/>
          <w:sz w:val="32"/>
          <w:szCs w:val="22"/>
          <w:lang w:val="en-US" w:eastAsia="zh-CN"/>
        </w:rPr>
        <w:t>0</w:t>
      </w:r>
      <w:r>
        <w:rPr>
          <w:rFonts w:ascii="Times New Roman" w:hAnsi="Times New Roman" w:eastAsia="方正仿宋_GBK" w:cs="Times New Roman"/>
          <w:kern w:val="2"/>
          <w:sz w:val="32"/>
          <w:szCs w:val="22"/>
        </w:rPr>
        <w:t>万元。</w:t>
      </w:r>
      <w:r>
        <w:rPr>
          <w:rFonts w:ascii="Times New Roman" w:hAnsi="Times New Roman" w:eastAsia="方正仿宋_GBK"/>
          <w:sz w:val="32"/>
        </w:rPr>
        <w:t>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，上年度无此类支出。</w:t>
      </w:r>
    </w:p>
    <w:p w14:paraId="500FCC5F">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（二）机关运行经费情况说明</w:t>
      </w:r>
    </w:p>
    <w:p w14:paraId="74A1874F">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本年度机关运行经费</w:t>
      </w:r>
      <w:r>
        <w:rPr>
          <w:rFonts w:hint="eastAsia" w:ascii="Times New Roman" w:hAnsi="Times New Roman" w:eastAsia="方正仿宋_GBK"/>
          <w:sz w:val="32"/>
          <w:lang w:val="en-US" w:eastAsia="zh-CN"/>
        </w:rPr>
        <w:t>0</w:t>
      </w:r>
      <w:r>
        <w:rPr>
          <w:rFonts w:ascii="Times New Roman" w:hAnsi="Times New Roman" w:eastAsia="方正仿宋_GBK"/>
          <w:sz w:val="32"/>
        </w:rPr>
        <w:t>万元，上年决算数减少</w:t>
      </w:r>
      <w:r>
        <w:rPr>
          <w:rFonts w:hint="eastAsia" w:ascii="Times New Roman" w:hAnsi="Times New Roman" w:eastAsia="方正仿宋_GBK"/>
          <w:sz w:val="32"/>
          <w:lang w:val="en-US" w:eastAsia="zh-CN"/>
        </w:rPr>
        <w:t>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本部门为新增公益一类事业单位</w:t>
      </w:r>
      <w:r>
        <w:rPr>
          <w:rFonts w:ascii="Times New Roman" w:hAnsi="Times New Roman" w:eastAsia="方正仿宋_GBK"/>
          <w:sz w:val="32"/>
        </w:rPr>
        <w:t>，财政未保障我单位</w:t>
      </w:r>
      <w:r>
        <w:rPr>
          <w:rFonts w:hint="eastAsia" w:ascii="Times New Roman" w:hAnsi="Times New Roman" w:eastAsia="方正仿宋_GBK"/>
          <w:sz w:val="32"/>
          <w:lang w:val="en-US" w:eastAsia="zh-CN"/>
        </w:rPr>
        <w:t>本年度</w:t>
      </w:r>
      <w:r>
        <w:rPr>
          <w:rFonts w:ascii="Times New Roman" w:hAnsi="Times New Roman" w:eastAsia="方正仿宋_GBK"/>
          <w:sz w:val="32"/>
        </w:rPr>
        <w:t>机关运行经费。</w:t>
      </w:r>
    </w:p>
    <w:p w14:paraId="19D1064C">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（三）国有资产占用情况说明</w:t>
      </w:r>
    </w:p>
    <w:p w14:paraId="485A3E0D">
      <w:pPr>
        <w:pStyle w:val="10"/>
        <w:autoSpaceDE w:val="0"/>
        <w:spacing w:line="560" w:lineRule="exact"/>
        <w:ind w:firstLine="560"/>
        <w:jc w:val="both"/>
        <w:rPr>
          <w:rFonts w:ascii="Times New Roman" w:hAnsi="Times New Roman" w:eastAsia="方正仿宋_GBK"/>
          <w:kern w:val="2"/>
          <w:sz w:val="32"/>
          <w:szCs w:val="22"/>
        </w:rPr>
      </w:pPr>
      <w:r>
        <w:rPr>
          <w:rFonts w:ascii="Times New Roman" w:hAnsi="Times New Roman" w:eastAsiaTheme="minorEastAsia"/>
          <w:sz w:val="28"/>
          <w:szCs w:val="28"/>
          <w:shd w:val="clear" w:color="auto" w:fill="FFFFFF"/>
        </w:rPr>
        <w:t xml:space="preserve">  </w:t>
      </w:r>
      <w:r>
        <w:rPr>
          <w:rFonts w:ascii="Times New Roman" w:hAnsi="Times New Roman" w:eastAsia="方正仿宋_GBK"/>
          <w:kern w:val="2"/>
          <w:sz w:val="32"/>
          <w:szCs w:val="22"/>
        </w:rPr>
        <w:t>截至2024年12月31日，本部门共有车辆</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辆，其中，副部（省）级及以上领导用车0辆、主要负责人用车0辆、机要通信用车0辆、应急保障用车</w:t>
      </w:r>
      <w:r>
        <w:rPr>
          <w:rFonts w:hint="eastAsia" w:ascii="Times New Roman" w:hAnsi="Times New Roman" w:eastAsia="方正仿宋_GBK"/>
          <w:kern w:val="2"/>
          <w:sz w:val="32"/>
          <w:szCs w:val="22"/>
          <w:lang w:val="en-US" w:eastAsia="zh-CN"/>
        </w:rPr>
        <w:t>0</w:t>
      </w:r>
      <w:r>
        <w:rPr>
          <w:rFonts w:ascii="Times New Roman" w:hAnsi="Times New Roman" w:eastAsia="方正仿宋_GBK"/>
          <w:kern w:val="2"/>
          <w:sz w:val="32"/>
          <w:szCs w:val="22"/>
        </w:rPr>
        <w:t>辆、执法执勤用车0辆，特种专业技术用车0辆，离退休干部用车0辆。单价100万元（含）以上专用设备0台（套）。</w:t>
      </w:r>
    </w:p>
    <w:p w14:paraId="3F9B6B13">
      <w:pPr>
        <w:spacing w:line="560" w:lineRule="exact"/>
        <w:ind w:firstLine="640" w:firstLineChars="200"/>
        <w:rPr>
          <w:rFonts w:ascii="方正楷体_GBK" w:hAnsi="方正楷体_GBK" w:eastAsia="方正楷体_GBK" w:cs="方正楷体_GBK"/>
          <w:sz w:val="32"/>
        </w:rPr>
      </w:pPr>
      <w:r>
        <w:rPr>
          <w:rFonts w:ascii="方正楷体_GBK" w:hAnsi="方正楷体_GBK" w:eastAsia="方正楷体_GBK" w:cs="方正楷体_GBK"/>
          <w:sz w:val="32"/>
        </w:rPr>
        <w:t>（四）政府采购支出情况说明</w:t>
      </w:r>
    </w:p>
    <w:p w14:paraId="5D2D85C8">
      <w:pPr>
        <w:pStyle w:val="4"/>
        <w:snapToGrid w:val="0"/>
        <w:spacing w:before="0" w:beforeAutospacing="0" w:after="0" w:afterAutospacing="0" w:line="560" w:lineRule="exact"/>
        <w:ind w:firstLine="560" w:firstLineChars="200"/>
        <w:jc w:val="both"/>
        <w:rPr>
          <w:rFonts w:ascii="Times New Roman" w:hAnsi="Times New Roman" w:eastAsia="方正仿宋_GBK" w:cs="Times New Roman"/>
          <w:kern w:val="2"/>
          <w:sz w:val="32"/>
          <w:szCs w:val="22"/>
        </w:rPr>
      </w:pPr>
      <w:r>
        <w:rPr>
          <w:rFonts w:ascii="Times New Roman" w:hAnsi="Times New Roman" w:cs="Times New Roman" w:eastAsiaTheme="minorEastAsia"/>
          <w:sz w:val="28"/>
          <w:szCs w:val="28"/>
          <w:shd w:val="clear" w:color="auto" w:fill="FFFFFF"/>
        </w:rPr>
        <w:t xml:space="preserve">  </w:t>
      </w:r>
      <w:r>
        <w:rPr>
          <w:rFonts w:ascii="Times New Roman" w:hAnsi="Times New Roman" w:eastAsia="方正仿宋_GBK" w:cs="Times New Roman"/>
          <w:kern w:val="2"/>
          <w:sz w:val="32"/>
          <w:szCs w:val="22"/>
        </w:rPr>
        <w:t>2024年度我单位未发生政府采购事项，无相关经费支出。</w:t>
      </w:r>
    </w:p>
    <w:p w14:paraId="16CE3591">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五、专业名词解释</w:t>
      </w:r>
    </w:p>
    <w:p w14:paraId="4C1E16AA">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（一）财政拨款收入：</w:t>
      </w:r>
      <w:r>
        <w:rPr>
          <w:rFonts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522EBC46">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（二）事业收入：</w:t>
      </w:r>
      <w:r>
        <w:rPr>
          <w:rFonts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4C0E6223">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（三）经营收入：</w:t>
      </w:r>
      <w:r>
        <w:rPr>
          <w:rFonts w:ascii="Times New Roman" w:hAnsi="Times New Roman" w:eastAsia="方正仿宋_GBK" w:cs="Times New Roman"/>
          <w:kern w:val="2"/>
          <w:sz w:val="32"/>
          <w:szCs w:val="22"/>
        </w:rPr>
        <w:t>指事业单位在专业业务活动及其辅助活动之外开展非独立核算经营活动取得的现金流入。</w:t>
      </w:r>
    </w:p>
    <w:p w14:paraId="72E761BB">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（四）其他收入：</w:t>
      </w:r>
      <w:r>
        <w:rPr>
          <w:rFonts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0CF5EA">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（五）使用非财政拨款结余：</w:t>
      </w:r>
      <w:r>
        <w:rPr>
          <w:rFonts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0482E864">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（六）年初结转和结余：</w:t>
      </w:r>
      <w:r>
        <w:rPr>
          <w:rFonts w:ascii="Times New Roman" w:hAnsi="Times New Roman" w:eastAsia="方正仿宋_GBK" w:cs="Times New Roman"/>
          <w:kern w:val="2"/>
          <w:sz w:val="32"/>
          <w:szCs w:val="22"/>
        </w:rPr>
        <w:t>指单位上年结转本年使用的基本支出结转、项目支出结转和结余、经营结余。</w:t>
      </w:r>
    </w:p>
    <w:p w14:paraId="4B687B88">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（七）结余分配：</w:t>
      </w:r>
      <w:r>
        <w:rPr>
          <w:rFonts w:ascii="Times New Roman" w:hAnsi="Times New Roman" w:eastAsia="方正仿宋_GBK" w:cs="Times New Roman"/>
          <w:kern w:val="2"/>
          <w:sz w:val="32"/>
          <w:szCs w:val="22"/>
        </w:rPr>
        <w:t>指单位按照国家有关规定，缴纳所得税、提取专用基金、转入非财政拨款结余等当年结余的分配情况。</w:t>
      </w:r>
    </w:p>
    <w:p w14:paraId="3C15260E">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（八）年末结转和结余：</w:t>
      </w:r>
      <w:r>
        <w:rPr>
          <w:rFonts w:ascii="Times New Roman" w:hAnsi="Times New Roman" w:eastAsia="方正仿宋_GBK" w:cs="Times New Roman"/>
          <w:kern w:val="2"/>
          <w:sz w:val="32"/>
          <w:szCs w:val="22"/>
        </w:rPr>
        <w:t>指单位结转下年的基本支出结转、项目支出结转和结余、经营结余。</w:t>
      </w:r>
    </w:p>
    <w:p w14:paraId="51DC6771">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（九）基本支出：</w:t>
      </w:r>
      <w:r>
        <w:rPr>
          <w:rFonts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B784727">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（十）项目支出：</w:t>
      </w:r>
      <w:r>
        <w:rPr>
          <w:rFonts w:ascii="Times New Roman" w:hAnsi="Times New Roman" w:eastAsia="方正仿宋_GBK" w:cs="Times New Roman"/>
          <w:kern w:val="2"/>
          <w:sz w:val="32"/>
          <w:szCs w:val="22"/>
        </w:rPr>
        <w:t>指在基本支出之外为完成特定行政任务和事业发展目标所发生的支出。</w:t>
      </w:r>
    </w:p>
    <w:p w14:paraId="61B637FD">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（十一）经营支出：</w:t>
      </w:r>
      <w:r>
        <w:rPr>
          <w:rFonts w:ascii="Times New Roman" w:hAnsi="Times New Roman" w:eastAsia="方正仿宋_GBK" w:cs="Times New Roman"/>
          <w:kern w:val="2"/>
          <w:sz w:val="32"/>
          <w:szCs w:val="22"/>
        </w:rPr>
        <w:t>指事业单位在专业业务活动及其辅助活动之外开展非独立核算经营活动发生的支出。</w:t>
      </w:r>
    </w:p>
    <w:p w14:paraId="0AF3E3AD">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（十二）“三公”经费：</w:t>
      </w:r>
      <w:r>
        <w:rPr>
          <w:rFonts w:ascii="Times New Roman" w:hAnsi="Times New Roman" w:eastAsia="方正仿宋_GBK" w:cs="Times New Roman"/>
          <w:kern w:val="2"/>
          <w:sz w:val="32"/>
          <w:szCs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4C4AB04">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（十三）机关运行经费：</w:t>
      </w:r>
      <w:r>
        <w:rPr>
          <w:rFonts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9F210C">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（十四）工资福利支出（支出经济分类科目类级）：</w:t>
      </w:r>
      <w:r>
        <w:rPr>
          <w:rFonts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66002A91">
      <w:pPr>
        <w:pStyle w:val="4"/>
        <w:spacing w:before="0" w:beforeAutospacing="0" w:after="0" w:afterAutospacing="0" w:line="560" w:lineRule="exact"/>
        <w:ind w:firstLine="640" w:firstLineChars="200"/>
        <w:jc w:val="both"/>
        <w:rPr>
          <w:rFonts w:ascii="Times New Roman" w:hAnsi="Times New Roman" w:eastAsia="方正仿宋_GBK" w:cs="Times New Roman"/>
          <w:kern w:val="2"/>
          <w:sz w:val="32"/>
          <w:szCs w:val="22"/>
        </w:rPr>
      </w:pPr>
      <w:r>
        <w:rPr>
          <w:rFonts w:ascii="方正楷体_GBK" w:hAnsi="方正楷体_GBK" w:eastAsia="方正楷体_GBK" w:cs="方正楷体_GBK"/>
          <w:kern w:val="2"/>
          <w:sz w:val="32"/>
          <w:szCs w:val="22"/>
        </w:rPr>
        <w:t>（十五）商品和服务支出（支出经济分类科目类级）：</w:t>
      </w:r>
      <w:r>
        <w:rPr>
          <w:rFonts w:ascii="Times New Roman" w:hAnsi="Times New Roman" w:eastAsia="方正仿宋_GBK" w:cs="Times New Roman"/>
          <w:kern w:val="2"/>
          <w:sz w:val="32"/>
          <w:szCs w:val="22"/>
        </w:rPr>
        <w:t>反映单位购买商品和服务的支出（不包括用于购置固定资产的支出、战略性和应急储备支出）。</w:t>
      </w:r>
    </w:p>
    <w:p w14:paraId="3F6AF5D6">
      <w:pPr>
        <w:pStyle w:val="4"/>
        <w:spacing w:before="0" w:beforeAutospacing="0" w:after="0" w:afterAutospacing="0" w:line="560" w:lineRule="exact"/>
        <w:ind w:firstLine="640" w:firstLineChars="200"/>
        <w:jc w:val="both"/>
        <w:rPr>
          <w:rFonts w:ascii="Times New Roman" w:hAnsi="Times New Roman" w:cs="Times New Roman" w:eastAsiaTheme="minorEastAsia"/>
          <w:sz w:val="28"/>
          <w:szCs w:val="28"/>
        </w:rPr>
      </w:pPr>
      <w:r>
        <w:rPr>
          <w:rFonts w:ascii="方正楷体_GBK" w:hAnsi="方正楷体_GBK" w:eastAsia="方正楷体_GBK" w:cs="方正楷体_GBK"/>
          <w:kern w:val="2"/>
          <w:sz w:val="32"/>
          <w:szCs w:val="22"/>
        </w:rPr>
        <w:t>（十六）对个人和家庭的补助（支出经济分类科目类级）：</w:t>
      </w:r>
      <w:r>
        <w:rPr>
          <w:rFonts w:ascii="Times New Roman" w:hAnsi="Times New Roman" w:eastAsia="方正仿宋_GBK" w:cs="Times New Roman"/>
          <w:kern w:val="2"/>
          <w:sz w:val="32"/>
          <w:szCs w:val="22"/>
        </w:rPr>
        <w:t>反映用于对个人和家庭的补助支出。</w:t>
      </w:r>
    </w:p>
    <w:p w14:paraId="59578D5F">
      <w:pPr>
        <w:pStyle w:val="8"/>
        <w:tabs>
          <w:tab w:val="center" w:pos="4153"/>
          <w:tab w:val="left" w:pos="7275"/>
        </w:tabs>
        <w:spacing w:line="560" w:lineRule="exact"/>
        <w:ind w:firstLine="640"/>
        <w:rPr>
          <w:rFonts w:ascii="Times New Roman" w:hAnsi="Times New Roman" w:eastAsia="方正仿宋_GBK"/>
          <w:sz w:val="32"/>
        </w:rPr>
      </w:pPr>
      <w:r>
        <w:rPr>
          <w:rFonts w:ascii="方正楷体_GBK" w:hAnsi="方正楷体_GBK" w:eastAsia="方正楷体_GBK" w:cs="方正楷体_GBK"/>
          <w:sz w:val="32"/>
        </w:rPr>
        <w:t>（十七）其他资本性支出（支出经济分类科目类级）：</w:t>
      </w:r>
      <w:r>
        <w:rPr>
          <w:rFonts w:ascii="Times New Roman" w:hAnsi="Times New Roman" w:eastAsia="方正仿宋_GBK"/>
          <w:sz w:val="32"/>
        </w:rPr>
        <w:t>反映非各级发展与改革部门集中安排的用于购置固定资产、战略性和应急性储备、土地和无形资产，以及构建基础设施、大型修缮和财政支持企业更新改造所发生的支出。</w:t>
      </w:r>
    </w:p>
    <w:p w14:paraId="464DAFCC">
      <w:pPr>
        <w:spacing w:line="560" w:lineRule="exact"/>
        <w:ind w:firstLine="640" w:firstLineChars="200"/>
        <w:rPr>
          <w:rFonts w:ascii="方正黑体_GBK" w:hAnsi="方正黑体_GBK" w:eastAsia="方正黑体_GBK" w:cs="方正黑体_GBK"/>
          <w:sz w:val="32"/>
        </w:rPr>
      </w:pPr>
      <w:r>
        <w:rPr>
          <w:rFonts w:ascii="方正黑体_GBK" w:hAnsi="方正黑体_GBK" w:eastAsia="方正黑体_GBK" w:cs="方正黑体_GBK"/>
          <w:sz w:val="32"/>
        </w:rPr>
        <w:t>六、决算公开联系方式及信息反馈渠道</w:t>
      </w:r>
    </w:p>
    <w:p w14:paraId="01202048">
      <w:pPr>
        <w:pStyle w:val="8"/>
        <w:tabs>
          <w:tab w:val="center" w:pos="4153"/>
          <w:tab w:val="left" w:pos="7275"/>
        </w:tabs>
        <w:spacing w:line="560" w:lineRule="exact"/>
        <w:ind w:firstLine="640"/>
        <w:rPr>
          <w:rFonts w:ascii="Times New Roman" w:hAnsi="Times New Roman" w:eastAsia="方正仿宋_GBK"/>
          <w:sz w:val="32"/>
        </w:rPr>
      </w:pPr>
      <w:r>
        <w:rPr>
          <w:rFonts w:ascii="Times New Roman" w:hAnsi="Times New Roman" w:eastAsia="方正仿宋_GBK"/>
          <w:sz w:val="32"/>
        </w:rPr>
        <w:t>本单位决算公开信息反馈和联系方式：</w:t>
      </w:r>
    </w:p>
    <w:p w14:paraId="2C1D0F85">
      <w:pPr>
        <w:pStyle w:val="8"/>
        <w:tabs>
          <w:tab w:val="center" w:pos="4153"/>
          <w:tab w:val="left" w:pos="7275"/>
        </w:tabs>
        <w:spacing w:line="560" w:lineRule="exact"/>
        <w:ind w:firstLine="640"/>
        <w:rPr>
          <w:rFonts w:ascii="Times New Roman" w:hAnsi="Times New Roman" w:eastAsiaTheme="minorEastAsia"/>
          <w:sz w:val="28"/>
          <w:szCs w:val="28"/>
        </w:rPr>
      </w:pPr>
      <w:r>
        <w:rPr>
          <w:rFonts w:ascii="Times New Roman" w:hAnsi="Times New Roman" w:eastAsia="方正仿宋_GBK"/>
          <w:sz w:val="32"/>
        </w:rPr>
        <w:t>联系人：</w:t>
      </w:r>
      <w:r>
        <w:rPr>
          <w:rFonts w:hint="eastAsia" w:ascii="Times New Roman" w:hAnsi="Times New Roman" w:eastAsia="方正仿宋_GBK"/>
          <w:sz w:val="32"/>
          <w:lang w:val="en-US" w:eastAsia="zh-CN"/>
        </w:rPr>
        <w:t>吴杰</w:t>
      </w:r>
      <w:r>
        <w:rPr>
          <w:rFonts w:ascii="Times New Roman" w:hAnsi="Times New Roman" w:eastAsia="方正仿宋_GBK"/>
          <w:sz w:val="32"/>
        </w:rPr>
        <w:t xml:space="preserve">       0237844</w:t>
      </w:r>
      <w:r>
        <w:rPr>
          <w:rFonts w:hint="eastAsia" w:ascii="Times New Roman" w:hAnsi="Times New Roman" w:eastAsia="方正仿宋_GBK"/>
          <w:sz w:val="32"/>
          <w:lang w:val="en-US" w:eastAsia="zh-CN"/>
        </w:rPr>
        <w:t>9298</w:t>
      </w:r>
      <w:r>
        <w:rPr>
          <w:rFonts w:ascii="Times New Roman" w:hAnsi="Times New Roman" w:eastAsia="方正仿宋_GBK"/>
          <w:sz w:val="32"/>
        </w:rPr>
        <w:t xml:space="preserve">  </w:t>
      </w:r>
    </w:p>
    <w:sectPr>
      <w:footerReference r:id="rId3" w:type="default"/>
      <w:pgSz w:w="11906" w:h="16838"/>
      <w:pgMar w:top="1440" w:right="1800" w:bottom="1440" w:left="1800"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4CF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D91C7">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CTk9rqMQIAAF8EAAAOAAAAAAAAAAEAIAAAACUBAABkcnMvZTJvRG9jLnht&#10;bFBLBQYAAAAABgAGAFkBAADIBQAAAAA=&#10;">
              <v:fill on="f" focussize="0,0"/>
              <v:stroke on="f" weight="0.5pt"/>
              <v:imagedata o:title=""/>
              <o:lock v:ext="edit" aspectratio="f"/>
              <v:textbox inset="16pt,0mm,16pt,0mm" style="mso-fit-shape-to-text:t;">
                <w:txbxContent>
                  <w:p w14:paraId="7EED91C7">
                    <w:pPr>
                      <w:pStyle w:val="2"/>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4"/>
                        <w:szCs w:val="28"/>
                      </w:rPr>
                      <w:t>　</w:t>
                    </w:r>
                    <w:r>
                      <w:rPr>
                        <w:rFonts w:hint="eastAsia" w:ascii="宋体" w:hAnsi="宋体" w:cs="方正仿宋_GBK"/>
                        <w:sz w:val="28"/>
                        <w:szCs w:val="28"/>
                      </w:rPr>
                      <w:fldChar w:fldCharType="begin"/>
                    </w:r>
                    <w:r>
                      <w:rPr>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rPr>
                        <w:rFonts w:ascii="宋体" w:hAnsi="宋体" w:cs="方正仿宋_GBK"/>
                        <w:sz w:val="28"/>
                        <w:szCs w:val="28"/>
                      </w:rPr>
                      <w:t>11</w:t>
                    </w:r>
                    <w:r>
                      <w:rPr>
                        <w:rFonts w:hint="eastAsia" w:ascii="宋体" w:hAnsi="宋体" w:cs="方正仿宋_GBK"/>
                        <w:sz w:val="28"/>
                        <w:szCs w:val="28"/>
                      </w:rPr>
                      <w:fldChar w:fldCharType="end"/>
                    </w:r>
                    <w:r>
                      <w:rPr>
                        <w:rFonts w:hint="eastAsia" w:ascii="宋体" w:hAnsi="宋体" w:cs="方正仿宋_GBK"/>
                        <w:sz w:val="24"/>
                        <w:szCs w:val="28"/>
                      </w:rPr>
                      <w:t>　</w:t>
                    </w:r>
                    <w:r>
                      <w:rPr>
                        <w:rFonts w:hint="eastAsia" w:ascii="宋体" w:hAnsi="宋体" w:cs="方正仿宋_GBK"/>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05D1F"/>
    <w:rsid w:val="000236D2"/>
    <w:rsid w:val="00023E88"/>
    <w:rsid w:val="0002514C"/>
    <w:rsid w:val="00031082"/>
    <w:rsid w:val="00041502"/>
    <w:rsid w:val="00047568"/>
    <w:rsid w:val="00054942"/>
    <w:rsid w:val="00054E11"/>
    <w:rsid w:val="00057B0E"/>
    <w:rsid w:val="000740B1"/>
    <w:rsid w:val="00077A1C"/>
    <w:rsid w:val="00084E44"/>
    <w:rsid w:val="00096DCD"/>
    <w:rsid w:val="000A0A18"/>
    <w:rsid w:val="000A0CB6"/>
    <w:rsid w:val="000A7E34"/>
    <w:rsid w:val="000B39B2"/>
    <w:rsid w:val="000B5C74"/>
    <w:rsid w:val="000D06C0"/>
    <w:rsid w:val="000E2C07"/>
    <w:rsid w:val="000E73F0"/>
    <w:rsid w:val="000F40CA"/>
    <w:rsid w:val="00101195"/>
    <w:rsid w:val="00104470"/>
    <w:rsid w:val="00130542"/>
    <w:rsid w:val="001377E9"/>
    <w:rsid w:val="001430C8"/>
    <w:rsid w:val="001552B2"/>
    <w:rsid w:val="001766F0"/>
    <w:rsid w:val="00180E14"/>
    <w:rsid w:val="0018586B"/>
    <w:rsid w:val="0019254A"/>
    <w:rsid w:val="00192A6F"/>
    <w:rsid w:val="001A31F1"/>
    <w:rsid w:val="001B3233"/>
    <w:rsid w:val="001C0510"/>
    <w:rsid w:val="001D19DA"/>
    <w:rsid w:val="001D6199"/>
    <w:rsid w:val="001E5933"/>
    <w:rsid w:val="001F2DC2"/>
    <w:rsid w:val="0020187D"/>
    <w:rsid w:val="00211C82"/>
    <w:rsid w:val="0023701C"/>
    <w:rsid w:val="002514EC"/>
    <w:rsid w:val="00256F9F"/>
    <w:rsid w:val="00277979"/>
    <w:rsid w:val="002901B2"/>
    <w:rsid w:val="00295CAB"/>
    <w:rsid w:val="00297D26"/>
    <w:rsid w:val="002A1074"/>
    <w:rsid w:val="002A7A81"/>
    <w:rsid w:val="002B2EBE"/>
    <w:rsid w:val="002D1C8E"/>
    <w:rsid w:val="002D2AD0"/>
    <w:rsid w:val="002D532E"/>
    <w:rsid w:val="002E4081"/>
    <w:rsid w:val="002F5F0F"/>
    <w:rsid w:val="00312ABF"/>
    <w:rsid w:val="003172C5"/>
    <w:rsid w:val="00317FE8"/>
    <w:rsid w:val="00333505"/>
    <w:rsid w:val="00353156"/>
    <w:rsid w:val="00363EB1"/>
    <w:rsid w:val="00370FA5"/>
    <w:rsid w:val="00394B16"/>
    <w:rsid w:val="003961BE"/>
    <w:rsid w:val="003B207D"/>
    <w:rsid w:val="003C2696"/>
    <w:rsid w:val="003D09E0"/>
    <w:rsid w:val="003D4AE8"/>
    <w:rsid w:val="003D6A71"/>
    <w:rsid w:val="003F1409"/>
    <w:rsid w:val="00400393"/>
    <w:rsid w:val="00417AC4"/>
    <w:rsid w:val="0044191E"/>
    <w:rsid w:val="00444972"/>
    <w:rsid w:val="00453ECD"/>
    <w:rsid w:val="00454EE1"/>
    <w:rsid w:val="00455757"/>
    <w:rsid w:val="00462E2C"/>
    <w:rsid w:val="00463A3B"/>
    <w:rsid w:val="00467B1B"/>
    <w:rsid w:val="004847BD"/>
    <w:rsid w:val="00485E4E"/>
    <w:rsid w:val="00491809"/>
    <w:rsid w:val="004A2EE6"/>
    <w:rsid w:val="004A5982"/>
    <w:rsid w:val="004B4946"/>
    <w:rsid w:val="004D3EAF"/>
    <w:rsid w:val="004F2F5C"/>
    <w:rsid w:val="004F7122"/>
    <w:rsid w:val="004F7EA2"/>
    <w:rsid w:val="0050057A"/>
    <w:rsid w:val="005020AE"/>
    <w:rsid w:val="00542808"/>
    <w:rsid w:val="0055421C"/>
    <w:rsid w:val="00556811"/>
    <w:rsid w:val="00582C69"/>
    <w:rsid w:val="0058565A"/>
    <w:rsid w:val="00593437"/>
    <w:rsid w:val="00595247"/>
    <w:rsid w:val="005B1790"/>
    <w:rsid w:val="005B2776"/>
    <w:rsid w:val="005B7104"/>
    <w:rsid w:val="005C7301"/>
    <w:rsid w:val="005D7E8E"/>
    <w:rsid w:val="005E263A"/>
    <w:rsid w:val="005E6096"/>
    <w:rsid w:val="005E6BF9"/>
    <w:rsid w:val="005E7517"/>
    <w:rsid w:val="005E7670"/>
    <w:rsid w:val="005F7478"/>
    <w:rsid w:val="006121B2"/>
    <w:rsid w:val="0061593D"/>
    <w:rsid w:val="006429A8"/>
    <w:rsid w:val="00647E6F"/>
    <w:rsid w:val="00660BE1"/>
    <w:rsid w:val="00660C95"/>
    <w:rsid w:val="006713E6"/>
    <w:rsid w:val="00677DB4"/>
    <w:rsid w:val="00681180"/>
    <w:rsid w:val="00681D39"/>
    <w:rsid w:val="006945E4"/>
    <w:rsid w:val="006A47DA"/>
    <w:rsid w:val="006B6818"/>
    <w:rsid w:val="006D1ECF"/>
    <w:rsid w:val="006D3378"/>
    <w:rsid w:val="006D3E78"/>
    <w:rsid w:val="00706436"/>
    <w:rsid w:val="007108F3"/>
    <w:rsid w:val="00715B14"/>
    <w:rsid w:val="00725D37"/>
    <w:rsid w:val="00740190"/>
    <w:rsid w:val="00741163"/>
    <w:rsid w:val="00744524"/>
    <w:rsid w:val="00753E80"/>
    <w:rsid w:val="007555C2"/>
    <w:rsid w:val="0075583A"/>
    <w:rsid w:val="00761A03"/>
    <w:rsid w:val="00764677"/>
    <w:rsid w:val="00764FA9"/>
    <w:rsid w:val="0077161D"/>
    <w:rsid w:val="00791703"/>
    <w:rsid w:val="0079253F"/>
    <w:rsid w:val="0079460C"/>
    <w:rsid w:val="007A57CF"/>
    <w:rsid w:val="007D12D4"/>
    <w:rsid w:val="007D1DF9"/>
    <w:rsid w:val="007D6AD8"/>
    <w:rsid w:val="007F3047"/>
    <w:rsid w:val="007F3CCE"/>
    <w:rsid w:val="007F4343"/>
    <w:rsid w:val="008066C8"/>
    <w:rsid w:val="008107D7"/>
    <w:rsid w:val="00813805"/>
    <w:rsid w:val="0082263B"/>
    <w:rsid w:val="00824F17"/>
    <w:rsid w:val="008268B7"/>
    <w:rsid w:val="00827A6A"/>
    <w:rsid w:val="00834742"/>
    <w:rsid w:val="00863536"/>
    <w:rsid w:val="00883226"/>
    <w:rsid w:val="00883A57"/>
    <w:rsid w:val="00884EAB"/>
    <w:rsid w:val="00894933"/>
    <w:rsid w:val="008B0775"/>
    <w:rsid w:val="008B1A67"/>
    <w:rsid w:val="008B3900"/>
    <w:rsid w:val="008B476D"/>
    <w:rsid w:val="008B5D0F"/>
    <w:rsid w:val="008D2370"/>
    <w:rsid w:val="008D4578"/>
    <w:rsid w:val="008E008F"/>
    <w:rsid w:val="008F1FD3"/>
    <w:rsid w:val="008F21C4"/>
    <w:rsid w:val="00901A08"/>
    <w:rsid w:val="00902A0C"/>
    <w:rsid w:val="00910C15"/>
    <w:rsid w:val="009155B8"/>
    <w:rsid w:val="009203BD"/>
    <w:rsid w:val="0093319F"/>
    <w:rsid w:val="009554D6"/>
    <w:rsid w:val="00962690"/>
    <w:rsid w:val="00981A62"/>
    <w:rsid w:val="009972E1"/>
    <w:rsid w:val="009A6A75"/>
    <w:rsid w:val="009A71DC"/>
    <w:rsid w:val="009B66C1"/>
    <w:rsid w:val="009B74B9"/>
    <w:rsid w:val="009C257E"/>
    <w:rsid w:val="009C52DA"/>
    <w:rsid w:val="009D3E8F"/>
    <w:rsid w:val="009E18EE"/>
    <w:rsid w:val="009E7182"/>
    <w:rsid w:val="009E71DE"/>
    <w:rsid w:val="009F32CC"/>
    <w:rsid w:val="009F50CA"/>
    <w:rsid w:val="009F57FA"/>
    <w:rsid w:val="00A104AC"/>
    <w:rsid w:val="00A15C9F"/>
    <w:rsid w:val="00A15DC1"/>
    <w:rsid w:val="00A2231A"/>
    <w:rsid w:val="00A26F5C"/>
    <w:rsid w:val="00A34C5E"/>
    <w:rsid w:val="00A4224C"/>
    <w:rsid w:val="00A460E3"/>
    <w:rsid w:val="00A51E79"/>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463A"/>
    <w:rsid w:val="00B132EB"/>
    <w:rsid w:val="00B35CAD"/>
    <w:rsid w:val="00B47335"/>
    <w:rsid w:val="00B72B4B"/>
    <w:rsid w:val="00B96327"/>
    <w:rsid w:val="00BB53AA"/>
    <w:rsid w:val="00BB66B2"/>
    <w:rsid w:val="00BD609C"/>
    <w:rsid w:val="00BF0A6D"/>
    <w:rsid w:val="00BF103F"/>
    <w:rsid w:val="00BF57C8"/>
    <w:rsid w:val="00BF61F6"/>
    <w:rsid w:val="00C05FEC"/>
    <w:rsid w:val="00C50A02"/>
    <w:rsid w:val="00C56C42"/>
    <w:rsid w:val="00C6635D"/>
    <w:rsid w:val="00C708B7"/>
    <w:rsid w:val="00C70EA1"/>
    <w:rsid w:val="00C77F4F"/>
    <w:rsid w:val="00C86328"/>
    <w:rsid w:val="00C876E8"/>
    <w:rsid w:val="00CC12D9"/>
    <w:rsid w:val="00CC1B42"/>
    <w:rsid w:val="00CC3157"/>
    <w:rsid w:val="00CE2E5F"/>
    <w:rsid w:val="00D11A69"/>
    <w:rsid w:val="00D329C3"/>
    <w:rsid w:val="00D4263A"/>
    <w:rsid w:val="00D4534B"/>
    <w:rsid w:val="00D525EC"/>
    <w:rsid w:val="00D60A72"/>
    <w:rsid w:val="00D63528"/>
    <w:rsid w:val="00D70F74"/>
    <w:rsid w:val="00D83D02"/>
    <w:rsid w:val="00D92B5C"/>
    <w:rsid w:val="00DA4A93"/>
    <w:rsid w:val="00DA4FF5"/>
    <w:rsid w:val="00DA70CB"/>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1CD5"/>
    <w:rsid w:val="00E32786"/>
    <w:rsid w:val="00E45D51"/>
    <w:rsid w:val="00E512B7"/>
    <w:rsid w:val="00E650CD"/>
    <w:rsid w:val="00EA7797"/>
    <w:rsid w:val="00EB093D"/>
    <w:rsid w:val="00EC1981"/>
    <w:rsid w:val="00EC57B2"/>
    <w:rsid w:val="00F03980"/>
    <w:rsid w:val="00F05736"/>
    <w:rsid w:val="00F10226"/>
    <w:rsid w:val="00F11F2A"/>
    <w:rsid w:val="00F16050"/>
    <w:rsid w:val="00F30167"/>
    <w:rsid w:val="00F34724"/>
    <w:rsid w:val="00F3692D"/>
    <w:rsid w:val="00F45E99"/>
    <w:rsid w:val="00F54CA8"/>
    <w:rsid w:val="00F667F8"/>
    <w:rsid w:val="00F73440"/>
    <w:rsid w:val="00F8050B"/>
    <w:rsid w:val="00F92501"/>
    <w:rsid w:val="00FA609C"/>
    <w:rsid w:val="00FB1E2E"/>
    <w:rsid w:val="00FD26D6"/>
    <w:rsid w:val="00FD6FA6"/>
    <w:rsid w:val="00FE3BC8"/>
    <w:rsid w:val="00FE5FF0"/>
    <w:rsid w:val="02C344C8"/>
    <w:rsid w:val="10727C56"/>
    <w:rsid w:val="22FA342B"/>
    <w:rsid w:val="2362156B"/>
    <w:rsid w:val="2FE5456E"/>
    <w:rsid w:val="3BEDBD54"/>
    <w:rsid w:val="3FDF2BAD"/>
    <w:rsid w:val="45A96152"/>
    <w:rsid w:val="4D446E12"/>
    <w:rsid w:val="57227B73"/>
    <w:rsid w:val="5A7DD5CD"/>
    <w:rsid w:val="5AFB53B8"/>
    <w:rsid w:val="5EFF397C"/>
    <w:rsid w:val="5FE712AB"/>
    <w:rsid w:val="6D8B2C64"/>
    <w:rsid w:val="7001429B"/>
    <w:rsid w:val="735C1E8E"/>
    <w:rsid w:val="75B726A6"/>
    <w:rsid w:val="761EE8C0"/>
    <w:rsid w:val="774509B0"/>
    <w:rsid w:val="7BAD6148"/>
    <w:rsid w:val="7BEFBDCB"/>
    <w:rsid w:val="7EFDAD5C"/>
    <w:rsid w:val="7F9DEFE9"/>
    <w:rsid w:val="A7B3954F"/>
    <w:rsid w:val="BDBF24F7"/>
    <w:rsid w:val="BFDBDC67"/>
    <w:rsid w:val="CBBFCF00"/>
    <w:rsid w:val="DF15F072"/>
    <w:rsid w:val="EF75BA87"/>
    <w:rsid w:val="EFFF0616"/>
    <w:rsid w:val="F7693787"/>
    <w:rsid w:val="FD9D1A26"/>
    <w:rsid w:val="FFC3D7DA"/>
    <w:rsid w:val="FFDF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1075</Words>
  <Characters>6131</Characters>
  <Lines>51</Lines>
  <Paragraphs>14</Paragraphs>
  <TotalTime>16</TotalTime>
  <ScaleCrop>false</ScaleCrop>
  <LinksUpToDate>false</LinksUpToDate>
  <CharactersWithSpaces>7192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2025-09-07T17:47:00Z</dcterms:created>
  <dc:creator>彭水苗族土家族自治县经济和信息化委员会</dc:creator>
  <cp:lastModifiedBy>赵燚</cp:lastModifiedBy>
  <dcterms:modified xsi:type="dcterms:W3CDTF">2025-10-23T07:38:07Z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eyJoZGlkIjoiNjVmMmI0MDIwNjk5Y2RkYWRjMTNkODY0OWM2YjZmMjgifQ==</vt:lpwstr>
  </property>
  <property fmtid="{D5CDD505-2E9C-101B-9397-08002B2CF9AE}" pid="3" name="KSOProductBuildVer">
    <vt:lpwstr>2052-12.1.0.20784</vt:lpwstr>
  </property>
  <property fmtid="{D5CDD505-2E9C-101B-9397-08002B2CF9AE}" pid="4" name="ICV">
    <vt:lpwstr>5C35ED3428CE418898643BAF7ED7378F_12</vt:lpwstr>
  </property>
</Properties>
</file>