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FB886">
      <w:pPr>
        <w:pStyle w:val="4"/>
        <w:spacing w:before="0" w:beforeAutospacing="0" w:after="0" w:afterAutospacing="0" w:line="56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pacing w:val="-11"/>
          <w:w w:val="90"/>
          <w:sz w:val="44"/>
          <w:szCs w:val="44"/>
        </w:rPr>
        <w:t>重庆市彭水苗族土家族自治县</w:t>
      </w:r>
      <w:r>
        <w:rPr>
          <w:rFonts w:hint="eastAsia" w:ascii="Times New Roman" w:hAnsi="Times New Roman" w:eastAsia="方正小标宋_GBK" w:cs="Times New Roman"/>
          <w:spacing w:val="-11"/>
          <w:w w:val="90"/>
          <w:sz w:val="44"/>
          <w:szCs w:val="44"/>
          <w:lang w:val="en-US" w:eastAsia="zh-CN"/>
        </w:rPr>
        <w:t>投资项目评审中心</w:t>
      </w:r>
      <w:r>
        <w:rPr>
          <w:rFonts w:ascii="Times New Roman" w:hAnsi="Times New Roman" w:eastAsia="方正小标宋_GBK" w:cs="Times New Roman"/>
          <w:sz w:val="44"/>
          <w:szCs w:val="44"/>
          <w:shd w:val="clear" w:color="auto" w:fill="FFFFFF"/>
        </w:rPr>
        <w:t>2024年度决算情况说明</w:t>
      </w:r>
    </w:p>
    <w:p w14:paraId="2038B401">
      <w:pPr>
        <w:pStyle w:val="4"/>
        <w:spacing w:before="0" w:beforeAutospacing="0" w:after="0" w:afterAutospacing="0" w:line="560" w:lineRule="exact"/>
        <w:ind w:firstLine="562" w:firstLineChars="200"/>
        <w:rPr>
          <w:rStyle w:val="7"/>
          <w:rFonts w:ascii="Times New Roman" w:hAnsi="Times New Roman" w:cs="Times New Roman" w:eastAsiaTheme="minorEastAsia"/>
          <w:sz w:val="28"/>
          <w:szCs w:val="28"/>
        </w:rPr>
      </w:pPr>
    </w:p>
    <w:p w14:paraId="7B7ED87F">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一、部门基本情况</w:t>
      </w:r>
    </w:p>
    <w:p w14:paraId="29C9B9F3">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（一）职能职责</w:t>
      </w:r>
    </w:p>
    <w:p w14:paraId="0A9175EC">
      <w:pPr>
        <w:spacing w:line="560" w:lineRule="exact"/>
        <w:ind w:firstLine="640" w:firstLineChars="200"/>
        <w:rPr>
          <w:rFonts w:hint="eastAsia"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负责全县投资项目的项目建议书、可行性研究报告的评估论证；</w:t>
      </w:r>
    </w:p>
    <w:p w14:paraId="6A800AD4">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2.</w:t>
      </w:r>
      <w:r>
        <w:rPr>
          <w:rFonts w:hint="eastAsia" w:ascii="Times New Roman" w:hAnsi="Times New Roman" w:eastAsia="方正仿宋_GBK"/>
          <w:sz w:val="32"/>
        </w:rPr>
        <w:t>负责全县投资项目概算的技术审查工作；</w:t>
      </w:r>
    </w:p>
    <w:p w14:paraId="38A11ED9">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3.</w:t>
      </w:r>
      <w:r>
        <w:rPr>
          <w:rFonts w:hint="eastAsia" w:ascii="Times New Roman" w:hAnsi="Times New Roman" w:eastAsia="方正仿宋_GBK"/>
          <w:sz w:val="32"/>
        </w:rPr>
        <w:t>负责指导协调全县投资项目材料设备询价工作；</w:t>
      </w:r>
    </w:p>
    <w:p w14:paraId="2F48892E">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4.</w:t>
      </w:r>
      <w:r>
        <w:rPr>
          <w:rFonts w:hint="eastAsia" w:ascii="Times New Roman" w:hAnsi="Times New Roman" w:eastAsia="方正仿宋_GBK"/>
          <w:sz w:val="32"/>
        </w:rPr>
        <w:t>为规定权限审批、核准、审核、备案等重大项目提供技术服务；</w:t>
      </w:r>
    </w:p>
    <w:p w14:paraId="4D2DA0B3">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5.</w:t>
      </w:r>
      <w:r>
        <w:rPr>
          <w:rFonts w:hint="eastAsia" w:ascii="Times New Roman" w:hAnsi="Times New Roman" w:eastAsia="方正仿宋_GBK"/>
          <w:sz w:val="32"/>
        </w:rPr>
        <w:t>完成主管部门交办的其他任务。</w:t>
      </w:r>
    </w:p>
    <w:p w14:paraId="76AB90D0">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（二）机构设置</w:t>
      </w:r>
    </w:p>
    <w:p w14:paraId="3DC75293">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rPr>
        <w:t>彭水苗族土家族自治县投资项目评审中心（简称县投资项目评审中心），为县发展改革委管理的副科级公益一类财政全额拨款事业单位。</w:t>
      </w:r>
    </w:p>
    <w:p w14:paraId="772D35DF">
      <w:pPr>
        <w:spacing w:line="56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二、</w:t>
      </w:r>
      <w:r>
        <w:rPr>
          <w:rFonts w:ascii="方正黑体_GBK" w:hAnsi="方正黑体_GBK" w:eastAsia="方正黑体_GBK" w:cs="方正黑体_GBK"/>
          <w:sz w:val="32"/>
        </w:rPr>
        <w:t>收入支出决算总体情况说明</w:t>
      </w:r>
    </w:p>
    <w:p w14:paraId="4E3754B6">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（一）收入支出决算总体情况说明</w:t>
      </w:r>
    </w:p>
    <w:p w14:paraId="301E7FB4">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1.总体情况。</w:t>
      </w:r>
      <w:r>
        <w:rPr>
          <w:rFonts w:ascii="Times New Roman" w:hAnsi="Times New Roman" w:eastAsia="方正仿宋_GBK"/>
          <w:sz w:val="32"/>
        </w:rPr>
        <w:t>2024年度收入总计</w:t>
      </w:r>
      <w:r>
        <w:rPr>
          <w:rFonts w:hint="eastAsia" w:ascii="Times New Roman" w:hAnsi="Times New Roman" w:eastAsia="方正仿宋_GBK"/>
          <w:sz w:val="32"/>
          <w:lang w:val="en-US" w:eastAsia="zh-CN"/>
        </w:rPr>
        <w:t>39.6</w:t>
      </w:r>
      <w:r>
        <w:rPr>
          <w:rFonts w:ascii="Times New Roman" w:hAnsi="Times New Roman" w:eastAsia="方正仿宋_GBK"/>
          <w:sz w:val="32"/>
        </w:rPr>
        <w:t>万元，支出总计</w:t>
      </w:r>
      <w:r>
        <w:rPr>
          <w:rFonts w:hint="eastAsia" w:ascii="Times New Roman" w:hAnsi="Times New Roman" w:eastAsia="方正仿宋_GBK"/>
          <w:sz w:val="32"/>
          <w:lang w:val="en-US" w:eastAsia="zh-CN"/>
        </w:rPr>
        <w:t>39.6</w:t>
      </w:r>
      <w:r>
        <w:rPr>
          <w:rFonts w:ascii="Times New Roman" w:hAnsi="Times New Roman" w:eastAsia="方正仿宋_GBK"/>
          <w:sz w:val="32"/>
        </w:rPr>
        <w:t>万元。收支较上年决算数减少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w:t>
      </w:r>
    </w:p>
    <w:p w14:paraId="2B2A427C">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2.收入情况。</w:t>
      </w:r>
      <w:r>
        <w:rPr>
          <w:rFonts w:ascii="Times New Roman" w:hAnsi="Times New Roman" w:eastAsia="方正仿宋_GBK"/>
          <w:sz w:val="32"/>
        </w:rPr>
        <w:t>2024年度收入合计</w:t>
      </w:r>
      <w:r>
        <w:rPr>
          <w:rFonts w:hint="eastAsia" w:ascii="Times New Roman" w:hAnsi="Times New Roman" w:eastAsia="方正仿宋_GBK"/>
          <w:sz w:val="32"/>
          <w:lang w:val="en-US" w:eastAsia="zh-CN"/>
        </w:rPr>
        <w:t>39.6</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。其中：财政拨款收入</w:t>
      </w:r>
      <w:r>
        <w:rPr>
          <w:rFonts w:hint="eastAsia" w:ascii="Times New Roman" w:hAnsi="Times New Roman" w:eastAsia="方正仿宋_GBK"/>
          <w:sz w:val="32"/>
          <w:lang w:val="en-US" w:eastAsia="zh-CN"/>
        </w:rPr>
        <w:t>39.6</w:t>
      </w:r>
      <w:r>
        <w:rPr>
          <w:rFonts w:ascii="Times New Roman" w:hAnsi="Times New Roman" w:eastAsia="方正仿宋_GBK"/>
          <w:sz w:val="32"/>
        </w:rPr>
        <w:t>万元，占100.0%。</w:t>
      </w:r>
    </w:p>
    <w:p w14:paraId="20A83BCF">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3.支出情况。</w:t>
      </w:r>
      <w:r>
        <w:rPr>
          <w:rFonts w:ascii="Times New Roman" w:hAnsi="Times New Roman" w:eastAsia="方正仿宋_GBK"/>
          <w:sz w:val="32"/>
        </w:rPr>
        <w:t>2024年度支出合计</w:t>
      </w:r>
      <w:r>
        <w:rPr>
          <w:rFonts w:hint="eastAsia" w:ascii="Times New Roman" w:hAnsi="Times New Roman" w:eastAsia="方正仿宋_GBK"/>
          <w:sz w:val="32"/>
          <w:lang w:val="en-US" w:eastAsia="zh-CN"/>
        </w:rPr>
        <w:t>39.6</w:t>
      </w:r>
      <w:r>
        <w:rPr>
          <w:rFonts w:ascii="Times New Roman" w:hAnsi="Times New Roman" w:eastAsia="方正仿宋_GBK"/>
          <w:sz w:val="32"/>
        </w:rPr>
        <w:t>万元，较上年决算</w:t>
      </w:r>
      <w:r>
        <w:rPr>
          <w:rFonts w:hint="eastAsia" w:ascii="Times New Roman" w:hAnsi="Times New Roman" w:eastAsia="方正仿宋_GBK"/>
          <w:sz w:val="32"/>
          <w:lang w:val="en-US" w:eastAsia="zh-CN"/>
        </w:rPr>
        <w:t>数</w:t>
      </w:r>
      <w:r>
        <w:rPr>
          <w:rFonts w:ascii="Times New Roman" w:hAnsi="Times New Roman" w:eastAsia="方正仿宋_GBK"/>
          <w:sz w:val="32"/>
        </w:rPr>
        <w:t>减少</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。其中：基本支出</w:t>
      </w:r>
      <w:r>
        <w:rPr>
          <w:rFonts w:hint="eastAsia" w:ascii="Times New Roman" w:hAnsi="Times New Roman" w:eastAsia="方正仿宋_GBK"/>
          <w:sz w:val="32"/>
          <w:lang w:val="en-US" w:eastAsia="zh-CN"/>
        </w:rPr>
        <w:t>39.6</w:t>
      </w:r>
      <w:r>
        <w:rPr>
          <w:rFonts w:ascii="Times New Roman" w:hAnsi="Times New Roman" w:eastAsia="方正仿宋_GBK"/>
          <w:sz w:val="32"/>
        </w:rPr>
        <w:t>万元，占</w:t>
      </w:r>
      <w:r>
        <w:rPr>
          <w:rFonts w:hint="eastAsia" w:ascii="Times New Roman" w:hAnsi="Times New Roman" w:eastAsia="方正仿宋_GBK"/>
          <w:sz w:val="32"/>
          <w:lang w:val="en-US" w:eastAsia="zh-CN"/>
        </w:rPr>
        <w:t>100</w:t>
      </w:r>
      <w:r>
        <w:rPr>
          <w:rFonts w:ascii="Times New Roman" w:hAnsi="Times New Roman" w:eastAsia="方正仿宋_GBK"/>
          <w:sz w:val="32"/>
        </w:rPr>
        <w:t>%。</w:t>
      </w:r>
    </w:p>
    <w:p w14:paraId="287B5C0E">
      <w:pPr>
        <w:pStyle w:val="8"/>
        <w:tabs>
          <w:tab w:val="center" w:pos="4153"/>
          <w:tab w:val="left" w:pos="7275"/>
        </w:tabs>
        <w:spacing w:line="560" w:lineRule="exact"/>
        <w:ind w:firstLine="643"/>
        <w:rPr>
          <w:rFonts w:hint="eastAsia" w:ascii="Times New Roman" w:hAnsi="Times New Roman" w:eastAsia="方正仿宋_GBK"/>
          <w:sz w:val="32"/>
          <w:highlight w:val="yellow"/>
          <w:lang w:eastAsia="zh-CN"/>
        </w:rPr>
      </w:pPr>
      <w:r>
        <w:rPr>
          <w:rFonts w:ascii="Times New Roman" w:hAnsi="Times New Roman" w:eastAsia="方正仿宋_GBK"/>
          <w:b/>
          <w:bCs/>
          <w:sz w:val="32"/>
        </w:rPr>
        <w:t>4.结转结余情况。</w:t>
      </w:r>
      <w:r>
        <w:rPr>
          <w:rFonts w:ascii="Times New Roman" w:hAnsi="Times New Roman" w:eastAsia="方正仿宋_GBK"/>
          <w:sz w:val="32"/>
        </w:rPr>
        <w:t>2024年度年末结转和结余0万元，与上年持平，主要原因是单位收入和支出金额一样</w:t>
      </w:r>
      <w:r>
        <w:rPr>
          <w:rFonts w:hint="eastAsia" w:ascii="Times New Roman" w:hAnsi="Times New Roman" w:eastAsia="方正仿宋_GBK"/>
          <w:sz w:val="32"/>
          <w:lang w:eastAsia="zh-CN"/>
        </w:rPr>
        <w:t>。</w:t>
      </w:r>
    </w:p>
    <w:p w14:paraId="109855E5">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（二）财政拨款收入支出决算总体情况说明</w:t>
      </w:r>
    </w:p>
    <w:p w14:paraId="23A1EEFD">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2024年度财政拨款收、支总计</w:t>
      </w:r>
      <w:r>
        <w:rPr>
          <w:rFonts w:hint="eastAsia" w:ascii="Times New Roman" w:hAnsi="Times New Roman" w:eastAsia="方正仿宋_GBK"/>
          <w:sz w:val="32"/>
          <w:lang w:val="en-US" w:eastAsia="zh-CN"/>
        </w:rPr>
        <w:t>39.6</w:t>
      </w:r>
      <w:r>
        <w:rPr>
          <w:rFonts w:ascii="Times New Roman" w:hAnsi="Times New Roman" w:eastAsia="方正仿宋_GBK"/>
          <w:sz w:val="32"/>
        </w:rPr>
        <w:t>万元。与2023年相比，财政拨款收、支总计各减少</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 xml:space="preserve">。 </w:t>
      </w:r>
    </w:p>
    <w:p w14:paraId="5ED49EE2">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（三）一般公共预算财政拨款收入支出决算情况说明</w:t>
      </w:r>
    </w:p>
    <w:p w14:paraId="0EFEB56F">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1.收入情况。</w:t>
      </w:r>
      <w:r>
        <w:rPr>
          <w:rFonts w:ascii="Times New Roman" w:hAnsi="Times New Roman" w:eastAsia="方正仿宋_GBK"/>
          <w:sz w:val="32"/>
        </w:rPr>
        <w:t>2024年度一般公共预算财政拨款收入</w:t>
      </w:r>
      <w:r>
        <w:rPr>
          <w:rFonts w:hint="eastAsia" w:ascii="Times New Roman" w:hAnsi="Times New Roman" w:eastAsia="方正仿宋_GBK"/>
          <w:sz w:val="32"/>
          <w:lang w:val="en-US" w:eastAsia="zh-CN"/>
        </w:rPr>
        <w:t>39.6</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9.66</w:t>
      </w:r>
      <w:r>
        <w:rPr>
          <w:rFonts w:ascii="Times New Roman" w:hAnsi="Times New Roman" w:eastAsia="方正仿宋_GBK"/>
          <w:sz w:val="32"/>
        </w:rPr>
        <w:t>万元，增长</w:t>
      </w:r>
      <w:r>
        <w:rPr>
          <w:rFonts w:hint="eastAsia" w:ascii="Times New Roman" w:hAnsi="Times New Roman" w:eastAsia="方正仿宋_GBK"/>
          <w:sz w:val="32"/>
          <w:lang w:val="en-US" w:eastAsia="zh-CN"/>
        </w:rPr>
        <w:t>32.26</w:t>
      </w:r>
      <w:r>
        <w:rPr>
          <w:rFonts w:ascii="Times New Roman" w:hAnsi="Times New Roman" w:eastAsia="方正仿宋_GBK"/>
          <w:sz w:val="32"/>
        </w:rPr>
        <w:t>%。主要原因是增加了社会保障和就业支出</w:t>
      </w:r>
      <w:r>
        <w:rPr>
          <w:rFonts w:hint="eastAsia" w:ascii="Times New Roman" w:hAnsi="Times New Roman" w:eastAsia="方正仿宋_GBK"/>
          <w:sz w:val="32"/>
          <w:lang w:val="en-US" w:eastAsia="zh-CN"/>
        </w:rPr>
        <w:t>3.5</w:t>
      </w:r>
      <w:r>
        <w:rPr>
          <w:rFonts w:ascii="Times New Roman" w:hAnsi="Times New Roman" w:eastAsia="方正仿宋_GBK"/>
          <w:sz w:val="32"/>
        </w:rPr>
        <w:t>万元；</w:t>
      </w:r>
      <w:r>
        <w:rPr>
          <w:rFonts w:hint="eastAsia" w:ascii="Times New Roman" w:hAnsi="Times New Roman" w:eastAsia="方正仿宋_GBK"/>
          <w:sz w:val="32"/>
          <w:lang w:val="en-US" w:eastAsia="zh-CN"/>
        </w:rPr>
        <w:t>卫生健康</w:t>
      </w:r>
      <w:r>
        <w:rPr>
          <w:rFonts w:ascii="Times New Roman" w:hAnsi="Times New Roman" w:eastAsia="方正仿宋_GBK"/>
          <w:sz w:val="32"/>
        </w:rPr>
        <w:t>支出</w:t>
      </w:r>
      <w:r>
        <w:rPr>
          <w:rFonts w:hint="eastAsia" w:ascii="Times New Roman" w:hAnsi="Times New Roman" w:eastAsia="方正仿宋_GBK"/>
          <w:sz w:val="32"/>
          <w:lang w:val="en-US" w:eastAsia="zh-CN"/>
        </w:rPr>
        <w:t>1.53</w:t>
      </w:r>
      <w:r>
        <w:rPr>
          <w:rFonts w:ascii="Times New Roman" w:hAnsi="Times New Roman" w:eastAsia="方正仿宋_GBK"/>
          <w:sz w:val="32"/>
        </w:rPr>
        <w:t>万元；</w:t>
      </w:r>
      <w:r>
        <w:rPr>
          <w:rFonts w:hint="eastAsia" w:ascii="Times New Roman" w:hAnsi="Times New Roman" w:eastAsia="方正仿宋_GBK"/>
          <w:sz w:val="32"/>
          <w:lang w:val="en-US" w:eastAsia="zh-CN"/>
        </w:rPr>
        <w:t>住房保障</w:t>
      </w:r>
      <w:r>
        <w:rPr>
          <w:rFonts w:ascii="Times New Roman" w:hAnsi="Times New Roman" w:eastAsia="方正仿宋_GBK"/>
          <w:sz w:val="32"/>
        </w:rPr>
        <w:t>支出</w:t>
      </w:r>
      <w:r>
        <w:rPr>
          <w:rFonts w:hint="eastAsia" w:ascii="Times New Roman" w:hAnsi="Times New Roman" w:eastAsia="方正仿宋_GBK"/>
          <w:sz w:val="32"/>
          <w:lang w:val="en-US" w:eastAsia="zh-CN"/>
        </w:rPr>
        <w:t>1.75</w:t>
      </w:r>
      <w:r>
        <w:rPr>
          <w:rFonts w:ascii="Times New Roman" w:hAnsi="Times New Roman" w:eastAsia="方正仿宋_GBK"/>
          <w:sz w:val="32"/>
        </w:rPr>
        <w:t>万元。此外，</w:t>
      </w:r>
      <w:r>
        <w:rPr>
          <w:rFonts w:hint="eastAsia" w:ascii="Times New Roman" w:hAnsi="Times New Roman" w:eastAsia="方正仿宋_GBK"/>
          <w:sz w:val="32"/>
          <w:lang w:val="en-US" w:eastAsia="zh-CN"/>
        </w:rPr>
        <w:t>本部门为2024年机构改革新增单位，</w:t>
      </w:r>
      <w:r>
        <w:rPr>
          <w:rFonts w:ascii="Times New Roman" w:hAnsi="Times New Roman" w:eastAsia="方正仿宋_GBK"/>
          <w:sz w:val="32"/>
        </w:rPr>
        <w:t>无年初财政拨款结转和结余。</w:t>
      </w:r>
    </w:p>
    <w:p w14:paraId="77F4E5F8">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2.支出情况。</w:t>
      </w:r>
      <w:r>
        <w:rPr>
          <w:rFonts w:ascii="Times New Roman" w:hAnsi="Times New Roman" w:eastAsia="方正仿宋_GBK"/>
          <w:sz w:val="32"/>
        </w:rPr>
        <w:t>2024年度一般公共预算财政拨款支出</w:t>
      </w:r>
      <w:r>
        <w:rPr>
          <w:rFonts w:hint="eastAsia" w:ascii="Times New Roman" w:hAnsi="Times New Roman" w:eastAsia="方正仿宋_GBK"/>
          <w:sz w:val="32"/>
          <w:lang w:val="en-US" w:eastAsia="zh-CN"/>
        </w:rPr>
        <w:t>39.6</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val="en-US" w:eastAsia="zh-CN"/>
        </w:rPr>
        <w:t>本部门为2024年机构改革新增单位</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9.66</w:t>
      </w:r>
      <w:r>
        <w:rPr>
          <w:rFonts w:ascii="Times New Roman" w:hAnsi="Times New Roman" w:eastAsia="方正仿宋_GBK"/>
          <w:sz w:val="32"/>
        </w:rPr>
        <w:t>万元，增长</w:t>
      </w:r>
      <w:r>
        <w:rPr>
          <w:rFonts w:hint="eastAsia" w:ascii="Times New Roman" w:hAnsi="Times New Roman" w:eastAsia="方正仿宋_GBK"/>
          <w:sz w:val="32"/>
          <w:lang w:val="en-US" w:eastAsia="zh-CN"/>
        </w:rPr>
        <w:t>32.26</w:t>
      </w:r>
      <w:r>
        <w:rPr>
          <w:rFonts w:ascii="Times New Roman" w:hAnsi="Times New Roman" w:eastAsia="方正仿宋_GBK"/>
          <w:sz w:val="32"/>
        </w:rPr>
        <w:t>%。主要原因是增加了社会保障和就业支出</w:t>
      </w:r>
      <w:r>
        <w:rPr>
          <w:rFonts w:hint="eastAsia" w:ascii="Times New Roman" w:hAnsi="Times New Roman" w:eastAsia="方正仿宋_GBK"/>
          <w:sz w:val="32"/>
          <w:lang w:val="en-US" w:eastAsia="zh-CN"/>
        </w:rPr>
        <w:t>3.5</w:t>
      </w:r>
      <w:r>
        <w:rPr>
          <w:rFonts w:ascii="Times New Roman" w:hAnsi="Times New Roman" w:eastAsia="方正仿宋_GBK"/>
          <w:sz w:val="32"/>
        </w:rPr>
        <w:t>万元；</w:t>
      </w:r>
      <w:r>
        <w:rPr>
          <w:rFonts w:hint="eastAsia" w:ascii="Times New Roman" w:hAnsi="Times New Roman" w:eastAsia="方正仿宋_GBK"/>
          <w:sz w:val="32"/>
          <w:lang w:val="en-US" w:eastAsia="zh-CN"/>
        </w:rPr>
        <w:t>卫生健康</w:t>
      </w:r>
      <w:r>
        <w:rPr>
          <w:rFonts w:ascii="Times New Roman" w:hAnsi="Times New Roman" w:eastAsia="方正仿宋_GBK"/>
          <w:sz w:val="32"/>
        </w:rPr>
        <w:t>支出</w:t>
      </w:r>
      <w:r>
        <w:rPr>
          <w:rFonts w:hint="eastAsia" w:ascii="Times New Roman" w:hAnsi="Times New Roman" w:eastAsia="方正仿宋_GBK"/>
          <w:sz w:val="32"/>
          <w:lang w:val="en-US" w:eastAsia="zh-CN"/>
        </w:rPr>
        <w:t>1.53</w:t>
      </w:r>
      <w:r>
        <w:rPr>
          <w:rFonts w:ascii="Times New Roman" w:hAnsi="Times New Roman" w:eastAsia="方正仿宋_GBK"/>
          <w:sz w:val="32"/>
        </w:rPr>
        <w:t>万元；</w:t>
      </w:r>
      <w:r>
        <w:rPr>
          <w:rFonts w:hint="eastAsia" w:ascii="Times New Roman" w:hAnsi="Times New Roman" w:eastAsia="方正仿宋_GBK"/>
          <w:sz w:val="32"/>
          <w:lang w:val="en-US" w:eastAsia="zh-CN"/>
        </w:rPr>
        <w:t>住房保障</w:t>
      </w:r>
      <w:r>
        <w:rPr>
          <w:rFonts w:ascii="Times New Roman" w:hAnsi="Times New Roman" w:eastAsia="方正仿宋_GBK"/>
          <w:sz w:val="32"/>
        </w:rPr>
        <w:t>支出</w:t>
      </w:r>
      <w:r>
        <w:rPr>
          <w:rFonts w:hint="eastAsia" w:ascii="Times New Roman" w:hAnsi="Times New Roman" w:eastAsia="方正仿宋_GBK"/>
          <w:sz w:val="32"/>
          <w:lang w:val="en-US" w:eastAsia="zh-CN"/>
        </w:rPr>
        <w:t>1.75</w:t>
      </w:r>
      <w:r>
        <w:rPr>
          <w:rFonts w:ascii="Times New Roman" w:hAnsi="Times New Roman" w:eastAsia="方正仿宋_GBK"/>
          <w:sz w:val="32"/>
        </w:rPr>
        <w:t>万元。</w:t>
      </w:r>
    </w:p>
    <w:p w14:paraId="4570A37B">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3.结转结余情况。</w:t>
      </w:r>
      <w:r>
        <w:rPr>
          <w:rFonts w:ascii="Times New Roman" w:hAnsi="Times New Roman" w:eastAsia="方正仿宋_GBK"/>
          <w:sz w:val="32"/>
        </w:rPr>
        <w:t>2024年度年末一般公共预算财政拨款</w:t>
      </w:r>
      <w:r>
        <w:rPr>
          <w:rFonts w:hint="eastAsia" w:ascii="Times New Roman" w:hAnsi="Times New Roman" w:eastAsia="方正仿宋_GBK"/>
          <w:sz w:val="32"/>
          <w:lang w:val="en-US" w:eastAsia="zh-CN"/>
        </w:rPr>
        <w:t>无结转</w:t>
      </w:r>
      <w:bookmarkStart w:id="0" w:name="_GoBack"/>
      <w:bookmarkEnd w:id="0"/>
      <w:r>
        <w:rPr>
          <w:rFonts w:ascii="Times New Roman" w:hAnsi="Times New Roman" w:eastAsia="方正仿宋_GBK"/>
          <w:sz w:val="32"/>
        </w:rPr>
        <w:t>和结余，与上年持平。</w:t>
      </w:r>
    </w:p>
    <w:p w14:paraId="796F7D90">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4.比较情况。</w:t>
      </w:r>
      <w:r>
        <w:rPr>
          <w:rFonts w:ascii="Times New Roman" w:hAnsi="Times New Roman" w:eastAsia="方正仿宋_GBK"/>
          <w:sz w:val="32"/>
        </w:rPr>
        <w:t>本部门2024年度一般公共预算财政拨款支出主要用于以下几个方面：</w:t>
      </w:r>
    </w:p>
    <w:p w14:paraId="12915190">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（1）一般公共服务支出</w:t>
      </w:r>
      <w:r>
        <w:rPr>
          <w:rFonts w:hint="eastAsia" w:ascii="Times New Roman" w:hAnsi="Times New Roman" w:eastAsia="方正仿宋_GBK"/>
          <w:sz w:val="32"/>
          <w:lang w:val="en-US" w:eastAsia="zh-CN"/>
        </w:rPr>
        <w:t>38.82</w:t>
      </w:r>
      <w:r>
        <w:rPr>
          <w:rFonts w:ascii="Times New Roman" w:hAnsi="Times New Roman" w:eastAsia="方正仿宋_GBK"/>
          <w:sz w:val="32"/>
        </w:rPr>
        <w:t>万元，占</w:t>
      </w:r>
      <w:r>
        <w:rPr>
          <w:rFonts w:hint="eastAsia" w:ascii="Times New Roman" w:hAnsi="Times New Roman" w:eastAsia="方正仿宋_GBK"/>
          <w:sz w:val="32"/>
          <w:lang w:val="en-US" w:eastAsia="zh-CN"/>
        </w:rPr>
        <w:t>82.88%</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2.88</w:t>
      </w:r>
      <w:r>
        <w:rPr>
          <w:rFonts w:ascii="Times New Roman" w:hAnsi="Times New Roman" w:eastAsia="方正仿宋_GBK"/>
          <w:sz w:val="32"/>
        </w:rPr>
        <w:t>万元，增长</w:t>
      </w:r>
      <w:r>
        <w:rPr>
          <w:rFonts w:hint="eastAsia" w:ascii="Times New Roman" w:hAnsi="Times New Roman" w:eastAsia="方正仿宋_GBK"/>
          <w:sz w:val="32"/>
          <w:lang w:val="en-US" w:eastAsia="zh-CN"/>
        </w:rPr>
        <w:t>9.62</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本部门为2024年机构改革新增单位，2024年年初新增预算</w:t>
      </w:r>
      <w:r>
        <w:rPr>
          <w:rFonts w:ascii="Times New Roman" w:hAnsi="Times New Roman" w:eastAsia="方正仿宋_GBK"/>
          <w:sz w:val="32"/>
        </w:rPr>
        <w:t>。</w:t>
      </w:r>
    </w:p>
    <w:p w14:paraId="33AFD2BD">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w:t>
      </w:r>
      <w:r>
        <w:rPr>
          <w:rFonts w:hint="eastAsia" w:ascii="Times New Roman" w:hAnsi="Times New Roman" w:eastAsia="方正仿宋_GBK"/>
          <w:sz w:val="32"/>
          <w:lang w:val="en-US" w:eastAsia="zh-CN"/>
        </w:rPr>
        <w:t>2</w:t>
      </w:r>
      <w:r>
        <w:rPr>
          <w:rFonts w:ascii="Times New Roman" w:hAnsi="Times New Roman" w:eastAsia="方正仿宋_GBK"/>
          <w:sz w:val="32"/>
        </w:rPr>
        <w:t>）社会保障与就业支出</w:t>
      </w:r>
      <w:r>
        <w:rPr>
          <w:rFonts w:hint="eastAsia" w:ascii="Times New Roman" w:hAnsi="Times New Roman" w:eastAsia="方正仿宋_GBK"/>
          <w:sz w:val="32"/>
          <w:lang w:val="en-US" w:eastAsia="zh-CN"/>
        </w:rPr>
        <w:t>3.5</w:t>
      </w:r>
      <w:r>
        <w:rPr>
          <w:rFonts w:ascii="Times New Roman" w:hAnsi="Times New Roman" w:eastAsia="方正仿宋_GBK"/>
          <w:sz w:val="32"/>
        </w:rPr>
        <w:t>万元，占</w:t>
      </w:r>
      <w:r>
        <w:rPr>
          <w:rFonts w:hint="eastAsia" w:ascii="Times New Roman" w:hAnsi="Times New Roman" w:eastAsia="方正仿宋_GBK"/>
          <w:sz w:val="32"/>
          <w:lang w:val="en-US" w:eastAsia="zh-CN"/>
        </w:rPr>
        <w:t>8.84</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3.5</w:t>
      </w:r>
      <w:r>
        <w:rPr>
          <w:rFonts w:ascii="Times New Roman" w:hAnsi="Times New Roman" w:eastAsia="方正仿宋_GBK"/>
          <w:sz w:val="32"/>
        </w:rPr>
        <w:t>万元，增长</w:t>
      </w:r>
      <w:r>
        <w:rPr>
          <w:rFonts w:hint="eastAsia" w:ascii="Times New Roman" w:hAnsi="Times New Roman" w:eastAsia="方正仿宋_GBK"/>
          <w:sz w:val="32"/>
          <w:lang w:val="en-US" w:eastAsia="zh-CN"/>
        </w:rPr>
        <w:t>100</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本部门为2024年机构改革新增单位，2024年年初新增预算</w:t>
      </w:r>
      <w:r>
        <w:rPr>
          <w:rFonts w:ascii="Times New Roman" w:hAnsi="Times New Roman" w:eastAsia="方正仿宋_GBK"/>
          <w:sz w:val="32"/>
        </w:rPr>
        <w:t>。</w:t>
      </w:r>
    </w:p>
    <w:p w14:paraId="7030D420">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w:t>
      </w:r>
      <w:r>
        <w:rPr>
          <w:rFonts w:hint="eastAsia" w:ascii="Times New Roman" w:hAnsi="Times New Roman" w:eastAsia="方正仿宋_GBK"/>
          <w:sz w:val="32"/>
          <w:lang w:val="en-US" w:eastAsia="zh-CN"/>
        </w:rPr>
        <w:t>3</w:t>
      </w:r>
      <w:r>
        <w:rPr>
          <w:rFonts w:ascii="Times New Roman" w:hAnsi="Times New Roman" w:eastAsia="方正仿宋_GBK"/>
          <w:sz w:val="32"/>
        </w:rPr>
        <w:t>）卫生健康支出</w:t>
      </w:r>
      <w:r>
        <w:rPr>
          <w:rFonts w:hint="eastAsia" w:ascii="Times New Roman" w:hAnsi="Times New Roman" w:eastAsia="方正仿宋_GBK"/>
          <w:sz w:val="32"/>
          <w:lang w:val="en-US" w:eastAsia="zh-CN"/>
        </w:rPr>
        <w:t>1.53</w:t>
      </w:r>
      <w:r>
        <w:rPr>
          <w:rFonts w:ascii="Times New Roman" w:hAnsi="Times New Roman" w:eastAsia="方正仿宋_GBK"/>
          <w:sz w:val="32"/>
        </w:rPr>
        <w:t>万元，占</w:t>
      </w:r>
      <w:r>
        <w:rPr>
          <w:rFonts w:hint="eastAsia" w:ascii="Times New Roman" w:hAnsi="Times New Roman" w:eastAsia="方正仿宋_GBK"/>
          <w:sz w:val="32"/>
          <w:lang w:val="en-US" w:eastAsia="zh-CN"/>
        </w:rPr>
        <w:t>3.86</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1.53</w:t>
      </w:r>
      <w:r>
        <w:rPr>
          <w:rFonts w:ascii="Times New Roman" w:hAnsi="Times New Roman" w:eastAsia="方正仿宋_GBK"/>
          <w:sz w:val="32"/>
        </w:rPr>
        <w:t>万元，增长</w:t>
      </w:r>
      <w:r>
        <w:rPr>
          <w:rFonts w:hint="eastAsia" w:ascii="Times New Roman" w:hAnsi="Times New Roman" w:eastAsia="方正仿宋_GBK"/>
          <w:sz w:val="32"/>
          <w:lang w:val="en-US" w:eastAsia="zh-CN"/>
        </w:rPr>
        <w:t>100</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本部门为2024年机构改革新增单位，2024年年初新增预算</w:t>
      </w:r>
      <w:r>
        <w:rPr>
          <w:rFonts w:ascii="Times New Roman" w:hAnsi="Times New Roman" w:eastAsia="方正仿宋_GBK"/>
          <w:sz w:val="32"/>
        </w:rPr>
        <w:t>。</w:t>
      </w:r>
    </w:p>
    <w:p w14:paraId="15B8CEF1">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w:t>
      </w:r>
      <w:r>
        <w:rPr>
          <w:rFonts w:hint="eastAsia" w:ascii="Times New Roman" w:hAnsi="Times New Roman" w:eastAsia="方正仿宋_GBK"/>
          <w:sz w:val="32"/>
          <w:lang w:val="en-US" w:eastAsia="zh-CN"/>
        </w:rPr>
        <w:t>4</w:t>
      </w:r>
      <w:r>
        <w:rPr>
          <w:rFonts w:ascii="Times New Roman" w:hAnsi="Times New Roman" w:eastAsia="方正仿宋_GBK"/>
          <w:sz w:val="32"/>
        </w:rPr>
        <w:t>）住房保障支出</w:t>
      </w:r>
      <w:r>
        <w:rPr>
          <w:rFonts w:hint="eastAsia" w:ascii="Times New Roman" w:hAnsi="Times New Roman" w:eastAsia="方正仿宋_GBK"/>
          <w:sz w:val="32"/>
          <w:lang w:val="en-US" w:eastAsia="zh-CN"/>
        </w:rPr>
        <w:t>1.75</w:t>
      </w:r>
      <w:r>
        <w:rPr>
          <w:rFonts w:ascii="Times New Roman" w:hAnsi="Times New Roman" w:eastAsia="方正仿宋_GBK"/>
          <w:sz w:val="32"/>
        </w:rPr>
        <w:t>万元，占</w:t>
      </w:r>
      <w:r>
        <w:rPr>
          <w:rFonts w:hint="eastAsia" w:ascii="Times New Roman" w:hAnsi="Times New Roman" w:eastAsia="方正仿宋_GBK"/>
          <w:sz w:val="32"/>
          <w:lang w:val="en-US" w:eastAsia="zh-CN"/>
        </w:rPr>
        <w:t>4.42</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1.75</w:t>
      </w:r>
      <w:r>
        <w:rPr>
          <w:rFonts w:ascii="Times New Roman" w:hAnsi="Times New Roman" w:eastAsia="方正仿宋_GBK"/>
          <w:sz w:val="32"/>
        </w:rPr>
        <w:t>万元，增长</w:t>
      </w:r>
      <w:r>
        <w:rPr>
          <w:rFonts w:hint="eastAsia" w:ascii="Times New Roman" w:hAnsi="Times New Roman" w:eastAsia="方正仿宋_GBK"/>
          <w:sz w:val="32"/>
          <w:lang w:val="en-US" w:eastAsia="zh-CN"/>
        </w:rPr>
        <w:t>100</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本部门为2024年机构改革新增单位，2024年年初新增预算</w:t>
      </w:r>
      <w:r>
        <w:rPr>
          <w:rFonts w:ascii="Times New Roman" w:hAnsi="Times New Roman" w:eastAsia="方正仿宋_GBK"/>
          <w:sz w:val="32"/>
        </w:rPr>
        <w:t>。</w:t>
      </w:r>
    </w:p>
    <w:p w14:paraId="2CA51956">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（四）一般公共预算财政拨款基本支出决算情况说明</w:t>
      </w:r>
    </w:p>
    <w:p w14:paraId="71FE4873">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2024年度一般公共预算财政拨款基本支出</w:t>
      </w:r>
      <w:r>
        <w:rPr>
          <w:rFonts w:hint="eastAsia" w:ascii="Times New Roman" w:hAnsi="Times New Roman" w:eastAsia="方正仿宋_GBK"/>
          <w:sz w:val="32"/>
          <w:lang w:val="en-US" w:eastAsia="zh-CN"/>
        </w:rPr>
        <w:t>39.6</w:t>
      </w:r>
      <w:r>
        <w:rPr>
          <w:rFonts w:ascii="Times New Roman" w:hAnsi="Times New Roman" w:eastAsia="方正仿宋_GBK"/>
          <w:sz w:val="32"/>
        </w:rPr>
        <w:t>万元。其中：人员经费</w:t>
      </w:r>
      <w:r>
        <w:rPr>
          <w:rFonts w:hint="eastAsia" w:ascii="Times New Roman" w:hAnsi="Times New Roman" w:eastAsia="方正仿宋_GBK"/>
          <w:sz w:val="32"/>
          <w:lang w:val="en-US" w:eastAsia="zh-CN"/>
        </w:rPr>
        <w:t>36.03</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。基本工资、津贴补贴、奖金、绩效工资、机关事业单位基本养老保险缴费、职业年金缴费、职工基本医疗保险缴费、住房公积金等各种费用。公用经费</w:t>
      </w:r>
      <w:r>
        <w:rPr>
          <w:rFonts w:hint="eastAsia" w:ascii="Times New Roman" w:hAnsi="Times New Roman" w:eastAsia="方正仿宋_GBK"/>
          <w:sz w:val="32"/>
          <w:lang w:val="en-US" w:eastAsia="zh-CN"/>
        </w:rPr>
        <w:t>3.57</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。公用经费用途主要包括办公费、邮电费、物业管理费、差旅费、培训费、公务接待费、劳务费、工会经费、公务用车运行维护费等。</w:t>
      </w:r>
    </w:p>
    <w:p w14:paraId="66D4C80A">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（五）政府性基金预算收支决算情况说明</w:t>
      </w:r>
    </w:p>
    <w:p w14:paraId="2C0A8D7F">
      <w:pPr>
        <w:pStyle w:val="4"/>
        <w:spacing w:before="0" w:beforeAutospacing="0" w:after="0" w:afterAutospacing="0" w:line="560" w:lineRule="exact"/>
        <w:ind w:firstLine="640" w:firstLineChars="200"/>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本部门202</w:t>
      </w:r>
      <w:r>
        <w:rPr>
          <w:rFonts w:hint="eastAsia" w:ascii="Times New Roman" w:hAnsi="Times New Roman" w:eastAsia="方正仿宋_GBK" w:cs="Times New Roman"/>
          <w:kern w:val="2"/>
          <w:sz w:val="32"/>
          <w:szCs w:val="22"/>
          <w:lang w:val="en-US" w:eastAsia="zh-CN" w:bidi="ar-SA"/>
        </w:rPr>
        <w:t>4</w:t>
      </w:r>
      <w:r>
        <w:rPr>
          <w:rFonts w:ascii="Times New Roman" w:hAnsi="Times New Roman" w:eastAsia="方正仿宋_GBK" w:cs="Times New Roman"/>
          <w:kern w:val="2"/>
          <w:sz w:val="32"/>
          <w:szCs w:val="22"/>
          <w:lang w:val="en-US" w:eastAsia="zh-CN" w:bidi="ar-SA"/>
        </w:rPr>
        <w:t>年度无政府性基金预算财政拨款收支。</w:t>
      </w:r>
    </w:p>
    <w:p w14:paraId="658C1D3B">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（六）国有资本经营预算财政拨款支出决算情况说明</w:t>
      </w:r>
    </w:p>
    <w:p w14:paraId="6F453DC7">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本部门2024年度无国有资本经营预算财政拨款支出。</w:t>
      </w:r>
    </w:p>
    <w:p w14:paraId="591E4068">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三、“三公”经费情况说明</w:t>
      </w:r>
    </w:p>
    <w:p w14:paraId="13CD2F70">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（一）“三公”经费支出总体情况说明</w:t>
      </w:r>
    </w:p>
    <w:p w14:paraId="11A27EE7">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2024年度“三公”经费支出共</w:t>
      </w:r>
      <w:r>
        <w:rPr>
          <w:rFonts w:hint="eastAsia" w:ascii="Times New Roman" w:hAnsi="Times New Roman" w:eastAsia="方正仿宋_GBK"/>
          <w:sz w:val="32"/>
          <w:lang w:val="en-US" w:eastAsia="zh-CN"/>
        </w:rPr>
        <w:t>0.5</w:t>
      </w:r>
      <w:r>
        <w:rPr>
          <w:rFonts w:ascii="Times New Roman" w:hAnsi="Times New Roman" w:eastAsia="方正仿宋_GBK"/>
          <w:sz w:val="32"/>
        </w:rPr>
        <w:t>万元，较年初预算数减少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万元，主要原因是为落实过紧日子政策，减少三公经费的开支。较上年决算支出数减少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w:t>
      </w:r>
    </w:p>
    <w:p w14:paraId="11EE1DF3">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（二）“三公”经费分项支出情况</w:t>
      </w:r>
    </w:p>
    <w:p w14:paraId="2F01A87A">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2023年度本部门因公出国（境）费用0万元，主要是用于本单位因公出国出境的情况。费用支出较年初预算数无增减，与上年支出数持平，主要原因</w:t>
      </w:r>
      <w:r>
        <w:rPr>
          <w:rFonts w:hint="eastAsia" w:ascii="Times New Roman" w:hAnsi="Times New Roman" w:eastAsia="方正仿宋_GBK"/>
          <w:sz w:val="32"/>
          <w:lang w:val="en-US" w:eastAsia="zh-CN"/>
        </w:rPr>
        <w:t>一</w:t>
      </w:r>
      <w:r>
        <w:rPr>
          <w:rFonts w:ascii="Times New Roman" w:hAnsi="Times New Roman" w:eastAsia="方正仿宋_GBK"/>
          <w:sz w:val="32"/>
        </w:rPr>
        <w:t>是本单位无因公出国出境的情况</w:t>
      </w:r>
      <w:r>
        <w:rPr>
          <w:rFonts w:hint="eastAsia" w:ascii="Times New Roman" w:hAnsi="Times New Roman" w:eastAsia="方正仿宋_GBK"/>
          <w:sz w:val="32"/>
          <w:lang w:eastAsia="zh-CN"/>
        </w:rPr>
        <w:t>；</w:t>
      </w:r>
      <w:r>
        <w:rPr>
          <w:rFonts w:hint="eastAsia" w:ascii="Times New Roman" w:hAnsi="Times New Roman" w:eastAsia="方正仿宋_GBK"/>
          <w:sz w:val="32"/>
          <w:lang w:val="en-US" w:eastAsia="zh-CN"/>
        </w:rPr>
        <w:t>二是本单位为2024年机构改革新增单位，上年度无数据</w:t>
      </w:r>
      <w:r>
        <w:rPr>
          <w:rFonts w:ascii="Times New Roman" w:hAnsi="Times New Roman" w:eastAsia="方正仿宋_GBK"/>
          <w:sz w:val="32"/>
        </w:rPr>
        <w:t>。。 </w:t>
      </w:r>
    </w:p>
    <w:p w14:paraId="32C2B53C">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公务车购置费0万元，费用支出较年初预算数持平，主要原因是本年度单位无新购置公务车的情况。较上年支出数持平，主要原因</w:t>
      </w:r>
      <w:r>
        <w:rPr>
          <w:rFonts w:hint="eastAsia" w:ascii="Times New Roman" w:hAnsi="Times New Roman" w:eastAsia="方正仿宋_GBK"/>
          <w:sz w:val="32"/>
          <w:lang w:val="en-US" w:eastAsia="zh-CN"/>
        </w:rPr>
        <w:t>一</w:t>
      </w:r>
      <w:r>
        <w:rPr>
          <w:rFonts w:ascii="Times New Roman" w:hAnsi="Times New Roman" w:eastAsia="方正仿宋_GBK"/>
          <w:sz w:val="32"/>
        </w:rPr>
        <w:t>是本年度单位无新购置公务车的情况</w:t>
      </w:r>
      <w:r>
        <w:rPr>
          <w:rFonts w:hint="eastAsia" w:ascii="Times New Roman" w:hAnsi="Times New Roman" w:eastAsia="方正仿宋_GBK"/>
          <w:sz w:val="32"/>
          <w:lang w:eastAsia="zh-CN"/>
        </w:rPr>
        <w:t>，</w:t>
      </w:r>
      <w:r>
        <w:rPr>
          <w:rFonts w:hint="eastAsia" w:ascii="Times New Roman" w:hAnsi="Times New Roman" w:eastAsia="方正仿宋_GBK"/>
          <w:sz w:val="32"/>
          <w:lang w:val="en-US" w:eastAsia="zh-CN"/>
        </w:rPr>
        <w:t>二是本单位为2024年机构改革新增单位，上年度无数据</w:t>
      </w:r>
      <w:r>
        <w:rPr>
          <w:rFonts w:ascii="Times New Roman" w:hAnsi="Times New Roman" w:eastAsia="方正仿宋_GBK"/>
          <w:sz w:val="32"/>
        </w:rPr>
        <w:t>。</w:t>
      </w:r>
    </w:p>
    <w:p w14:paraId="79C62810">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公务车运行维护费</w:t>
      </w:r>
      <w:r>
        <w:rPr>
          <w:rFonts w:hint="eastAsia" w:ascii="Times New Roman" w:hAnsi="Times New Roman" w:eastAsia="方正仿宋_GBK"/>
          <w:sz w:val="32"/>
          <w:lang w:val="en-US" w:eastAsia="zh-CN"/>
        </w:rPr>
        <w:t>0</w:t>
      </w:r>
      <w:r>
        <w:rPr>
          <w:rFonts w:ascii="Times New Roman" w:hAnsi="Times New Roman" w:eastAsia="方正仿宋_GBK"/>
          <w:sz w:val="32"/>
        </w:rPr>
        <w:t>万元，主要用于单位公务车的维修保养、停车洗车等费用。主要原因是</w:t>
      </w:r>
      <w:r>
        <w:rPr>
          <w:rFonts w:hint="eastAsia" w:ascii="Times New Roman" w:hAnsi="Times New Roman" w:eastAsia="方正仿宋_GBK"/>
          <w:sz w:val="32"/>
          <w:lang w:val="en-US" w:eastAsia="zh-CN"/>
        </w:rPr>
        <w:t>本部门为2024年机构改革新增单位，本年度无公务车运行维护的情况</w:t>
      </w:r>
      <w:r>
        <w:rPr>
          <w:rFonts w:ascii="Times New Roman" w:hAnsi="Times New Roman" w:eastAsia="方正仿宋_GBK"/>
          <w:sz w:val="32"/>
        </w:rPr>
        <w:t>。费用支出较年初预算数减少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w:t>
      </w:r>
    </w:p>
    <w:p w14:paraId="4D2EDFC3">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 公务接待费</w:t>
      </w:r>
      <w:r>
        <w:rPr>
          <w:rFonts w:hint="eastAsia" w:ascii="Times New Roman" w:hAnsi="Times New Roman" w:eastAsia="方正仿宋_GBK"/>
          <w:sz w:val="32"/>
          <w:lang w:val="en-US" w:eastAsia="zh-CN"/>
        </w:rPr>
        <w:t>0.5</w:t>
      </w:r>
      <w:r>
        <w:rPr>
          <w:rFonts w:ascii="Times New Roman" w:hAnsi="Times New Roman" w:eastAsia="方正仿宋_GBK"/>
          <w:sz w:val="32"/>
        </w:rPr>
        <w:t>万元，主要用于接待外来企业和客商的住宿和用餐。费用支出较年初预算数减少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较上年支出数增加</w:t>
      </w:r>
      <w:r>
        <w:rPr>
          <w:rFonts w:hint="eastAsia" w:ascii="Times New Roman" w:hAnsi="Times New Roman" w:eastAsia="方正仿宋_GBK"/>
          <w:sz w:val="32"/>
          <w:lang w:val="en-US" w:eastAsia="zh-CN"/>
        </w:rPr>
        <w:t>0.5</w:t>
      </w:r>
      <w:r>
        <w:rPr>
          <w:rFonts w:ascii="Times New Roman" w:hAnsi="Times New Roman" w:eastAsia="方正仿宋_GBK"/>
          <w:sz w:val="32"/>
        </w:rPr>
        <w:t>万元，增长</w:t>
      </w:r>
      <w:r>
        <w:rPr>
          <w:rFonts w:hint="eastAsia" w:ascii="Times New Roman" w:hAnsi="Times New Roman" w:eastAsia="方正仿宋_GBK"/>
          <w:sz w:val="32"/>
          <w:lang w:val="en-US" w:eastAsia="zh-CN"/>
        </w:rPr>
        <w:t>100</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w:t>
      </w:r>
    </w:p>
    <w:p w14:paraId="3D315027">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（三）“三公”经费实物量情况</w:t>
      </w:r>
    </w:p>
    <w:p w14:paraId="104A9807">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2024年度本部门因公出国（境）共计0个团组，0人；公务用车购置0辆，公务车保有量为</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辆；国内公务接待</w:t>
      </w:r>
      <w:r>
        <w:rPr>
          <w:rFonts w:hint="eastAsia" w:ascii="Times New Roman" w:hAnsi="Times New Roman" w:eastAsia="方正仿宋_GBK" w:cs="Times New Roman"/>
          <w:kern w:val="2"/>
          <w:sz w:val="32"/>
          <w:szCs w:val="22"/>
          <w:lang w:val="en-US" w:eastAsia="zh-CN"/>
        </w:rPr>
        <w:t>4</w:t>
      </w:r>
      <w:r>
        <w:rPr>
          <w:rFonts w:ascii="Times New Roman" w:hAnsi="Times New Roman" w:eastAsia="方正仿宋_GBK" w:cs="Times New Roman"/>
          <w:kern w:val="2"/>
          <w:sz w:val="32"/>
          <w:szCs w:val="22"/>
        </w:rPr>
        <w:t>批次</w:t>
      </w:r>
      <w:r>
        <w:rPr>
          <w:rFonts w:hint="eastAsia" w:ascii="Times New Roman" w:hAnsi="Times New Roman" w:eastAsia="方正仿宋_GBK" w:cs="Times New Roman"/>
          <w:kern w:val="2"/>
          <w:sz w:val="32"/>
          <w:szCs w:val="22"/>
          <w:lang w:val="en-US" w:eastAsia="zh-CN"/>
        </w:rPr>
        <w:t>54</w:t>
      </w:r>
      <w:r>
        <w:rPr>
          <w:rFonts w:ascii="Times New Roman" w:hAnsi="Times New Roman" w:eastAsia="方正仿宋_GBK" w:cs="Times New Roman"/>
          <w:kern w:val="2"/>
          <w:sz w:val="32"/>
          <w:szCs w:val="22"/>
        </w:rPr>
        <w:t>人，其中：国内外事接待0批次，0人；国（境）外公务接待0批次，0人。2024年本部门人均接待费</w:t>
      </w:r>
      <w:r>
        <w:rPr>
          <w:rFonts w:hint="eastAsia" w:ascii="Times New Roman" w:hAnsi="Times New Roman" w:eastAsia="方正仿宋_GBK" w:cs="Times New Roman"/>
          <w:kern w:val="2"/>
          <w:sz w:val="32"/>
          <w:szCs w:val="22"/>
          <w:lang w:val="en-US" w:eastAsia="zh-CN"/>
        </w:rPr>
        <w:t>92.59</w:t>
      </w:r>
      <w:r>
        <w:rPr>
          <w:rFonts w:ascii="Times New Roman" w:hAnsi="Times New Roman" w:eastAsia="方正仿宋_GBK" w:cs="Times New Roman"/>
          <w:kern w:val="2"/>
          <w:sz w:val="32"/>
          <w:szCs w:val="22"/>
        </w:rPr>
        <w:t>元，车均购置费0万元，车均维护费</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w:t>
      </w:r>
    </w:p>
    <w:p w14:paraId="1FD8F17F">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四、其他需要说明的事项</w:t>
      </w:r>
    </w:p>
    <w:p w14:paraId="0B9C5B9C">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（一）财政拨款会议费和培训费情况说明</w:t>
      </w:r>
    </w:p>
    <w:p w14:paraId="772348DB">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w:t>
      </w:r>
      <w:r>
        <w:rPr>
          <w:rFonts w:ascii="Times New Roman" w:hAnsi="Times New Roman" w:eastAsia="方正仿宋_GBK" w:cs="Times New Roman"/>
          <w:kern w:val="2"/>
          <w:sz w:val="32"/>
          <w:szCs w:val="22"/>
        </w:rPr>
        <w:t xml:space="preserve"> 本年度会议费支出</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万元，较上年决算数减少</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w:t>
      </w:r>
      <w:r>
        <w:rPr>
          <w:rFonts w:ascii="Times New Roman" w:hAnsi="Times New Roman" w:eastAsia="方正仿宋_GBK" w:cs="Times New Roman"/>
          <w:kern w:val="2"/>
          <w:sz w:val="32"/>
          <w:szCs w:val="22"/>
        </w:rPr>
        <w:t>本年度培训费支出</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万元，较上年决算数增加</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w:t>
      </w:r>
    </w:p>
    <w:p w14:paraId="752BBD98">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（二）机关运行经费情况说明</w:t>
      </w:r>
    </w:p>
    <w:p w14:paraId="3F35001A">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本年度机关运行经费</w:t>
      </w:r>
      <w:r>
        <w:rPr>
          <w:rFonts w:hint="eastAsia" w:ascii="Times New Roman" w:hAnsi="Times New Roman" w:eastAsia="方正仿宋_GBK"/>
          <w:sz w:val="32"/>
          <w:lang w:val="en-US" w:eastAsia="zh-CN"/>
        </w:rPr>
        <w:t>0</w:t>
      </w:r>
      <w:r>
        <w:rPr>
          <w:rFonts w:ascii="Times New Roman" w:hAnsi="Times New Roman" w:eastAsia="方正仿宋_GBK"/>
          <w:sz w:val="32"/>
        </w:rPr>
        <w:t>万元，上年决算数减少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本部门为2024年机构改革新增单位，上年度无数据</w:t>
      </w:r>
      <w:r>
        <w:rPr>
          <w:rFonts w:ascii="Times New Roman" w:hAnsi="Times New Roman" w:eastAsia="方正仿宋_GBK"/>
          <w:sz w:val="32"/>
        </w:rPr>
        <w:t>。。</w:t>
      </w:r>
    </w:p>
    <w:p w14:paraId="123E04DB">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（三）国有资产占用情况说明</w:t>
      </w:r>
    </w:p>
    <w:p w14:paraId="64569FC8">
      <w:pPr>
        <w:pStyle w:val="10"/>
        <w:autoSpaceDE w:val="0"/>
        <w:spacing w:line="560" w:lineRule="exact"/>
        <w:ind w:firstLine="560"/>
        <w:jc w:val="both"/>
        <w:rPr>
          <w:rFonts w:ascii="Times New Roman" w:hAnsi="Times New Roman" w:eastAsia="方正仿宋_GBK"/>
          <w:kern w:val="2"/>
          <w:sz w:val="32"/>
          <w:szCs w:val="22"/>
        </w:rPr>
      </w:pPr>
      <w:r>
        <w:rPr>
          <w:rFonts w:ascii="Times New Roman" w:hAnsi="Times New Roman" w:eastAsiaTheme="minorEastAsia"/>
          <w:sz w:val="28"/>
          <w:szCs w:val="28"/>
          <w:shd w:val="clear" w:color="auto" w:fill="FFFFFF"/>
        </w:rPr>
        <w:t xml:space="preserve">  </w:t>
      </w:r>
      <w:r>
        <w:rPr>
          <w:rFonts w:ascii="Times New Roman" w:hAnsi="Times New Roman" w:eastAsia="方正仿宋_GBK"/>
          <w:kern w:val="2"/>
          <w:sz w:val="32"/>
          <w:szCs w:val="22"/>
        </w:rPr>
        <w:t>截至2024年12月31日，本部门共有车辆</w:t>
      </w:r>
      <w:r>
        <w:rPr>
          <w:rFonts w:hint="eastAsia" w:ascii="Times New Roman" w:hAnsi="Times New Roman" w:eastAsia="方正仿宋_GBK"/>
          <w:kern w:val="2"/>
          <w:sz w:val="32"/>
          <w:szCs w:val="22"/>
          <w:lang w:val="en-US" w:eastAsia="zh-CN"/>
        </w:rPr>
        <w:t>0</w:t>
      </w:r>
      <w:r>
        <w:rPr>
          <w:rFonts w:ascii="Times New Roman" w:hAnsi="Times New Roman" w:eastAsia="方正仿宋_GBK"/>
          <w:kern w:val="2"/>
          <w:sz w:val="32"/>
          <w:szCs w:val="22"/>
        </w:rPr>
        <w:t>辆，其中，副部（省）级及以上领导用车0辆、主要负责人用车0辆、机要通信用车0辆、应急保障用车</w:t>
      </w:r>
      <w:r>
        <w:rPr>
          <w:rFonts w:hint="eastAsia" w:ascii="Times New Roman" w:hAnsi="Times New Roman" w:eastAsia="方正仿宋_GBK"/>
          <w:kern w:val="2"/>
          <w:sz w:val="32"/>
          <w:szCs w:val="22"/>
          <w:lang w:val="en-US" w:eastAsia="zh-CN"/>
        </w:rPr>
        <w:t>0</w:t>
      </w:r>
      <w:r>
        <w:rPr>
          <w:rFonts w:ascii="Times New Roman" w:hAnsi="Times New Roman" w:eastAsia="方正仿宋_GBK"/>
          <w:kern w:val="2"/>
          <w:sz w:val="32"/>
          <w:szCs w:val="22"/>
        </w:rPr>
        <w:t>辆、执法执勤用车0辆，特种专业技术用车0辆，离退休干部用车0辆。单价100万元（含）以上专用设备0台（套）。</w:t>
      </w:r>
    </w:p>
    <w:p w14:paraId="7BE1BAB2">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（四）政府采购支出情况说明</w:t>
      </w:r>
    </w:p>
    <w:p w14:paraId="5DA5E497">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2024年度我单位未发生政府采购事项，无相关经费支出。</w:t>
      </w:r>
    </w:p>
    <w:p w14:paraId="5E68407D">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五、专业名词解释</w:t>
      </w:r>
    </w:p>
    <w:p w14:paraId="5CC1ED26">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（一）财政拨款收入：</w:t>
      </w:r>
      <w:r>
        <w:rPr>
          <w:rFonts w:ascii="Times New Roman" w:hAnsi="Times New Roman" w:eastAsia="方正仿宋_GBK" w:cs="Times New Roman"/>
          <w:kern w:val="2"/>
          <w:sz w:val="32"/>
          <w:szCs w:val="22"/>
        </w:rPr>
        <w:t>指本年度从本级财政部门取得的财政拨款，包括一般公共预算财政拨款和政府性基金预算财政拨款。</w:t>
      </w:r>
    </w:p>
    <w:p w14:paraId="774A2184">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（二）事业收入：</w:t>
      </w:r>
      <w:r>
        <w:rPr>
          <w:rFonts w:ascii="Times New Roman" w:hAnsi="Times New Roman" w:eastAsia="方正仿宋_GBK" w:cs="Times New Roman"/>
          <w:kern w:val="2"/>
          <w:sz w:val="32"/>
          <w:szCs w:val="22"/>
        </w:rPr>
        <w:t>指事业单位开展专业业务活动及其辅助活动取得的现金流入；事业单位收到的财政专户实际核拨的教育收费等资金在此反映。</w:t>
      </w:r>
    </w:p>
    <w:p w14:paraId="10383CBE">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（三）经营收入：</w:t>
      </w:r>
      <w:r>
        <w:rPr>
          <w:rFonts w:ascii="Times New Roman" w:hAnsi="Times New Roman" w:eastAsia="方正仿宋_GBK" w:cs="Times New Roman"/>
          <w:kern w:val="2"/>
          <w:sz w:val="32"/>
          <w:szCs w:val="22"/>
        </w:rPr>
        <w:t>指事业单位在专业业务活动及其辅助活动之外开展非独立核算经营活动取得的现金流入。</w:t>
      </w:r>
    </w:p>
    <w:p w14:paraId="55B3320E">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（四）其他收入：</w:t>
      </w:r>
      <w:r>
        <w:rPr>
          <w:rFonts w:ascii="Times New Roman" w:hAnsi="Times New Roman" w:eastAsia="方正仿宋_GBK" w:cs="Times New Roman"/>
          <w:kern w:val="2"/>
          <w:sz w:val="32"/>
          <w:szCs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F4684D">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（五）使用非财政拨款结余：</w:t>
      </w:r>
      <w:r>
        <w:rPr>
          <w:rFonts w:ascii="Times New Roman" w:hAnsi="Times New Roman" w:eastAsia="方正仿宋_GBK" w:cs="Times New Roman"/>
          <w:kern w:val="2"/>
          <w:sz w:val="32"/>
          <w:szCs w:val="22"/>
        </w:rPr>
        <w:t>指单位在当年的“财政拨款收入”、“事业收入”、“经营收入”、“其他收入”等不足以安排当年支出的情况下，使用以前年度积累的非财政拨款结余弥补本年度收支缺口的资金。</w:t>
      </w:r>
    </w:p>
    <w:p w14:paraId="007D355A">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（六）年初结转和结余：</w:t>
      </w:r>
      <w:r>
        <w:rPr>
          <w:rFonts w:ascii="Times New Roman" w:hAnsi="Times New Roman" w:eastAsia="方正仿宋_GBK" w:cs="Times New Roman"/>
          <w:kern w:val="2"/>
          <w:sz w:val="32"/>
          <w:szCs w:val="22"/>
        </w:rPr>
        <w:t>指单位上年结转本年使用的基本支出结转、项目支出结转和结余、经营结余。</w:t>
      </w:r>
    </w:p>
    <w:p w14:paraId="39899BF4">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（七）结余分配：</w:t>
      </w:r>
      <w:r>
        <w:rPr>
          <w:rFonts w:ascii="Times New Roman" w:hAnsi="Times New Roman" w:eastAsia="方正仿宋_GBK" w:cs="Times New Roman"/>
          <w:kern w:val="2"/>
          <w:sz w:val="32"/>
          <w:szCs w:val="22"/>
        </w:rPr>
        <w:t>指单位按照国家有关规定，缴纳所得税、提取专用基金、转入非财政拨款结余等当年结余的分配情况。</w:t>
      </w:r>
    </w:p>
    <w:p w14:paraId="6FB1939D">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（八）年末结转和结余：</w:t>
      </w:r>
      <w:r>
        <w:rPr>
          <w:rFonts w:ascii="Times New Roman" w:hAnsi="Times New Roman" w:eastAsia="方正仿宋_GBK" w:cs="Times New Roman"/>
          <w:kern w:val="2"/>
          <w:sz w:val="32"/>
          <w:szCs w:val="22"/>
        </w:rPr>
        <w:t>指单位结转下年的基本支出结转、项目支出结转和结余、经营结余。</w:t>
      </w:r>
    </w:p>
    <w:p w14:paraId="19E16A28">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（九）基本支出：</w:t>
      </w:r>
      <w:r>
        <w:rPr>
          <w:rFonts w:ascii="Times New Roman" w:hAnsi="Times New Roman" w:eastAsia="方正仿宋_GBK" w:cs="Times New Roman"/>
          <w:kern w:val="2"/>
          <w:sz w:val="32"/>
          <w:szCs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2E0CB49">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（十）项目支出：</w:t>
      </w:r>
      <w:r>
        <w:rPr>
          <w:rFonts w:ascii="Times New Roman" w:hAnsi="Times New Roman" w:eastAsia="方正仿宋_GBK" w:cs="Times New Roman"/>
          <w:kern w:val="2"/>
          <w:sz w:val="32"/>
          <w:szCs w:val="22"/>
        </w:rPr>
        <w:t>指在基本支出之外为完成特定行政任务和事业发展目标所发生的支出。</w:t>
      </w:r>
    </w:p>
    <w:p w14:paraId="43A5F93C">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（十一）经营支出：</w:t>
      </w:r>
      <w:r>
        <w:rPr>
          <w:rFonts w:ascii="Times New Roman" w:hAnsi="Times New Roman" w:eastAsia="方正仿宋_GBK" w:cs="Times New Roman"/>
          <w:kern w:val="2"/>
          <w:sz w:val="32"/>
          <w:szCs w:val="22"/>
        </w:rPr>
        <w:t>指事业单位在专业业务活动及其辅助活动之外开展非独立核算经营活动发生的支出。</w:t>
      </w:r>
    </w:p>
    <w:p w14:paraId="4B28C4D8">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（十二）“三公”经费：</w:t>
      </w:r>
      <w:r>
        <w:rPr>
          <w:rFonts w:ascii="Times New Roman" w:hAnsi="Times New Roman" w:eastAsia="方正仿宋_GBK" w:cs="Times New Roman"/>
          <w:kern w:val="2"/>
          <w:sz w:val="32"/>
          <w:szCs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02FA8C2">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（十三）机关运行经费：</w:t>
      </w:r>
      <w:r>
        <w:rPr>
          <w:rFonts w:ascii="Times New Roman" w:hAnsi="Times New Roman" w:eastAsia="方正仿宋_GBK" w:cs="Times New Roman"/>
          <w:kern w:val="2"/>
          <w:sz w:val="32"/>
          <w:szCs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FCE997">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（十四）工资福利支出（支出经济分类科目类级）：</w:t>
      </w:r>
      <w:r>
        <w:rPr>
          <w:rFonts w:ascii="Times New Roman" w:hAnsi="Times New Roman" w:eastAsia="方正仿宋_GBK" w:cs="Times New Roman"/>
          <w:kern w:val="2"/>
          <w:sz w:val="32"/>
          <w:szCs w:val="22"/>
        </w:rPr>
        <w:t>反映单位开支的在职职工和编制外长期聘用人员的各类劳动报酬，以及为上述人员缴纳的各项社会保险费等。</w:t>
      </w:r>
    </w:p>
    <w:p w14:paraId="1D625801">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（十五）商品和服务支出（支出经济分类科目类级）：</w:t>
      </w:r>
      <w:r>
        <w:rPr>
          <w:rFonts w:ascii="Times New Roman" w:hAnsi="Times New Roman" w:eastAsia="方正仿宋_GBK" w:cs="Times New Roman"/>
          <w:kern w:val="2"/>
          <w:sz w:val="32"/>
          <w:szCs w:val="22"/>
        </w:rPr>
        <w:t>反映单位购买商品和服务的支出（不包括用于购置固定资产的支出、战略性和应急储备支出）。</w:t>
      </w:r>
    </w:p>
    <w:p w14:paraId="110FF9AB">
      <w:pPr>
        <w:pStyle w:val="4"/>
        <w:spacing w:before="0" w:beforeAutospacing="0" w:after="0" w:afterAutospacing="0" w:line="560" w:lineRule="exact"/>
        <w:ind w:firstLine="640" w:firstLineChars="200"/>
        <w:jc w:val="both"/>
        <w:rPr>
          <w:rFonts w:ascii="Times New Roman" w:hAnsi="Times New Roman" w:cs="Times New Roman" w:eastAsiaTheme="minorEastAsia"/>
          <w:sz w:val="28"/>
          <w:szCs w:val="28"/>
        </w:rPr>
      </w:pPr>
      <w:r>
        <w:rPr>
          <w:rFonts w:ascii="方正楷体_GBK" w:hAnsi="方正楷体_GBK" w:eastAsia="方正楷体_GBK" w:cs="方正楷体_GBK"/>
          <w:kern w:val="2"/>
          <w:sz w:val="32"/>
          <w:szCs w:val="22"/>
        </w:rPr>
        <w:t>（十六）对个人和家庭的补助（支出经济分类科目类级）：</w:t>
      </w:r>
      <w:r>
        <w:rPr>
          <w:rFonts w:ascii="Times New Roman" w:hAnsi="Times New Roman" w:eastAsia="方正仿宋_GBK" w:cs="Times New Roman"/>
          <w:kern w:val="2"/>
          <w:sz w:val="32"/>
          <w:szCs w:val="22"/>
        </w:rPr>
        <w:t>反映用于对个人和家庭的补助支出。</w:t>
      </w:r>
    </w:p>
    <w:p w14:paraId="2A129CCC">
      <w:pPr>
        <w:pStyle w:val="8"/>
        <w:tabs>
          <w:tab w:val="center" w:pos="4153"/>
          <w:tab w:val="left" w:pos="7275"/>
        </w:tabs>
        <w:spacing w:line="560" w:lineRule="exact"/>
        <w:ind w:firstLine="640"/>
        <w:rPr>
          <w:rFonts w:ascii="Times New Roman" w:hAnsi="Times New Roman" w:eastAsia="方正仿宋_GBK"/>
          <w:sz w:val="32"/>
        </w:rPr>
      </w:pPr>
      <w:r>
        <w:rPr>
          <w:rFonts w:ascii="方正楷体_GBK" w:hAnsi="方正楷体_GBK" w:eastAsia="方正楷体_GBK" w:cs="方正楷体_GBK"/>
          <w:sz w:val="32"/>
        </w:rPr>
        <w:t>（十七）其他资本性支出（支出经济分类科目类级）：</w:t>
      </w:r>
      <w:r>
        <w:rPr>
          <w:rFonts w:ascii="Times New Roman" w:hAnsi="Times New Roman" w:eastAsia="方正仿宋_GBK"/>
          <w:sz w:val="32"/>
        </w:rPr>
        <w:t>反映非各级发展与改革部门集中安排的用于购置固定资产、战略性和应急性储备、土地和无形资产，以及构建基础设施、大型修缮和财政支持企业更新改造所发生的支出。</w:t>
      </w:r>
    </w:p>
    <w:p w14:paraId="49F26F71">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六、决算公开联系方式及信息反馈渠道</w:t>
      </w:r>
    </w:p>
    <w:p w14:paraId="1C2BFCB5">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本单位决算公开信息反馈和联系方式：</w:t>
      </w:r>
    </w:p>
    <w:p w14:paraId="0C4B994C">
      <w:pPr>
        <w:pStyle w:val="8"/>
        <w:tabs>
          <w:tab w:val="center" w:pos="4153"/>
          <w:tab w:val="left" w:pos="7275"/>
        </w:tabs>
        <w:spacing w:line="560" w:lineRule="exact"/>
        <w:ind w:firstLine="640"/>
        <w:rPr>
          <w:rFonts w:ascii="Times New Roman" w:hAnsi="Times New Roman" w:eastAsiaTheme="minorEastAsia"/>
          <w:sz w:val="28"/>
          <w:szCs w:val="28"/>
        </w:rPr>
      </w:pPr>
      <w:r>
        <w:rPr>
          <w:rFonts w:ascii="Times New Roman" w:hAnsi="Times New Roman" w:eastAsia="方正仿宋_GBK"/>
          <w:sz w:val="32"/>
        </w:rPr>
        <w:t>联系人：</w:t>
      </w:r>
      <w:r>
        <w:rPr>
          <w:rFonts w:hint="eastAsia" w:ascii="Times New Roman" w:hAnsi="Times New Roman" w:eastAsia="方正仿宋_GBK"/>
          <w:sz w:val="32"/>
          <w:lang w:val="en-US" w:eastAsia="zh-CN"/>
        </w:rPr>
        <w:t>吴杰</w:t>
      </w:r>
      <w:r>
        <w:rPr>
          <w:rFonts w:ascii="Times New Roman" w:hAnsi="Times New Roman" w:eastAsia="方正仿宋_GBK"/>
          <w:sz w:val="32"/>
        </w:rPr>
        <w:t xml:space="preserve">       0237844</w:t>
      </w:r>
      <w:r>
        <w:rPr>
          <w:rFonts w:hint="eastAsia" w:ascii="Times New Roman" w:hAnsi="Times New Roman" w:eastAsia="方正仿宋_GBK"/>
          <w:sz w:val="32"/>
          <w:lang w:val="en-US" w:eastAsia="zh-CN"/>
        </w:rPr>
        <w:t>9298</w:t>
      </w:r>
      <w:r>
        <w:rPr>
          <w:rFonts w:ascii="Times New Roman" w:hAnsi="Times New Roman" w:eastAsia="方正仿宋_GBK"/>
          <w:sz w:val="32"/>
        </w:rPr>
        <w:t xml:space="preserve">  </w:t>
      </w:r>
    </w:p>
    <w:sectPr>
      <w:footerReference r:id="rId3" w:type="default"/>
      <w:pgSz w:w="11906" w:h="16838"/>
      <w:pgMar w:top="1440" w:right="1800" w:bottom="1440" w:left="1800"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5B4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CBAA1">
                          <w:pPr>
                            <w:pStyle w:val="2"/>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702CBAA1">
                    <w:pPr>
                      <w:pStyle w:val="2"/>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00003DEF"/>
    <w:rsid w:val="00005D1F"/>
    <w:rsid w:val="000236D2"/>
    <w:rsid w:val="00023E88"/>
    <w:rsid w:val="0002514C"/>
    <w:rsid w:val="00031082"/>
    <w:rsid w:val="00041502"/>
    <w:rsid w:val="00047568"/>
    <w:rsid w:val="00054942"/>
    <w:rsid w:val="00054E11"/>
    <w:rsid w:val="00057B0E"/>
    <w:rsid w:val="000740B1"/>
    <w:rsid w:val="00077A1C"/>
    <w:rsid w:val="00084E44"/>
    <w:rsid w:val="00096DCD"/>
    <w:rsid w:val="000A0A18"/>
    <w:rsid w:val="000A0CB6"/>
    <w:rsid w:val="000A7E34"/>
    <w:rsid w:val="000B39B2"/>
    <w:rsid w:val="000B5C74"/>
    <w:rsid w:val="000D06C0"/>
    <w:rsid w:val="000E2C07"/>
    <w:rsid w:val="000E73F0"/>
    <w:rsid w:val="000F40CA"/>
    <w:rsid w:val="00101195"/>
    <w:rsid w:val="00104470"/>
    <w:rsid w:val="00130542"/>
    <w:rsid w:val="001377E9"/>
    <w:rsid w:val="001430C8"/>
    <w:rsid w:val="001552B2"/>
    <w:rsid w:val="001766F0"/>
    <w:rsid w:val="00180E14"/>
    <w:rsid w:val="0018586B"/>
    <w:rsid w:val="0019254A"/>
    <w:rsid w:val="00192A6F"/>
    <w:rsid w:val="001A31F1"/>
    <w:rsid w:val="001B3233"/>
    <w:rsid w:val="001C0510"/>
    <w:rsid w:val="001D19DA"/>
    <w:rsid w:val="001D6199"/>
    <w:rsid w:val="001E5933"/>
    <w:rsid w:val="001F2DC2"/>
    <w:rsid w:val="0020187D"/>
    <w:rsid w:val="00211C82"/>
    <w:rsid w:val="0023701C"/>
    <w:rsid w:val="002514EC"/>
    <w:rsid w:val="00256F9F"/>
    <w:rsid w:val="00277979"/>
    <w:rsid w:val="002901B2"/>
    <w:rsid w:val="00295CAB"/>
    <w:rsid w:val="00297D26"/>
    <w:rsid w:val="002A1074"/>
    <w:rsid w:val="002A7A81"/>
    <w:rsid w:val="002B2EBE"/>
    <w:rsid w:val="002D1C8E"/>
    <w:rsid w:val="002D2AD0"/>
    <w:rsid w:val="002D532E"/>
    <w:rsid w:val="002E4081"/>
    <w:rsid w:val="002F5F0F"/>
    <w:rsid w:val="00312ABF"/>
    <w:rsid w:val="003172C5"/>
    <w:rsid w:val="00317FE8"/>
    <w:rsid w:val="00333505"/>
    <w:rsid w:val="00353156"/>
    <w:rsid w:val="00363EB1"/>
    <w:rsid w:val="00370FA5"/>
    <w:rsid w:val="00394B16"/>
    <w:rsid w:val="003961BE"/>
    <w:rsid w:val="003B207D"/>
    <w:rsid w:val="003C2696"/>
    <w:rsid w:val="003D09E0"/>
    <w:rsid w:val="003D4AE8"/>
    <w:rsid w:val="003D6A71"/>
    <w:rsid w:val="003F1409"/>
    <w:rsid w:val="00400393"/>
    <w:rsid w:val="00417AC4"/>
    <w:rsid w:val="0044191E"/>
    <w:rsid w:val="00444972"/>
    <w:rsid w:val="00453ECD"/>
    <w:rsid w:val="00454EE1"/>
    <w:rsid w:val="00455757"/>
    <w:rsid w:val="00462E2C"/>
    <w:rsid w:val="00463A3B"/>
    <w:rsid w:val="00467B1B"/>
    <w:rsid w:val="004847BD"/>
    <w:rsid w:val="00485E4E"/>
    <w:rsid w:val="00491809"/>
    <w:rsid w:val="004A2EE6"/>
    <w:rsid w:val="004A5982"/>
    <w:rsid w:val="004B4946"/>
    <w:rsid w:val="004D3EAF"/>
    <w:rsid w:val="004F2F5C"/>
    <w:rsid w:val="004F7122"/>
    <w:rsid w:val="004F7EA2"/>
    <w:rsid w:val="0050057A"/>
    <w:rsid w:val="005020AE"/>
    <w:rsid w:val="00542808"/>
    <w:rsid w:val="0055421C"/>
    <w:rsid w:val="00556811"/>
    <w:rsid w:val="00582C69"/>
    <w:rsid w:val="0058565A"/>
    <w:rsid w:val="00593437"/>
    <w:rsid w:val="00595247"/>
    <w:rsid w:val="005B1790"/>
    <w:rsid w:val="005B2776"/>
    <w:rsid w:val="005B7104"/>
    <w:rsid w:val="005C7301"/>
    <w:rsid w:val="005D7E8E"/>
    <w:rsid w:val="005E263A"/>
    <w:rsid w:val="005E6096"/>
    <w:rsid w:val="005E6BF9"/>
    <w:rsid w:val="005E7517"/>
    <w:rsid w:val="005E7670"/>
    <w:rsid w:val="005F7478"/>
    <w:rsid w:val="006121B2"/>
    <w:rsid w:val="0061593D"/>
    <w:rsid w:val="006429A8"/>
    <w:rsid w:val="00647E6F"/>
    <w:rsid w:val="00660BE1"/>
    <w:rsid w:val="00660C95"/>
    <w:rsid w:val="006713E6"/>
    <w:rsid w:val="00677DB4"/>
    <w:rsid w:val="00681180"/>
    <w:rsid w:val="00681D39"/>
    <w:rsid w:val="006945E4"/>
    <w:rsid w:val="006A47DA"/>
    <w:rsid w:val="006B6818"/>
    <w:rsid w:val="006D1ECF"/>
    <w:rsid w:val="006D3378"/>
    <w:rsid w:val="006D3E78"/>
    <w:rsid w:val="00706436"/>
    <w:rsid w:val="007108F3"/>
    <w:rsid w:val="00715B14"/>
    <w:rsid w:val="00725D37"/>
    <w:rsid w:val="00740190"/>
    <w:rsid w:val="00741163"/>
    <w:rsid w:val="00744524"/>
    <w:rsid w:val="00753E80"/>
    <w:rsid w:val="007555C2"/>
    <w:rsid w:val="0075583A"/>
    <w:rsid w:val="00761A03"/>
    <w:rsid w:val="00764677"/>
    <w:rsid w:val="00764FA9"/>
    <w:rsid w:val="0077161D"/>
    <w:rsid w:val="00791703"/>
    <w:rsid w:val="0079253F"/>
    <w:rsid w:val="0079460C"/>
    <w:rsid w:val="007A57CF"/>
    <w:rsid w:val="007D12D4"/>
    <w:rsid w:val="007D1DF9"/>
    <w:rsid w:val="007D6AD8"/>
    <w:rsid w:val="007F3047"/>
    <w:rsid w:val="007F3CCE"/>
    <w:rsid w:val="007F4343"/>
    <w:rsid w:val="008066C8"/>
    <w:rsid w:val="008107D7"/>
    <w:rsid w:val="00813805"/>
    <w:rsid w:val="0082263B"/>
    <w:rsid w:val="00824F17"/>
    <w:rsid w:val="008268B7"/>
    <w:rsid w:val="00827A6A"/>
    <w:rsid w:val="00834742"/>
    <w:rsid w:val="00863536"/>
    <w:rsid w:val="00883226"/>
    <w:rsid w:val="00883A57"/>
    <w:rsid w:val="00884EAB"/>
    <w:rsid w:val="00894933"/>
    <w:rsid w:val="008B0775"/>
    <w:rsid w:val="008B1A67"/>
    <w:rsid w:val="008B3900"/>
    <w:rsid w:val="008B476D"/>
    <w:rsid w:val="008B5D0F"/>
    <w:rsid w:val="008D2370"/>
    <w:rsid w:val="008D4578"/>
    <w:rsid w:val="008E008F"/>
    <w:rsid w:val="008F1FD3"/>
    <w:rsid w:val="008F21C4"/>
    <w:rsid w:val="00901A08"/>
    <w:rsid w:val="00902A0C"/>
    <w:rsid w:val="00910C15"/>
    <w:rsid w:val="009155B8"/>
    <w:rsid w:val="009203BD"/>
    <w:rsid w:val="0093319F"/>
    <w:rsid w:val="009554D6"/>
    <w:rsid w:val="00962690"/>
    <w:rsid w:val="00981A62"/>
    <w:rsid w:val="009972E1"/>
    <w:rsid w:val="009A6A75"/>
    <w:rsid w:val="009A71DC"/>
    <w:rsid w:val="009B66C1"/>
    <w:rsid w:val="009B74B9"/>
    <w:rsid w:val="009C257E"/>
    <w:rsid w:val="009C52DA"/>
    <w:rsid w:val="009D3E8F"/>
    <w:rsid w:val="009E18EE"/>
    <w:rsid w:val="009E7182"/>
    <w:rsid w:val="009E71DE"/>
    <w:rsid w:val="009F32CC"/>
    <w:rsid w:val="009F50CA"/>
    <w:rsid w:val="009F57FA"/>
    <w:rsid w:val="00A104AC"/>
    <w:rsid w:val="00A15C9F"/>
    <w:rsid w:val="00A15DC1"/>
    <w:rsid w:val="00A2231A"/>
    <w:rsid w:val="00A26F5C"/>
    <w:rsid w:val="00A34C5E"/>
    <w:rsid w:val="00A4224C"/>
    <w:rsid w:val="00A460E3"/>
    <w:rsid w:val="00A51E79"/>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463A"/>
    <w:rsid w:val="00B132EB"/>
    <w:rsid w:val="00B35CAD"/>
    <w:rsid w:val="00B47335"/>
    <w:rsid w:val="00B72B4B"/>
    <w:rsid w:val="00B96327"/>
    <w:rsid w:val="00BB53AA"/>
    <w:rsid w:val="00BB66B2"/>
    <w:rsid w:val="00BD609C"/>
    <w:rsid w:val="00BF0A6D"/>
    <w:rsid w:val="00BF103F"/>
    <w:rsid w:val="00BF57C8"/>
    <w:rsid w:val="00BF61F6"/>
    <w:rsid w:val="00C05FEC"/>
    <w:rsid w:val="00C50A02"/>
    <w:rsid w:val="00C56C42"/>
    <w:rsid w:val="00C6635D"/>
    <w:rsid w:val="00C708B7"/>
    <w:rsid w:val="00C70EA1"/>
    <w:rsid w:val="00C77F4F"/>
    <w:rsid w:val="00C86328"/>
    <w:rsid w:val="00C876E8"/>
    <w:rsid w:val="00CC12D9"/>
    <w:rsid w:val="00CC1B42"/>
    <w:rsid w:val="00CC3157"/>
    <w:rsid w:val="00CE2E5F"/>
    <w:rsid w:val="00D11A69"/>
    <w:rsid w:val="00D329C3"/>
    <w:rsid w:val="00D4263A"/>
    <w:rsid w:val="00D4534B"/>
    <w:rsid w:val="00D525EC"/>
    <w:rsid w:val="00D60A72"/>
    <w:rsid w:val="00D63528"/>
    <w:rsid w:val="00D70F74"/>
    <w:rsid w:val="00D83D02"/>
    <w:rsid w:val="00D92B5C"/>
    <w:rsid w:val="00DA4A93"/>
    <w:rsid w:val="00DA4FF5"/>
    <w:rsid w:val="00DA70CB"/>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1CD5"/>
    <w:rsid w:val="00E32786"/>
    <w:rsid w:val="00E45D51"/>
    <w:rsid w:val="00E512B7"/>
    <w:rsid w:val="00E650CD"/>
    <w:rsid w:val="00EA7797"/>
    <w:rsid w:val="00EB093D"/>
    <w:rsid w:val="00EC1981"/>
    <w:rsid w:val="00EC57B2"/>
    <w:rsid w:val="00F03980"/>
    <w:rsid w:val="00F05736"/>
    <w:rsid w:val="00F10226"/>
    <w:rsid w:val="00F11F2A"/>
    <w:rsid w:val="00F16050"/>
    <w:rsid w:val="00F30167"/>
    <w:rsid w:val="00F34724"/>
    <w:rsid w:val="00F3692D"/>
    <w:rsid w:val="00F45E99"/>
    <w:rsid w:val="00F54CA8"/>
    <w:rsid w:val="00F667F8"/>
    <w:rsid w:val="00F73440"/>
    <w:rsid w:val="00F8050B"/>
    <w:rsid w:val="00F92501"/>
    <w:rsid w:val="00FA609C"/>
    <w:rsid w:val="00FB1E2E"/>
    <w:rsid w:val="00FD26D6"/>
    <w:rsid w:val="00FD6FA6"/>
    <w:rsid w:val="00FE3BC8"/>
    <w:rsid w:val="00FE5FF0"/>
    <w:rsid w:val="02C344C8"/>
    <w:rsid w:val="0A6C04B8"/>
    <w:rsid w:val="0B8213C7"/>
    <w:rsid w:val="10727C56"/>
    <w:rsid w:val="1E4E2CC2"/>
    <w:rsid w:val="22FA342B"/>
    <w:rsid w:val="2362156B"/>
    <w:rsid w:val="3BEDBD54"/>
    <w:rsid w:val="3FDF2BAD"/>
    <w:rsid w:val="45996959"/>
    <w:rsid w:val="45A96152"/>
    <w:rsid w:val="577D28B7"/>
    <w:rsid w:val="5A7DD5CD"/>
    <w:rsid w:val="5AFB53B8"/>
    <w:rsid w:val="5EFF397C"/>
    <w:rsid w:val="5FE712AB"/>
    <w:rsid w:val="7001429B"/>
    <w:rsid w:val="735C1E8E"/>
    <w:rsid w:val="75001E13"/>
    <w:rsid w:val="75B726A6"/>
    <w:rsid w:val="761EE8C0"/>
    <w:rsid w:val="774509B0"/>
    <w:rsid w:val="7BAD6148"/>
    <w:rsid w:val="7BEFBDCB"/>
    <w:rsid w:val="7EFDAD5C"/>
    <w:rsid w:val="7F9DEFE9"/>
    <w:rsid w:val="A7B3954F"/>
    <w:rsid w:val="BDBF24F7"/>
    <w:rsid w:val="BFDBDC67"/>
    <w:rsid w:val="CBBFCF00"/>
    <w:rsid w:val="DF15F072"/>
    <w:rsid w:val="EF75BA87"/>
    <w:rsid w:val="EFFF0616"/>
    <w:rsid w:val="F7693787"/>
    <w:rsid w:val="FD9D1A26"/>
    <w:rsid w:val="FFC3D7DA"/>
    <w:rsid w:val="FFDF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Calibri" w:hAnsi="Calibri" w:eastAsia="宋体" w:cs="Times New Roman"/>
      <w:sz w:val="18"/>
      <w:szCs w:val="18"/>
    </w:rPr>
  </w:style>
  <w:style w:type="paragraph" w:customStyle="1" w:styleId="10">
    <w:name w:val="列出段落2"/>
    <w:basedOn w:val="1"/>
    <w:qFormat/>
    <w:uiPriority w:val="0"/>
    <w:pPr>
      <w:widowControl/>
      <w:ind w:firstLine="420" w:firstLineChars="200"/>
      <w:jc w:val="left"/>
    </w:pPr>
    <w:rPr>
      <w:rFonts w:ascii="宋体" w:hAnsi="宋体"/>
      <w:kern w:val="0"/>
      <w:sz w:val="24"/>
      <w:szCs w:val="24"/>
    </w:rPr>
  </w:style>
  <w:style w:type="character" w:customStyle="1" w:styleId="11">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1075</Words>
  <Characters>6131</Characters>
  <Lines>51</Lines>
  <Paragraphs>14</Paragraphs>
  <TotalTime>6</TotalTime>
  <ScaleCrop>false</ScaleCrop>
  <LinksUpToDate>false</LinksUpToDate>
  <CharactersWithSpaces>7192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2025-09-07T17:47:00Z</dcterms:created>
  <dc:creator>彭水苗族土家族自治县经济和信息化委员会</dc:creator>
  <cp:lastModifiedBy>赵燚</cp:lastModifiedBy>
  <dcterms:modified xsi:type="dcterms:W3CDTF">2025-10-23T07:45:21Z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eyJoZGlkIjoiNjVmMmI0MDIwNjk5Y2RkYWRjMTNkODY0OWM2YjZmMjgifQ==</vt:lpwstr>
  </property>
  <property fmtid="{D5CDD505-2E9C-101B-9397-08002B2CF9AE}" pid="3" name="KSOProductBuildVer">
    <vt:lpwstr>2052-12.1.0.20784</vt:lpwstr>
  </property>
  <property fmtid="{D5CDD505-2E9C-101B-9397-08002B2CF9AE}" pid="4" name="ICV">
    <vt:lpwstr>AF042A758A2846D39872A44EF7491967</vt:lpwstr>
  </property>
</Properties>
</file>