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center"/>
        <w:textAlignment w:val="baseline"/>
        <w:rPr>
          <w:rStyle w:val="33"/>
          <w:rFonts w:hint="eastAsia" w:ascii="微软雅黑" w:hAnsi="微软雅黑" w:eastAsia="微软雅黑"/>
          <w:color w:val="000000"/>
          <w:sz w:val="36"/>
          <w:szCs w:val="36"/>
          <w:lang w:eastAsia="zh-CN"/>
        </w:rPr>
      </w:pPr>
      <w:r>
        <w:rPr>
          <w:rStyle w:val="33"/>
          <w:rFonts w:hint="eastAsia" w:ascii="微软雅黑" w:hAnsi="微软雅黑" w:eastAsia="微软雅黑"/>
          <w:color w:val="000000"/>
          <w:sz w:val="36"/>
          <w:szCs w:val="36"/>
          <w:lang w:eastAsia="zh-CN"/>
        </w:rPr>
        <w:t>彭水自治县民用醇基液体燃料分装站经营权（第二次）</w:t>
      </w:r>
    </w:p>
    <w:p>
      <w:pPr>
        <w:pStyle w:val="197"/>
        <w:snapToGrid w:val="0"/>
        <w:rPr>
          <w:rStyle w:val="33"/>
          <w:rFonts w:ascii="微软雅黑" w:hAnsi="微软雅黑" w:eastAsia="微软雅黑"/>
          <w:color w:val="000000"/>
          <w:sz w:val="36"/>
          <w:szCs w:val="36"/>
        </w:rPr>
      </w:pPr>
    </w:p>
    <w:p>
      <w:pPr>
        <w:snapToGrid w:val="0"/>
        <w:spacing w:line="1600" w:lineRule="exact"/>
        <w:jc w:val="center"/>
        <w:rPr>
          <w:rStyle w:val="33"/>
          <w:rFonts w:ascii="微软雅黑" w:hAnsi="微软雅黑" w:eastAsia="微软雅黑"/>
          <w:color w:val="000000"/>
          <w:sz w:val="130"/>
          <w:szCs w:val="130"/>
        </w:rPr>
      </w:pPr>
    </w:p>
    <w:p>
      <w:pPr>
        <w:snapToGrid w:val="0"/>
        <w:spacing w:line="1600" w:lineRule="exact"/>
        <w:jc w:val="center"/>
        <w:rPr>
          <w:rStyle w:val="33"/>
          <w:rFonts w:ascii="微软雅黑" w:hAnsi="微软雅黑" w:eastAsia="微软雅黑"/>
          <w:color w:val="000000"/>
          <w:sz w:val="130"/>
          <w:szCs w:val="130"/>
        </w:rPr>
      </w:pPr>
      <w:r>
        <w:rPr>
          <w:rStyle w:val="33"/>
          <w:rFonts w:ascii="微软雅黑" w:hAnsi="微软雅黑" w:eastAsia="微软雅黑"/>
          <w:color w:val="000000"/>
          <w:sz w:val="130"/>
          <w:szCs w:val="130"/>
        </w:rPr>
        <w:t>招 标 文 件</w:t>
      </w:r>
    </w:p>
    <w:p>
      <w:pPr>
        <w:pStyle w:val="62"/>
        <w:snapToGrid w:val="0"/>
        <w:spacing w:line="500" w:lineRule="exact"/>
        <w:ind w:left="0"/>
        <w:jc w:val="center"/>
        <w:rPr>
          <w:rStyle w:val="33"/>
          <w:rFonts w:ascii="微软雅黑" w:hAnsi="微软雅黑" w:eastAsia="微软雅黑"/>
          <w:color w:val="000000"/>
          <w:sz w:val="32"/>
        </w:rPr>
      </w:pPr>
    </w:p>
    <w:p>
      <w:pPr>
        <w:snapToGrid w:val="0"/>
        <w:spacing w:line="500" w:lineRule="exact"/>
        <w:jc w:val="left"/>
        <w:rPr>
          <w:rStyle w:val="33"/>
          <w:rFonts w:ascii="微软雅黑" w:hAnsi="微软雅黑" w:eastAsia="微软雅黑"/>
          <w:color w:val="000000"/>
          <w:sz w:val="32"/>
        </w:rPr>
      </w:pPr>
    </w:p>
    <w:p>
      <w:pPr>
        <w:snapToGrid w:val="0"/>
        <w:spacing w:line="500" w:lineRule="exact"/>
        <w:ind w:firstLine="960" w:firstLineChars="300"/>
        <w:jc w:val="left"/>
        <w:rPr>
          <w:rStyle w:val="33"/>
          <w:rFonts w:hint="default" w:ascii="微软雅黑" w:hAnsi="微软雅黑" w:eastAsia="微软雅黑"/>
          <w:color w:val="000000"/>
          <w:sz w:val="32"/>
          <w:lang w:val="en-US" w:eastAsia="zh-CN"/>
        </w:rPr>
      </w:pPr>
      <w:r>
        <w:rPr>
          <w:rStyle w:val="33"/>
          <w:rFonts w:ascii="微软雅黑" w:hAnsi="微软雅黑" w:eastAsia="微软雅黑"/>
          <w:color w:val="000000"/>
          <w:sz w:val="32"/>
        </w:rPr>
        <w:t>招标项目编号:</w:t>
      </w:r>
      <w:r>
        <w:rPr>
          <w:rStyle w:val="33"/>
          <w:rFonts w:ascii="微软雅黑" w:hAnsi="微软雅黑" w:eastAsia="微软雅黑"/>
          <w:color w:val="000000"/>
        </w:rPr>
        <w:t xml:space="preserve"> </w:t>
      </w:r>
      <w:r>
        <w:rPr>
          <w:rStyle w:val="33"/>
          <w:rFonts w:ascii="微软雅黑" w:hAnsi="微软雅黑" w:eastAsia="微软雅黑"/>
          <w:color w:val="000000"/>
          <w:sz w:val="32"/>
        </w:rPr>
        <w:t>JQXM-202</w:t>
      </w:r>
      <w:r>
        <w:rPr>
          <w:rStyle w:val="33"/>
          <w:rFonts w:hint="eastAsia" w:ascii="微软雅黑" w:hAnsi="微软雅黑" w:eastAsia="微软雅黑"/>
          <w:color w:val="000000"/>
          <w:sz w:val="32"/>
          <w:lang w:val="en-US" w:eastAsia="zh-CN"/>
        </w:rPr>
        <w:t>30001</w:t>
      </w:r>
    </w:p>
    <w:p>
      <w:pPr>
        <w:pStyle w:val="62"/>
        <w:snapToGrid w:val="0"/>
        <w:spacing w:line="500" w:lineRule="exact"/>
        <w:ind w:left="2238" w:leftChars="342" w:hanging="1280"/>
        <w:jc w:val="left"/>
        <w:rPr>
          <w:rStyle w:val="33"/>
          <w:rFonts w:hint="eastAsia" w:ascii="微软雅黑" w:hAnsi="微软雅黑" w:eastAsia="微软雅黑"/>
          <w:color w:val="0000FF"/>
          <w:sz w:val="30"/>
          <w:szCs w:val="30"/>
          <w:lang w:eastAsia="zh-CN"/>
        </w:rPr>
      </w:pPr>
      <w:r>
        <w:rPr>
          <w:rStyle w:val="33"/>
          <w:rFonts w:ascii="微软雅黑" w:hAnsi="微软雅黑" w:eastAsia="微软雅黑"/>
          <w:color w:val="000000"/>
          <w:sz w:val="32"/>
        </w:rPr>
        <w:t>招标项目名称:</w:t>
      </w:r>
      <w:r>
        <w:rPr>
          <w:rStyle w:val="33"/>
          <w:rFonts w:ascii="微软雅黑" w:hAnsi="微软雅黑" w:eastAsia="微软雅黑"/>
          <w:color w:val="000000"/>
          <w:sz w:val="32"/>
          <w:szCs w:val="22"/>
        </w:rPr>
        <w:t xml:space="preserve"> </w:t>
      </w:r>
      <w:r>
        <w:rPr>
          <w:rStyle w:val="33"/>
          <w:rFonts w:hint="eastAsia" w:ascii="微软雅黑" w:hAnsi="微软雅黑" w:eastAsia="微软雅黑"/>
          <w:color w:val="000000"/>
          <w:sz w:val="32"/>
          <w:szCs w:val="22"/>
          <w:lang w:eastAsia="zh-CN"/>
        </w:rPr>
        <w:t>彭水自治县民用醇基液体燃料分装站经营权（第二次）</w:t>
      </w:r>
    </w:p>
    <w:p>
      <w:pPr>
        <w:snapToGrid w:val="0"/>
        <w:spacing w:line="500" w:lineRule="exact"/>
        <w:jc w:val="center"/>
        <w:rPr>
          <w:rStyle w:val="33"/>
          <w:rFonts w:ascii="微软雅黑" w:hAnsi="微软雅黑" w:eastAsia="微软雅黑"/>
          <w:color w:val="000000"/>
          <w:sz w:val="32"/>
        </w:rPr>
      </w:pPr>
    </w:p>
    <w:p>
      <w:pPr>
        <w:snapToGrid w:val="0"/>
        <w:spacing w:line="500" w:lineRule="exact"/>
        <w:jc w:val="center"/>
        <w:rPr>
          <w:rStyle w:val="33"/>
          <w:rFonts w:ascii="微软雅黑" w:hAnsi="微软雅黑" w:eastAsia="微软雅黑"/>
          <w:color w:val="000000"/>
          <w:sz w:val="32"/>
        </w:rPr>
      </w:pPr>
    </w:p>
    <w:p>
      <w:pPr>
        <w:pStyle w:val="116"/>
        <w:snapToGrid w:val="0"/>
        <w:rPr>
          <w:rStyle w:val="33"/>
          <w:rFonts w:ascii="微软雅黑" w:hAnsi="微软雅黑" w:eastAsia="微软雅黑"/>
          <w:color w:val="000000"/>
          <w:sz w:val="32"/>
        </w:rPr>
      </w:pPr>
    </w:p>
    <w:p>
      <w:pPr>
        <w:pStyle w:val="116"/>
        <w:snapToGrid w:val="0"/>
        <w:rPr>
          <w:rStyle w:val="33"/>
          <w:rFonts w:ascii="微软雅黑" w:hAnsi="微软雅黑" w:eastAsia="微软雅黑"/>
          <w:color w:val="000000"/>
          <w:sz w:val="32"/>
        </w:rPr>
      </w:pPr>
    </w:p>
    <w:p>
      <w:pPr>
        <w:pStyle w:val="116"/>
        <w:snapToGrid w:val="0"/>
        <w:rPr>
          <w:rStyle w:val="33"/>
          <w:rFonts w:ascii="微软雅黑" w:hAnsi="微软雅黑" w:eastAsia="微软雅黑"/>
          <w:color w:val="000000"/>
          <w:sz w:val="32"/>
        </w:rPr>
      </w:pPr>
    </w:p>
    <w:p>
      <w:pPr>
        <w:snapToGrid w:val="0"/>
        <w:spacing w:line="500" w:lineRule="exact"/>
        <w:rPr>
          <w:rStyle w:val="33"/>
          <w:rFonts w:ascii="微软雅黑" w:hAnsi="微软雅黑" w:eastAsia="微软雅黑"/>
          <w:color w:val="000000"/>
          <w:sz w:val="32"/>
        </w:rPr>
      </w:pPr>
    </w:p>
    <w:p>
      <w:pPr>
        <w:snapToGrid w:val="0"/>
        <w:spacing w:line="500" w:lineRule="exact"/>
        <w:ind w:firstLine="960" w:firstLineChars="300"/>
        <w:rPr>
          <w:rStyle w:val="33"/>
          <w:rFonts w:ascii="微软雅黑" w:hAnsi="微软雅黑" w:eastAsia="微软雅黑"/>
          <w:color w:val="000000"/>
          <w:sz w:val="32"/>
          <w:szCs w:val="18"/>
        </w:rPr>
      </w:pPr>
      <w:r>
        <w:rPr>
          <w:rStyle w:val="33"/>
          <w:rFonts w:ascii="微软雅黑" w:hAnsi="微软雅黑" w:eastAsia="微软雅黑"/>
          <w:color w:val="000000"/>
          <w:sz w:val="32"/>
          <w:szCs w:val="18"/>
        </w:rPr>
        <w:t>招  标 单 位：彭水苗族土家族自治县经济和信息化委员会</w:t>
      </w:r>
    </w:p>
    <w:p>
      <w:pPr>
        <w:snapToGrid w:val="0"/>
        <w:spacing w:line="560" w:lineRule="exact"/>
        <w:ind w:firstLine="960" w:firstLineChars="300"/>
        <w:rPr>
          <w:rStyle w:val="33"/>
          <w:rFonts w:ascii="微软雅黑" w:hAnsi="微软雅黑" w:eastAsia="微软雅黑"/>
          <w:color w:val="000000"/>
          <w:sz w:val="32"/>
          <w:szCs w:val="18"/>
        </w:rPr>
      </w:pPr>
      <w:r>
        <w:rPr>
          <w:rStyle w:val="33"/>
          <w:rFonts w:ascii="微软雅黑" w:hAnsi="微软雅黑" w:eastAsia="微软雅黑"/>
          <w:color w:val="000000"/>
          <w:sz w:val="32"/>
          <w:szCs w:val="18"/>
        </w:rPr>
        <w:t>招标代理机构：泾清项目管理有限公司彭水县分公司</w:t>
      </w:r>
    </w:p>
    <w:p>
      <w:pPr>
        <w:snapToGrid w:val="0"/>
        <w:spacing w:line="500" w:lineRule="exact"/>
        <w:jc w:val="center"/>
        <w:rPr>
          <w:rStyle w:val="33"/>
          <w:rFonts w:ascii="微软雅黑" w:hAnsi="微软雅黑" w:eastAsia="微软雅黑"/>
          <w:color w:val="000000"/>
          <w:sz w:val="32"/>
          <w:szCs w:val="18"/>
        </w:rPr>
      </w:pPr>
    </w:p>
    <w:p>
      <w:pPr>
        <w:snapToGrid w:val="0"/>
        <w:spacing w:line="500" w:lineRule="exact"/>
        <w:ind w:firstLine="640" w:firstLineChars="200"/>
        <w:jc w:val="center"/>
        <w:rPr>
          <w:rStyle w:val="33"/>
          <w:rFonts w:ascii="宋体" w:hAnsi="宋体"/>
          <w:color w:val="000000"/>
          <w:sz w:val="32"/>
          <w:szCs w:val="18"/>
        </w:rPr>
      </w:pPr>
      <w:r>
        <w:rPr>
          <w:rStyle w:val="33"/>
          <w:rFonts w:ascii="微软雅黑" w:hAnsi="微软雅黑" w:eastAsia="微软雅黑"/>
          <w:color w:val="000000"/>
          <w:sz w:val="32"/>
          <w:szCs w:val="18"/>
        </w:rPr>
        <w:t>二0二</w:t>
      </w:r>
      <w:r>
        <w:rPr>
          <w:rStyle w:val="33"/>
          <w:rFonts w:hint="eastAsia" w:ascii="微软雅黑" w:hAnsi="微软雅黑" w:eastAsia="微软雅黑"/>
          <w:color w:val="000000"/>
          <w:sz w:val="32"/>
          <w:szCs w:val="18"/>
          <w:lang w:val="en-US" w:eastAsia="zh-CN"/>
        </w:rPr>
        <w:t>三</w:t>
      </w:r>
      <w:r>
        <w:rPr>
          <w:rStyle w:val="33"/>
          <w:rFonts w:ascii="微软雅黑" w:hAnsi="微软雅黑" w:eastAsia="微软雅黑"/>
          <w:color w:val="000000"/>
          <w:sz w:val="32"/>
          <w:szCs w:val="18"/>
        </w:rPr>
        <w:t>年</w:t>
      </w:r>
      <w:r>
        <w:rPr>
          <w:rStyle w:val="33"/>
          <w:rFonts w:hint="eastAsia" w:ascii="微软雅黑" w:hAnsi="微软雅黑" w:eastAsia="微软雅黑"/>
          <w:color w:val="000000"/>
          <w:sz w:val="32"/>
          <w:szCs w:val="18"/>
          <w:lang w:val="en-US" w:eastAsia="zh-CN"/>
        </w:rPr>
        <w:t>二</w:t>
      </w:r>
      <w:r>
        <w:rPr>
          <w:rStyle w:val="33"/>
          <w:rFonts w:ascii="微软雅黑" w:hAnsi="微软雅黑" w:eastAsia="微软雅黑"/>
          <w:color w:val="000000"/>
          <w:sz w:val="32"/>
          <w:szCs w:val="18"/>
        </w:rPr>
        <w:t xml:space="preserve">月  </w:t>
      </w:r>
      <w:r>
        <w:rPr>
          <w:rStyle w:val="33"/>
          <w:rFonts w:ascii="宋体" w:hAnsi="宋体"/>
          <w:color w:val="000000"/>
          <w:sz w:val="32"/>
          <w:szCs w:val="18"/>
        </w:rPr>
        <w:t xml:space="preserve">   </w:t>
      </w:r>
    </w:p>
    <w:p>
      <w:pPr>
        <w:snapToGrid w:val="0"/>
        <w:spacing w:line="500" w:lineRule="exact"/>
        <w:ind w:firstLine="720" w:firstLineChars="200"/>
        <w:jc w:val="center"/>
        <w:rPr>
          <w:rStyle w:val="33"/>
          <w:rFonts w:ascii="宋体" w:hAnsi="宋体"/>
          <w:color w:val="000000"/>
          <w:sz w:val="36"/>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425" w:num="1"/>
          <w:titlePg/>
          <w:docGrid w:linePitch="312" w:charSpace="0"/>
        </w:sectPr>
      </w:pPr>
    </w:p>
    <w:p>
      <w:pPr>
        <w:snapToGrid w:val="0"/>
        <w:spacing w:line="500" w:lineRule="exact"/>
        <w:ind w:firstLine="482" w:firstLineChars="200"/>
        <w:jc w:val="center"/>
        <w:rPr>
          <w:rStyle w:val="33"/>
          <w:rFonts w:ascii="宋体" w:hAnsi="宋体"/>
          <w:b/>
          <w:color w:val="000000"/>
          <w:sz w:val="24"/>
          <w:szCs w:val="24"/>
        </w:rPr>
      </w:pPr>
      <w:r>
        <w:rPr>
          <w:rStyle w:val="33"/>
          <w:rFonts w:ascii="宋体" w:hAnsi="宋体"/>
          <w:b/>
          <w:color w:val="000000"/>
          <w:sz w:val="24"/>
          <w:szCs w:val="24"/>
        </w:rPr>
        <w:t>目  录</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第一章  招标公告</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- 2 -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第二章  项目规模及质量要求</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- 4 -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第三章  项目商务要求</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- 6 -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第四章  项目技术要求</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- 8 -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第五章  资格审查及评标办法</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- 8 -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第六章  投标人须知</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- 11 -</w:t>
      </w:r>
    </w:p>
    <w:p>
      <w:pPr>
        <w:pStyle w:val="80"/>
        <w:tabs>
          <w:tab w:val="right" w:leader="dot" w:pos="9412"/>
        </w:tabs>
        <w:snapToGrid w:val="0"/>
        <w:spacing w:line="600" w:lineRule="exact"/>
        <w:ind w:firstLine="240"/>
        <w:rPr>
          <w:rStyle w:val="33"/>
          <w:rFonts w:ascii="微软雅黑" w:hAnsi="微软雅黑" w:eastAsia="微软雅黑"/>
          <w:color w:val="000000"/>
          <w:sz w:val="24"/>
          <w:szCs w:val="24"/>
        </w:rPr>
      </w:pPr>
      <w:r>
        <w:rPr>
          <w:rStyle w:val="33"/>
          <w:rFonts w:ascii="微软雅黑" w:hAnsi="微软雅黑" w:eastAsia="微软雅黑"/>
          <w:color w:val="000000"/>
          <w:sz w:val="24"/>
          <w:szCs w:val="24"/>
        </w:rPr>
        <w:t>第七章  投标文件格式</w:t>
      </w:r>
      <w:r>
        <w:rPr>
          <w:rStyle w:val="33"/>
          <w:rFonts w:ascii="微软雅黑" w:hAnsi="微软雅黑" w:eastAsia="微软雅黑"/>
          <w:color w:val="000000"/>
          <w:sz w:val="24"/>
          <w:szCs w:val="24"/>
        </w:rPr>
        <w:tab/>
      </w:r>
      <w:r>
        <w:rPr>
          <w:rStyle w:val="33"/>
          <w:rFonts w:ascii="微软雅黑" w:hAnsi="微软雅黑" w:eastAsia="微软雅黑"/>
          <w:color w:val="000000"/>
          <w:sz w:val="24"/>
          <w:szCs w:val="24"/>
        </w:rPr>
        <w:t>- 15 -</w:t>
      </w:r>
    </w:p>
    <w:p>
      <w:pPr>
        <w:pStyle w:val="90"/>
        <w:tabs>
          <w:tab w:val="right" w:leader="dot" w:pos="9412"/>
        </w:tabs>
        <w:snapToGrid w:val="0"/>
        <w:ind w:right="-255"/>
        <w:rPr>
          <w:rStyle w:val="33"/>
          <w:color w:val="000000"/>
          <w:sz w:val="24"/>
          <w:szCs w:val="24"/>
        </w:rPr>
      </w:pPr>
    </w:p>
    <w:p>
      <w:pPr>
        <w:pStyle w:val="80"/>
        <w:snapToGrid w:val="0"/>
        <w:spacing w:line="240" w:lineRule="auto"/>
        <w:ind w:firstLine="490" w:firstLineChars="175"/>
        <w:rPr>
          <w:rStyle w:val="33"/>
          <w:rFonts w:ascii="宋体" w:hAnsi="宋体"/>
          <w:color w:val="000000"/>
        </w:rPr>
      </w:pPr>
    </w:p>
    <w:p>
      <w:pPr>
        <w:tabs>
          <w:tab w:val="left" w:pos="5208"/>
        </w:tabs>
        <w:snapToGrid w:val="0"/>
        <w:rPr>
          <w:rStyle w:val="33"/>
        </w:rPr>
      </w:pPr>
      <w:r>
        <w:rPr>
          <w:rStyle w:val="33"/>
        </w:rPr>
        <w:tab/>
      </w:r>
    </w:p>
    <w:p>
      <w:pPr>
        <w:snapToGrid w:val="0"/>
        <w:rPr>
          <w:rStyle w:val="33"/>
        </w:rPr>
      </w:pPr>
    </w:p>
    <w:p>
      <w:pPr>
        <w:snapToGrid w:val="0"/>
        <w:rPr>
          <w:rStyle w:val="33"/>
        </w:rPr>
      </w:pPr>
    </w:p>
    <w:p>
      <w:pPr>
        <w:tabs>
          <w:tab w:val="left" w:pos="8376"/>
        </w:tabs>
        <w:snapToGrid w:val="0"/>
        <w:jc w:val="left"/>
        <w:rPr>
          <w:rStyle w:val="33"/>
        </w:rPr>
        <w:sectPr>
          <w:headerReference r:id="rId7" w:type="default"/>
          <w:footerReference r:id="rId8" w:type="default"/>
          <w:pgSz w:w="11907" w:h="16840"/>
          <w:pgMar w:top="1134" w:right="1191" w:bottom="1134" w:left="1304" w:header="964" w:footer="992" w:gutter="0"/>
          <w:pgNumType w:start="1"/>
          <w:cols w:space="425" w:num="1"/>
          <w:docGrid w:linePitch="312" w:charSpace="0"/>
        </w:sectPr>
      </w:pPr>
      <w:r>
        <w:rPr>
          <w:rStyle w:val="33"/>
        </w:rPr>
        <w:tab/>
      </w:r>
    </w:p>
    <w:p>
      <w:pPr>
        <w:tabs>
          <w:tab w:val="left" w:pos="3360"/>
          <w:tab w:val="left" w:pos="8376"/>
        </w:tabs>
        <w:snapToGrid w:val="0"/>
        <w:spacing w:before="192" w:line="360" w:lineRule="auto"/>
        <w:jc w:val="center"/>
        <w:rPr>
          <w:rStyle w:val="33"/>
          <w:rFonts w:ascii="微软雅黑" w:hAnsi="微软雅黑" w:eastAsia="微软雅黑"/>
          <w:b/>
          <w:color w:val="000000"/>
        </w:rPr>
      </w:pPr>
      <w:r>
        <w:rPr>
          <w:rStyle w:val="33"/>
          <w:rFonts w:ascii="微软雅黑" w:hAnsi="微软雅黑" w:eastAsia="微软雅黑"/>
          <w:b/>
          <w:color w:val="000000"/>
        </w:rPr>
        <w:t>第</w:t>
      </w:r>
      <w:r>
        <w:rPr>
          <w:rStyle w:val="33"/>
          <w:rFonts w:ascii="微软雅黑" w:hAnsi="微软雅黑" w:eastAsia="微软雅黑"/>
          <w:b/>
          <w:color w:val="000000"/>
          <w:szCs w:val="22"/>
        </w:rPr>
        <w:t xml:space="preserve">一章 </w:t>
      </w:r>
      <w:r>
        <w:rPr>
          <w:rStyle w:val="33"/>
          <w:rFonts w:ascii="微软雅黑" w:hAnsi="微软雅黑" w:eastAsia="微软雅黑"/>
          <w:b/>
          <w:color w:val="000000"/>
        </w:rPr>
        <w:t>招标公告</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为加快推进我县民用醇基液体燃料分装站项目落地实施进度，公开公平公正确定分装站及经营企业，根据《重庆市民用醇基液体燃料行业安全发展规划（2021-2025年）》文件要求，泾清项目管理有限公司彭水县分公司受彭水苗族土家族自治县经济和信息化委员会委托对彭水县民用醇基液体燃料分装站项目进行公开招标，欢迎有资格的投标人参加投标。 </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b/>
          <w:color w:val="000000"/>
          <w:szCs w:val="28"/>
        </w:rPr>
        <w:t>一、</w:t>
      </w:r>
      <w:r>
        <w:rPr>
          <w:rStyle w:val="33"/>
          <w:rFonts w:ascii="微软雅黑" w:hAnsi="微软雅黑" w:eastAsia="微软雅黑"/>
          <w:szCs w:val="28"/>
        </w:rPr>
        <w:t>项目概述</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1.名称与编号</w:t>
      </w:r>
    </w:p>
    <w:p>
      <w:pPr>
        <w:snapToGrid w:val="0"/>
        <w:spacing w:line="400" w:lineRule="atLeast"/>
        <w:ind w:firstLine="420" w:firstLineChars="200"/>
        <w:rPr>
          <w:rStyle w:val="33"/>
          <w:rFonts w:hint="eastAsia" w:ascii="微软雅黑" w:hAnsi="微软雅黑" w:eastAsia="微软雅黑"/>
          <w:color w:val="000000"/>
          <w:sz w:val="21"/>
          <w:szCs w:val="21"/>
          <w:lang w:eastAsia="zh-CN"/>
        </w:rPr>
      </w:pPr>
      <w:r>
        <w:rPr>
          <w:rStyle w:val="33"/>
          <w:rFonts w:ascii="微软雅黑" w:hAnsi="微软雅黑" w:eastAsia="微软雅黑"/>
          <w:color w:val="000000"/>
          <w:sz w:val="21"/>
          <w:szCs w:val="21"/>
        </w:rPr>
        <w:t>项目名称：</w:t>
      </w:r>
      <w:r>
        <w:rPr>
          <w:rStyle w:val="33"/>
          <w:rFonts w:hint="eastAsia" w:ascii="微软雅黑" w:hAnsi="微软雅黑" w:eastAsia="微软雅黑"/>
          <w:color w:val="000000"/>
          <w:sz w:val="21"/>
          <w:szCs w:val="21"/>
          <w:lang w:eastAsia="zh-CN"/>
        </w:rPr>
        <w:t>彭水自治县民用醇基液体燃料分装站经营权（第二次）</w:t>
      </w:r>
    </w:p>
    <w:p>
      <w:pPr>
        <w:snapToGrid w:val="0"/>
        <w:spacing w:line="400" w:lineRule="atLeast"/>
        <w:ind w:firstLine="420" w:firstLineChars="200"/>
        <w:rPr>
          <w:rStyle w:val="33"/>
          <w:rFonts w:hint="eastAsia" w:ascii="微软雅黑" w:hAnsi="微软雅黑" w:eastAsia="微软雅黑"/>
          <w:color w:val="000000"/>
          <w:sz w:val="21"/>
          <w:szCs w:val="21"/>
          <w:lang w:val="en-US" w:eastAsia="zh-CN"/>
        </w:rPr>
      </w:pPr>
      <w:r>
        <w:rPr>
          <w:rStyle w:val="33"/>
          <w:rFonts w:ascii="微软雅黑" w:hAnsi="微软雅黑" w:eastAsia="微软雅黑"/>
          <w:color w:val="000000"/>
          <w:sz w:val="21"/>
          <w:szCs w:val="21"/>
        </w:rPr>
        <w:t>招标文件编号：</w:t>
      </w:r>
      <w:r>
        <w:rPr>
          <w:rStyle w:val="33"/>
          <w:rFonts w:hint="eastAsia" w:ascii="微软雅黑" w:hAnsi="微软雅黑" w:eastAsia="微软雅黑"/>
          <w:color w:val="000000"/>
          <w:sz w:val="21"/>
          <w:szCs w:val="21"/>
          <w:lang w:eastAsia="zh-CN"/>
        </w:rPr>
        <w:t>JQXM-20230001</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2.主要内容</w:t>
      </w:r>
    </w:p>
    <w:tbl>
      <w:tblPr>
        <w:tblStyle w:val="18"/>
        <w:tblW w:w="9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3352"/>
        <w:gridCol w:w="1271"/>
        <w:gridCol w:w="888"/>
        <w:gridCol w:w="1454"/>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73"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序号</w:t>
            </w:r>
          </w:p>
        </w:tc>
        <w:tc>
          <w:tcPr>
            <w:tcW w:w="3352"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名称</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规模</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数量</w:t>
            </w:r>
          </w:p>
        </w:tc>
        <w:tc>
          <w:tcPr>
            <w:tcW w:w="1454"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投标保证金</w:t>
            </w:r>
          </w:p>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（万元）</w:t>
            </w:r>
          </w:p>
        </w:tc>
        <w:tc>
          <w:tcPr>
            <w:tcW w:w="1576"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73"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1</w:t>
            </w:r>
          </w:p>
        </w:tc>
        <w:tc>
          <w:tcPr>
            <w:tcW w:w="3352"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重庆彭水自治县民用醇基液体燃料分装站项目</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≤200m</w:t>
            </w:r>
            <w:r>
              <w:rPr>
                <w:rStyle w:val="33"/>
                <w:rFonts w:ascii="微软雅黑" w:hAnsi="微软雅黑" w:eastAsia="微软雅黑" w:cs="Times New Roman"/>
                <w:b/>
                <w:color w:val="000000"/>
                <w:sz w:val="21"/>
                <w:szCs w:val="21"/>
                <w:vertAlign w:val="superscript"/>
              </w:rPr>
              <w:t>3</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1</w:t>
            </w:r>
          </w:p>
        </w:tc>
        <w:tc>
          <w:tcPr>
            <w:tcW w:w="1454"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color w:val="000000"/>
                <w:sz w:val="21"/>
                <w:szCs w:val="21"/>
              </w:rPr>
            </w:pPr>
            <w:r>
              <w:rPr>
                <w:rStyle w:val="33"/>
                <w:rFonts w:ascii="微软雅黑" w:hAnsi="微软雅黑" w:eastAsia="微软雅黑" w:cs="Times New Roman"/>
                <w:b/>
                <w:color w:val="000000"/>
                <w:sz w:val="21"/>
                <w:szCs w:val="21"/>
              </w:rPr>
              <w:t>5</w:t>
            </w:r>
          </w:p>
        </w:tc>
        <w:tc>
          <w:tcPr>
            <w:tcW w:w="1576" w:type="dxa"/>
            <w:tcBorders>
              <w:top w:val="single" w:color="000000" w:sz="4" w:space="0"/>
              <w:left w:val="single" w:color="000000" w:sz="4" w:space="0"/>
              <w:bottom w:val="single" w:color="000000" w:sz="4" w:space="0"/>
              <w:right w:val="single" w:color="000000" w:sz="4" w:space="0"/>
            </w:tcBorders>
            <w:vAlign w:val="center"/>
          </w:tcPr>
          <w:p>
            <w:pPr>
              <w:pStyle w:val="62"/>
              <w:snapToGrid w:val="0"/>
              <w:spacing w:line="240" w:lineRule="atLeast"/>
              <w:ind w:left="0"/>
              <w:jc w:val="center"/>
              <w:rPr>
                <w:rStyle w:val="33"/>
                <w:rFonts w:ascii="微软雅黑" w:hAnsi="微软雅黑" w:eastAsia="微软雅黑" w:cs="Times New Roman"/>
                <w:b/>
                <w:strike/>
                <w:color w:val="000000"/>
                <w:sz w:val="21"/>
                <w:szCs w:val="21"/>
              </w:rPr>
            </w:pPr>
          </w:p>
        </w:tc>
      </w:tr>
    </w:tbl>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3.建设地点：</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重庆彭水县境内。</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4.资金来源及投资金额：</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投资人自筹资金，拟投资450万元。</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szCs w:val="28"/>
        </w:rPr>
        <w:t>二、投标人资格要求</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投标人应符合以下基本条件：</w:t>
      </w:r>
    </w:p>
    <w:p>
      <w:pPr>
        <w:snapToGrid w:val="0"/>
        <w:spacing w:line="400" w:lineRule="atLeast"/>
        <w:ind w:firstLine="420" w:firstLineChars="200"/>
        <w:rPr>
          <w:rStyle w:val="33"/>
          <w:rFonts w:ascii="微软雅黑" w:hAnsi="微软雅黑" w:eastAsia="微软雅黑"/>
          <w:sz w:val="21"/>
          <w:szCs w:val="21"/>
        </w:rPr>
      </w:pPr>
      <w:r>
        <w:rPr>
          <w:rStyle w:val="33"/>
          <w:rFonts w:ascii="微软雅黑" w:hAnsi="微软雅黑" w:eastAsia="微软雅黑"/>
          <w:color w:val="000000"/>
          <w:sz w:val="21"/>
          <w:szCs w:val="21"/>
        </w:rPr>
        <w:t>1.</w:t>
      </w:r>
      <w:r>
        <w:rPr>
          <w:rStyle w:val="33"/>
          <w:rFonts w:hint="eastAsia" w:ascii="微软雅黑" w:hAnsi="微软雅黑" w:eastAsia="微软雅黑"/>
          <w:color w:val="000000"/>
          <w:sz w:val="21"/>
          <w:szCs w:val="21"/>
        </w:rPr>
        <w:t xml:space="preserve"> </w:t>
      </w:r>
      <w:r>
        <w:rPr>
          <w:rStyle w:val="33"/>
          <w:rFonts w:hint="eastAsia" w:ascii="微软雅黑" w:hAnsi="微软雅黑" w:eastAsia="微软雅黑"/>
          <w:sz w:val="21"/>
          <w:szCs w:val="21"/>
        </w:rPr>
        <w:t>依法注册成立具有燃气许可或危化品许可的企业或具有瓶装燃气（二甲醚）充装经营的企业或个体工商户；具有一定经济实力且依法注册的法人企业。</w:t>
      </w:r>
    </w:p>
    <w:p>
      <w:pPr>
        <w:snapToGrid w:val="0"/>
        <w:spacing w:line="400" w:lineRule="atLeast"/>
        <w:ind w:firstLine="420" w:firstLineChars="200"/>
        <w:rPr>
          <w:rStyle w:val="33"/>
          <w:rFonts w:ascii="微软雅黑" w:hAnsi="微软雅黑" w:eastAsia="微软雅黑"/>
          <w:sz w:val="21"/>
          <w:szCs w:val="21"/>
        </w:rPr>
      </w:pPr>
      <w:r>
        <w:rPr>
          <w:rStyle w:val="33"/>
          <w:rFonts w:ascii="微软雅黑" w:hAnsi="微软雅黑" w:eastAsia="微软雅黑"/>
          <w:sz w:val="21"/>
          <w:szCs w:val="21"/>
        </w:rPr>
        <w:t>2.具有履行合同所必需的资金和专业技术能力</w:t>
      </w:r>
      <w:r>
        <w:rPr>
          <w:rStyle w:val="33"/>
          <w:rFonts w:hint="eastAsia" w:ascii="微软雅黑" w:hAnsi="微软雅黑" w:eastAsia="微软雅黑"/>
          <w:sz w:val="21"/>
          <w:szCs w:val="21"/>
        </w:rPr>
        <w:t>。</w:t>
      </w:r>
    </w:p>
    <w:p>
      <w:pPr>
        <w:snapToGrid w:val="0"/>
        <w:spacing w:line="400" w:lineRule="atLeast"/>
        <w:ind w:firstLine="420" w:firstLineChars="200"/>
        <w:rPr>
          <w:rStyle w:val="33"/>
          <w:rFonts w:ascii="微软雅黑" w:hAnsi="微软雅黑" w:eastAsia="微软雅黑"/>
          <w:sz w:val="21"/>
          <w:szCs w:val="21"/>
        </w:rPr>
      </w:pPr>
      <w:r>
        <w:rPr>
          <w:rStyle w:val="33"/>
          <w:rFonts w:ascii="微软雅黑" w:hAnsi="微软雅黑" w:eastAsia="微软雅黑"/>
          <w:sz w:val="21"/>
          <w:szCs w:val="21"/>
        </w:rPr>
        <w:t>3.商业信誉良好，在递交投标文件前的三年内无失信信息、经营异常、严重违法，没有处于被责令停产，财产被冻结、接管、破产状态（债务严重）</w:t>
      </w:r>
      <w:r>
        <w:rPr>
          <w:rStyle w:val="33"/>
          <w:rFonts w:hint="eastAsia" w:ascii="微软雅黑" w:hAnsi="微软雅黑" w:eastAsia="微软雅黑"/>
          <w:sz w:val="21"/>
          <w:szCs w:val="21"/>
        </w:rPr>
        <w:t>。</w:t>
      </w:r>
    </w:p>
    <w:p>
      <w:pPr>
        <w:snapToGrid w:val="0"/>
        <w:spacing w:line="400" w:lineRule="atLeast"/>
        <w:ind w:firstLine="420" w:firstLineChars="200"/>
        <w:rPr>
          <w:rStyle w:val="33"/>
          <w:rFonts w:ascii="微软雅黑" w:hAnsi="微软雅黑" w:eastAsia="微软雅黑"/>
          <w:sz w:val="21"/>
          <w:szCs w:val="21"/>
        </w:rPr>
      </w:pPr>
      <w:r>
        <w:rPr>
          <w:rStyle w:val="33"/>
          <w:rFonts w:ascii="微软雅黑" w:hAnsi="微软雅黑" w:eastAsia="微软雅黑"/>
          <w:sz w:val="21"/>
          <w:szCs w:val="21"/>
        </w:rPr>
        <w:t>4.法律、行政法规规定的其他条件。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sz w:val="21"/>
          <w:szCs w:val="21"/>
        </w:rPr>
        <w:t>5.</w:t>
      </w:r>
      <w:r>
        <w:rPr>
          <w:rStyle w:val="33"/>
          <w:rFonts w:hint="eastAsia" w:ascii="微软雅黑" w:hAnsi="微软雅黑" w:eastAsia="微软雅黑"/>
          <w:sz w:val="21"/>
          <w:szCs w:val="21"/>
        </w:rPr>
        <w:t>投标人</w:t>
      </w:r>
      <w:r>
        <w:rPr>
          <w:rStyle w:val="33"/>
          <w:rFonts w:ascii="微软雅黑" w:hAnsi="微软雅黑" w:eastAsia="微软雅黑"/>
          <w:sz w:val="21"/>
          <w:szCs w:val="21"/>
        </w:rPr>
        <w:t>三年内未发生生产安全事故（由</w:t>
      </w:r>
      <w:r>
        <w:rPr>
          <w:rStyle w:val="33"/>
          <w:rFonts w:hint="eastAsia" w:ascii="微软雅黑" w:hAnsi="微软雅黑" w:eastAsia="微软雅黑"/>
          <w:sz w:val="21"/>
          <w:szCs w:val="21"/>
        </w:rPr>
        <w:t>应急局或</w:t>
      </w:r>
      <w:r>
        <w:rPr>
          <w:rStyle w:val="33"/>
          <w:rFonts w:ascii="微软雅黑" w:hAnsi="微软雅黑" w:eastAsia="微软雅黑"/>
          <w:sz w:val="21"/>
          <w:szCs w:val="21"/>
        </w:rPr>
        <w:t>主管部门提供</w:t>
      </w:r>
      <w:r>
        <w:rPr>
          <w:rStyle w:val="33"/>
          <w:rFonts w:ascii="微软雅黑" w:hAnsi="微软雅黑" w:eastAsia="微软雅黑"/>
          <w:color w:val="000000"/>
          <w:sz w:val="21"/>
          <w:szCs w:val="21"/>
        </w:rPr>
        <w:t>证明）。</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szCs w:val="28"/>
        </w:rPr>
        <w:t>三、投标、开标有关说明</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（一）凡有意参加投标的投标人，自202</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年</w:t>
      </w:r>
      <w:r>
        <w:rPr>
          <w:rStyle w:val="33"/>
          <w:rFonts w:hint="eastAsia" w:ascii="微软雅黑" w:hAnsi="微软雅黑" w:eastAsia="微软雅黑"/>
          <w:color w:val="000000"/>
          <w:sz w:val="21"/>
          <w:szCs w:val="21"/>
          <w:lang w:val="en-US" w:eastAsia="zh-CN"/>
        </w:rPr>
        <w:t>2</w:t>
      </w:r>
      <w:r>
        <w:rPr>
          <w:rStyle w:val="33"/>
          <w:rFonts w:ascii="微软雅黑" w:hAnsi="微软雅黑" w:eastAsia="微软雅黑"/>
          <w:color w:val="000000"/>
          <w:sz w:val="21"/>
          <w:szCs w:val="21"/>
        </w:rPr>
        <w:t>月</w:t>
      </w:r>
      <w:r>
        <w:rPr>
          <w:rStyle w:val="33"/>
          <w:rFonts w:hint="eastAsia" w:ascii="微软雅黑" w:hAnsi="微软雅黑" w:eastAsia="微软雅黑"/>
          <w:color w:val="000000"/>
          <w:sz w:val="21"/>
          <w:szCs w:val="21"/>
          <w:lang w:val="en-US" w:eastAsia="zh-CN"/>
        </w:rPr>
        <w:t>21</w:t>
      </w:r>
      <w:r>
        <w:rPr>
          <w:rStyle w:val="33"/>
          <w:rFonts w:ascii="微软雅黑" w:hAnsi="微软雅黑" w:eastAsia="微软雅黑"/>
          <w:color w:val="000000"/>
          <w:sz w:val="21"/>
          <w:szCs w:val="21"/>
        </w:rPr>
        <w:t>日起在</w:t>
      </w:r>
      <w:r>
        <w:rPr>
          <w:rStyle w:val="33"/>
          <w:rFonts w:hint="eastAsia" w:ascii="微软雅黑" w:hAnsi="微软雅黑" w:eastAsia="微软雅黑"/>
          <w:color w:val="000000"/>
          <w:sz w:val="21"/>
          <w:szCs w:val="21"/>
        </w:rPr>
        <w:t>彭水县</w:t>
      </w:r>
      <w:r>
        <w:rPr>
          <w:rStyle w:val="33"/>
          <w:rFonts w:hint="eastAsia" w:ascii="微软雅黑" w:hAnsi="微软雅黑" w:eastAsia="微软雅黑"/>
          <w:color w:val="000000"/>
          <w:sz w:val="21"/>
          <w:szCs w:val="21"/>
          <w:lang w:eastAsia="zh-CN"/>
        </w:rPr>
        <w:t>人民政府网站</w:t>
      </w:r>
      <w:r>
        <w:rPr>
          <w:rStyle w:val="33"/>
          <w:rFonts w:hint="eastAsia" w:ascii="微软雅黑" w:hAnsi="微软雅黑" w:eastAsia="微软雅黑"/>
          <w:color w:val="000000"/>
          <w:sz w:val="21"/>
          <w:szCs w:val="21"/>
          <w:lang w:val="en-US" w:eastAsia="zh-CN"/>
        </w:rPr>
        <w:t>-经信委栏</w:t>
      </w:r>
      <w:r>
        <w:rPr>
          <w:rStyle w:val="33"/>
          <w:rFonts w:ascii="微软雅黑" w:hAnsi="微软雅黑" w:eastAsia="微软雅黑"/>
          <w:color w:val="000000"/>
          <w:sz w:val="21"/>
          <w:szCs w:val="21"/>
        </w:rPr>
        <w:t>（http://www.psx.gov.cn）自行下载本项目招标文件以及补遗文件等开标前公布的所有项目资料，无论投标人下载与否，均视为已知晓所有招标内容。</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（二）招标文件期限：自招标公告发布之日（202</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年</w:t>
      </w:r>
      <w:r>
        <w:rPr>
          <w:rStyle w:val="33"/>
          <w:rFonts w:hint="eastAsia" w:ascii="微软雅黑" w:hAnsi="微软雅黑" w:eastAsia="微软雅黑"/>
          <w:color w:val="000000"/>
          <w:sz w:val="21"/>
          <w:szCs w:val="21"/>
          <w:lang w:val="en-US" w:eastAsia="zh-CN"/>
        </w:rPr>
        <w:t>2</w:t>
      </w:r>
      <w:r>
        <w:rPr>
          <w:rStyle w:val="33"/>
          <w:rFonts w:ascii="微软雅黑" w:hAnsi="微软雅黑" w:eastAsia="微软雅黑"/>
          <w:color w:val="000000"/>
          <w:sz w:val="21"/>
          <w:szCs w:val="21"/>
        </w:rPr>
        <w:t>月</w:t>
      </w:r>
      <w:r>
        <w:rPr>
          <w:rStyle w:val="33"/>
          <w:rFonts w:hint="eastAsia" w:ascii="微软雅黑" w:hAnsi="微软雅黑" w:eastAsia="微软雅黑"/>
          <w:color w:val="000000"/>
          <w:sz w:val="21"/>
          <w:szCs w:val="21"/>
          <w:lang w:val="en-US" w:eastAsia="zh-CN"/>
        </w:rPr>
        <w:t>22</w:t>
      </w:r>
      <w:r>
        <w:rPr>
          <w:rStyle w:val="33"/>
          <w:rFonts w:ascii="微软雅黑" w:hAnsi="微软雅黑" w:eastAsia="微软雅黑"/>
          <w:color w:val="000000"/>
          <w:sz w:val="21"/>
          <w:szCs w:val="21"/>
        </w:rPr>
        <w:t>日</w:t>
      </w:r>
      <w:r>
        <w:rPr>
          <w:rStyle w:val="33"/>
          <w:rFonts w:hint="eastAsia" w:ascii="微软雅黑" w:hAnsi="微软雅黑" w:eastAsia="微软雅黑"/>
          <w:color w:val="000000"/>
          <w:sz w:val="21"/>
          <w:szCs w:val="21"/>
          <w:lang w:val="en-US" w:eastAsia="zh-CN"/>
        </w:rPr>
        <w:t>-28日</w:t>
      </w: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lang w:eastAsia="zh-CN"/>
        </w:rPr>
        <w:t>五</w:t>
      </w:r>
      <w:r>
        <w:rPr>
          <w:rStyle w:val="33"/>
          <w:rFonts w:ascii="微软雅黑" w:hAnsi="微软雅黑" w:eastAsia="微软雅黑"/>
          <w:color w:val="000000"/>
          <w:sz w:val="21"/>
          <w:szCs w:val="21"/>
        </w:rPr>
        <w:t>个工作日。</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（三）递交投标文件时间及地点：北京时间202</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年</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月</w:t>
      </w:r>
      <w:r>
        <w:rPr>
          <w:rStyle w:val="33"/>
          <w:rFonts w:hint="eastAsia" w:ascii="微软雅黑" w:hAnsi="微软雅黑" w:eastAsia="微软雅黑"/>
          <w:color w:val="000000"/>
          <w:sz w:val="21"/>
          <w:szCs w:val="21"/>
          <w:lang w:val="en-US" w:eastAsia="zh-CN"/>
        </w:rPr>
        <w:t>14</w:t>
      </w:r>
      <w:r>
        <w:rPr>
          <w:rStyle w:val="33"/>
          <w:rFonts w:ascii="微软雅黑" w:hAnsi="微软雅黑" w:eastAsia="微软雅黑"/>
          <w:color w:val="000000"/>
          <w:sz w:val="21"/>
          <w:szCs w:val="21"/>
        </w:rPr>
        <w:t>日09：30至10:00在彭水县经济信息委425办公室</w:t>
      </w:r>
      <w:r>
        <w:rPr>
          <w:rStyle w:val="33"/>
          <w:rFonts w:hint="eastAsia" w:ascii="微软雅黑" w:hAnsi="微软雅黑" w:eastAsia="微软雅黑"/>
          <w:color w:val="000000"/>
          <w:sz w:val="21"/>
          <w:szCs w:val="21"/>
          <w:lang w:eastAsia="zh-CN"/>
        </w:rPr>
        <w:t>（</w:t>
      </w:r>
      <w:r>
        <w:rPr>
          <w:rStyle w:val="33"/>
          <w:rFonts w:hint="eastAsia" w:ascii="微软雅黑" w:hAnsi="微软雅黑" w:eastAsia="微软雅黑"/>
          <w:color w:val="000000"/>
          <w:sz w:val="21"/>
          <w:szCs w:val="21"/>
          <w:lang w:val="en-US" w:eastAsia="zh-CN"/>
        </w:rPr>
        <w:t>投标文件不接受邮寄</w:t>
      </w:r>
      <w:r>
        <w:rPr>
          <w:rStyle w:val="33"/>
          <w:rFonts w:hint="eastAsia" w:ascii="微软雅黑" w:hAnsi="微软雅黑" w:eastAsia="微软雅黑"/>
          <w:color w:val="000000"/>
          <w:sz w:val="21"/>
          <w:szCs w:val="21"/>
          <w:lang w:eastAsia="zh-CN"/>
        </w:rPr>
        <w:t>），逾期不予受理</w:t>
      </w:r>
      <w:r>
        <w:rPr>
          <w:rStyle w:val="33"/>
          <w:rFonts w:ascii="微软雅黑" w:hAnsi="微软雅黑" w:eastAsia="微软雅黑"/>
          <w:color w:val="000000"/>
          <w:sz w:val="21"/>
          <w:szCs w:val="21"/>
        </w:rPr>
        <w:t>。</w:t>
      </w:r>
    </w:p>
    <w:p>
      <w:pPr>
        <w:snapToGrid w:val="0"/>
        <w:spacing w:line="312" w:lineRule="auto"/>
        <w:ind w:firstLine="420" w:firstLineChars="200"/>
        <w:rPr>
          <w:rStyle w:val="33"/>
          <w:rFonts w:hint="eastAsia" w:ascii="微软雅黑" w:hAnsi="微软雅黑" w:eastAsia="微软雅黑"/>
          <w:color w:val="000000"/>
          <w:sz w:val="21"/>
          <w:szCs w:val="21"/>
          <w:lang w:val="en-US" w:eastAsia="zh-CN"/>
        </w:rPr>
      </w:pPr>
      <w:r>
        <w:rPr>
          <w:rStyle w:val="33"/>
          <w:rFonts w:ascii="微软雅黑" w:hAnsi="微软雅黑" w:eastAsia="微软雅黑"/>
          <w:color w:val="000000"/>
          <w:sz w:val="21"/>
          <w:szCs w:val="21"/>
        </w:rPr>
        <w:t>（四）开标</w:t>
      </w:r>
      <w:r>
        <w:rPr>
          <w:rStyle w:val="33"/>
          <w:rFonts w:hint="eastAsia" w:ascii="微软雅黑" w:hAnsi="微软雅黑" w:eastAsia="微软雅黑"/>
          <w:color w:val="000000"/>
          <w:sz w:val="21"/>
          <w:szCs w:val="21"/>
          <w:lang w:val="en-US" w:eastAsia="zh-CN"/>
        </w:rPr>
        <w:t>时间</w:t>
      </w: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lang w:val="en-US" w:eastAsia="zh-CN"/>
        </w:rPr>
        <w:t>本项目因评标委员会需在重庆主城区内组建，故本次开标时间提前一天通知各投标单位。</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（五）招标文件费：售价1000元/份（售后不退），投标人在报名时向代理机构缴纳</w:t>
      </w:r>
      <w:r>
        <w:rPr>
          <w:rStyle w:val="33"/>
          <w:rFonts w:hint="eastAsia" w:ascii="微软雅黑" w:hAnsi="微软雅黑" w:eastAsia="微软雅黑"/>
          <w:color w:val="000000"/>
          <w:sz w:val="21"/>
          <w:szCs w:val="21"/>
        </w:rPr>
        <w:t>（已报名投标人如对新招标文件有疑，可申请退回已缴纳的文件费）。</w:t>
      </w:r>
    </w:p>
    <w:p>
      <w:pPr>
        <w:pStyle w:val="116"/>
        <w:snapToGrid w:val="0"/>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方式一：在招标文件公告期内，投标人到泾清项目管理有限公司彭水县分公司（彭水县绍庆街道下坝街60号三楼）递交招标文件发售表（详见附件）用现金方式购买。</w:t>
      </w:r>
    </w:p>
    <w:p>
      <w:pPr>
        <w:pStyle w:val="116"/>
        <w:snapToGrid w:val="0"/>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方式二：</w:t>
      </w:r>
      <w:r>
        <w:rPr>
          <w:rStyle w:val="33"/>
        </w:rPr>
        <w:pict>
          <v:shape id="_x0000_s1026" o:spid="_x0000_s1026" o:spt="75" type="#_x0000_t75" style="position:absolute;left:0pt;margin-left:388.95pt;margin-top:8.05pt;height:110.05pt;width:81.15pt;z-index:-251657216;mso-width-relative:page;mso-height-relative:page;" filled="f" o:preferrelative="t" stroked="f" coordsize="21600,21600">
            <v:path/>
            <v:fill on="f" focussize="0,0"/>
            <v:stroke on="f" joinstyle="miter"/>
            <v:imagedata r:id="rId13" o:title="1"/>
            <o:lock v:ext="edit" aspectratio="t"/>
          </v:shape>
        </w:pict>
      </w:r>
      <w:r>
        <w:rPr>
          <w:rStyle w:val="33"/>
          <w:rFonts w:ascii="微软雅黑" w:hAnsi="微软雅黑" w:eastAsia="微软雅黑"/>
          <w:color w:val="000000"/>
          <w:sz w:val="21"/>
          <w:szCs w:val="21"/>
        </w:rPr>
        <w:t>在招标公告期内期内，供应商将文件购买费用</w:t>
      </w:r>
    </w:p>
    <w:p>
      <w:pPr>
        <w:pStyle w:val="116"/>
        <w:snapToGrid w:val="0"/>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转至右侧微信内进行购买。通过微信购买文件的，转账时需注明</w:t>
      </w:r>
    </w:p>
    <w:p>
      <w:pPr>
        <w:pStyle w:val="116"/>
        <w:snapToGrid w:val="0"/>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“公司简称—</w:t>
      </w:r>
      <w:r>
        <w:rPr>
          <w:rStyle w:val="33"/>
          <w:rFonts w:hint="eastAsia" w:ascii="微软雅黑" w:hAnsi="微软雅黑" w:eastAsia="微软雅黑"/>
          <w:color w:val="000000"/>
          <w:sz w:val="21"/>
          <w:szCs w:val="21"/>
          <w:lang w:eastAsia="zh-CN"/>
        </w:rPr>
        <w:t>JQXM-20230001</w:t>
      </w:r>
      <w:r>
        <w:rPr>
          <w:rStyle w:val="33"/>
          <w:rFonts w:ascii="微软雅黑" w:hAnsi="微软雅黑" w:eastAsia="微软雅黑"/>
          <w:color w:val="000000"/>
          <w:sz w:val="21"/>
          <w:szCs w:val="21"/>
        </w:rPr>
        <w:t>”，不按要求填写备注而影响对其文件</w:t>
      </w:r>
    </w:p>
    <w:p>
      <w:pPr>
        <w:pStyle w:val="116"/>
        <w:snapToGrid w:val="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购买费到账认定的，由供应商自行承担，并将文件汇款凭证和</w:t>
      </w:r>
    </w:p>
    <w:p>
      <w:pPr>
        <w:pStyle w:val="116"/>
        <w:snapToGrid w:val="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《招标文件发售登记表》（详见附件）扫描后发送邮箱434735381@qq.com。</w:t>
      </w:r>
    </w:p>
    <w:p>
      <w:pPr>
        <w:pStyle w:val="116"/>
        <w:snapToGrid w:val="0"/>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注：供应商递交响应文件时向工作人员递交报名汇款凭证截图及《招标文件发售登记表》发送邮件时间截图，否则工作人员有权拒收响应文件。</w:t>
      </w:r>
    </w:p>
    <w:p>
      <w:pPr>
        <w:pStyle w:val="10"/>
        <w:ind w:firstLine="420" w:firstLineChars="200"/>
        <w:rPr>
          <w:rStyle w:val="33"/>
          <w:rFonts w:ascii="微软雅黑" w:hAnsi="微软雅黑" w:eastAsia="微软雅黑" w:cs="微软雅黑"/>
          <w:b/>
          <w:bCs/>
          <w:color w:val="000000"/>
          <w:sz w:val="21"/>
          <w:szCs w:val="21"/>
        </w:rPr>
      </w:pPr>
      <w:r>
        <w:rPr>
          <w:rStyle w:val="33"/>
          <w:rFonts w:ascii="微软雅黑" w:hAnsi="微软雅黑" w:eastAsia="微软雅黑" w:cs="微软雅黑"/>
          <w:b/>
          <w:bCs/>
          <w:color w:val="000000"/>
          <w:sz w:val="21"/>
          <w:szCs w:val="21"/>
        </w:rPr>
        <w:t>注：在递交投标文件时应同时提交以下资料（在投标文件外另行准备一份）</w:t>
      </w:r>
    </w:p>
    <w:p>
      <w:pPr>
        <w:pStyle w:val="10"/>
        <w:numPr>
          <w:ilvl w:val="0"/>
          <w:numId w:val="17"/>
        </w:numPr>
        <w:ind w:firstLine="420" w:firstLineChars="200"/>
        <w:rPr>
          <w:rStyle w:val="33"/>
          <w:rFonts w:ascii="微软雅黑" w:hAnsi="微软雅黑" w:eastAsia="微软雅黑" w:cs="微软雅黑"/>
          <w:b/>
          <w:bCs/>
          <w:color w:val="000000"/>
          <w:sz w:val="21"/>
          <w:szCs w:val="21"/>
        </w:rPr>
      </w:pPr>
      <w:r>
        <w:rPr>
          <w:rStyle w:val="33"/>
          <w:rFonts w:ascii="微软雅黑" w:hAnsi="微软雅黑" w:eastAsia="微软雅黑" w:cs="微软雅黑"/>
          <w:b/>
          <w:bCs/>
          <w:color w:val="000000"/>
          <w:sz w:val="21"/>
          <w:szCs w:val="21"/>
        </w:rPr>
        <w:t>法定代表人身份证明</w:t>
      </w:r>
      <w:r>
        <w:rPr>
          <w:rStyle w:val="33"/>
          <w:rFonts w:hint="eastAsia" w:ascii="微软雅黑" w:hAnsi="微软雅黑" w:eastAsia="微软雅黑" w:cs="微软雅黑"/>
          <w:b/>
          <w:bCs/>
          <w:color w:val="000000"/>
          <w:sz w:val="21"/>
          <w:szCs w:val="21"/>
        </w:rPr>
        <w:t>或个体工商户身份证明；</w:t>
      </w:r>
    </w:p>
    <w:p>
      <w:pPr>
        <w:pStyle w:val="10"/>
        <w:numPr>
          <w:ilvl w:val="0"/>
          <w:numId w:val="17"/>
        </w:numPr>
        <w:ind w:firstLine="420" w:firstLineChars="200"/>
        <w:rPr>
          <w:rStyle w:val="33"/>
          <w:rFonts w:ascii="微软雅黑" w:hAnsi="微软雅黑" w:eastAsia="微软雅黑"/>
          <w:sz w:val="21"/>
          <w:szCs w:val="21"/>
        </w:rPr>
      </w:pPr>
      <w:r>
        <w:rPr>
          <w:rStyle w:val="33"/>
          <w:rFonts w:ascii="微软雅黑" w:hAnsi="微软雅黑" w:eastAsia="微软雅黑" w:cs="微软雅黑"/>
          <w:b/>
          <w:bCs/>
          <w:color w:val="000000"/>
          <w:sz w:val="21"/>
          <w:szCs w:val="21"/>
        </w:rPr>
        <w:t>法定代表人授权委托书原件（法定代表人参加的不需此项）；</w:t>
      </w:r>
    </w:p>
    <w:p>
      <w:pPr>
        <w:pStyle w:val="10"/>
        <w:numPr>
          <w:ilvl w:val="0"/>
          <w:numId w:val="17"/>
        </w:numPr>
        <w:ind w:firstLine="420" w:firstLineChars="200"/>
        <w:rPr>
          <w:rStyle w:val="33"/>
          <w:rFonts w:ascii="微软雅黑" w:hAnsi="微软雅黑" w:eastAsia="微软雅黑"/>
          <w:sz w:val="21"/>
          <w:szCs w:val="21"/>
        </w:rPr>
      </w:pPr>
      <w:r>
        <w:rPr>
          <w:rStyle w:val="33"/>
          <w:rFonts w:ascii="微软雅黑" w:hAnsi="微软雅黑" w:eastAsia="微软雅黑" w:cs="微软雅黑"/>
          <w:b/>
          <w:bCs/>
          <w:color w:val="000000"/>
          <w:sz w:val="21"/>
          <w:szCs w:val="21"/>
        </w:rPr>
        <w:t>营业执照（复印件加盖公章）；</w:t>
      </w:r>
    </w:p>
    <w:p>
      <w:pPr>
        <w:pStyle w:val="10"/>
        <w:numPr>
          <w:ilvl w:val="0"/>
          <w:numId w:val="17"/>
        </w:numPr>
        <w:ind w:firstLine="420" w:firstLineChars="200"/>
        <w:rPr>
          <w:rStyle w:val="33"/>
          <w:rFonts w:ascii="微软雅黑" w:hAnsi="微软雅黑" w:eastAsia="微软雅黑"/>
          <w:sz w:val="21"/>
          <w:szCs w:val="21"/>
        </w:rPr>
      </w:pPr>
      <w:r>
        <w:rPr>
          <w:rStyle w:val="33"/>
          <w:rFonts w:ascii="微软雅黑" w:hAnsi="微软雅黑" w:eastAsia="微软雅黑" w:cs="微软雅黑"/>
          <w:b/>
          <w:bCs/>
          <w:color w:val="000000"/>
          <w:sz w:val="21"/>
          <w:szCs w:val="21"/>
        </w:rPr>
        <w:t>缴纳投标保证金回执单复印件并加盖投标人公章。</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szCs w:val="28"/>
        </w:rPr>
        <w:t>四、投标保证金</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1.保证金金额：50000.00元（大写伍万元整）；</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2.保证金到账时间：202</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年</w:t>
      </w:r>
      <w:r>
        <w:rPr>
          <w:rStyle w:val="33"/>
          <w:rFonts w:hint="eastAsia" w:ascii="微软雅黑" w:hAnsi="微软雅黑" w:eastAsia="微软雅黑"/>
          <w:color w:val="000000"/>
          <w:sz w:val="21"/>
          <w:szCs w:val="21"/>
          <w:lang w:val="en-US" w:eastAsia="zh-CN"/>
        </w:rPr>
        <w:t>3</w:t>
      </w:r>
      <w:r>
        <w:rPr>
          <w:rStyle w:val="33"/>
          <w:rFonts w:ascii="微软雅黑" w:hAnsi="微软雅黑" w:eastAsia="微软雅黑"/>
          <w:color w:val="000000"/>
          <w:sz w:val="21"/>
          <w:szCs w:val="21"/>
        </w:rPr>
        <w:t>月</w:t>
      </w:r>
      <w:r>
        <w:rPr>
          <w:rStyle w:val="33"/>
          <w:rFonts w:hint="eastAsia" w:ascii="微软雅黑" w:hAnsi="微软雅黑" w:eastAsia="微软雅黑"/>
          <w:color w:val="000000"/>
          <w:sz w:val="21"/>
          <w:szCs w:val="21"/>
          <w:lang w:val="en-US" w:eastAsia="zh-CN"/>
        </w:rPr>
        <w:t>14</w:t>
      </w:r>
      <w:r>
        <w:rPr>
          <w:rStyle w:val="33"/>
          <w:rFonts w:ascii="微软雅黑" w:hAnsi="微软雅黑" w:eastAsia="微软雅黑"/>
          <w:color w:val="000000"/>
          <w:sz w:val="21"/>
          <w:szCs w:val="21"/>
        </w:rPr>
        <w:t>日 8  时 00  分（北京时间）止，若在此期间未到</w:t>
      </w:r>
      <w:r>
        <w:rPr>
          <w:rStyle w:val="33"/>
          <w:rFonts w:hint="eastAsia" w:ascii="微软雅黑" w:hAnsi="微软雅黑" w:eastAsia="微软雅黑"/>
          <w:color w:val="000000"/>
          <w:sz w:val="21"/>
          <w:szCs w:val="21"/>
          <w:lang w:eastAsia="zh-CN"/>
        </w:rPr>
        <w:t>账</w:t>
      </w:r>
      <w:r>
        <w:rPr>
          <w:rStyle w:val="33"/>
          <w:rFonts w:ascii="微软雅黑" w:hAnsi="微软雅黑" w:eastAsia="微软雅黑"/>
          <w:color w:val="000000"/>
          <w:sz w:val="21"/>
          <w:szCs w:val="21"/>
        </w:rPr>
        <w:t>的保证金其文件将被视为无效；</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3.保证金缴纳形式：</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本项目保证金必须通过银行直接交到采购人指定银行和指定账户。</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银行名称:重庆银行股份有限公司彭水支行</w:t>
      </w:r>
    </w:p>
    <w:p>
      <w:pPr>
        <w:snapToGrid w:val="0"/>
        <w:spacing w:line="312" w:lineRule="auto"/>
        <w:ind w:left="476" w:leftChars="170"/>
        <w:rPr>
          <w:rStyle w:val="33"/>
          <w:rFonts w:ascii="微软雅黑" w:hAnsi="微软雅黑" w:eastAsia="微软雅黑"/>
          <w:color w:val="auto"/>
          <w:sz w:val="21"/>
          <w:szCs w:val="21"/>
        </w:rPr>
      </w:pPr>
      <w:r>
        <w:rPr>
          <w:rStyle w:val="33"/>
          <w:rFonts w:ascii="微软雅黑" w:hAnsi="微软雅黑" w:eastAsia="微软雅黑"/>
          <w:color w:val="000000"/>
          <w:sz w:val="21"/>
          <w:szCs w:val="21"/>
        </w:rPr>
        <w:t>银行账号</w:t>
      </w:r>
      <w:r>
        <w:rPr>
          <w:rStyle w:val="33"/>
          <w:rFonts w:ascii="微软雅黑" w:hAnsi="微软雅黑" w:eastAsia="微软雅黑"/>
          <w:color w:val="auto"/>
          <w:sz w:val="21"/>
          <w:szCs w:val="21"/>
        </w:rPr>
        <w:t>:970101040006951</w:t>
      </w:r>
      <w:r>
        <w:rPr>
          <w:rStyle w:val="33"/>
          <w:rFonts w:hint="eastAsia" w:ascii="微软雅黑" w:hAnsi="微软雅黑" w:eastAsia="微软雅黑"/>
          <w:color w:val="auto"/>
          <w:sz w:val="21"/>
          <w:szCs w:val="21"/>
        </w:rPr>
        <w:t>-123001</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银行账户名称:彭水苗族土家族自治县财政局</w:t>
      </w:r>
    </w:p>
    <w:p>
      <w:pPr>
        <w:snapToGrid w:val="0"/>
        <w:spacing w:line="312" w:lineRule="auto"/>
        <w:ind w:firstLine="480" w:firstLineChars="200"/>
        <w:rPr>
          <w:rStyle w:val="33"/>
          <w:rFonts w:ascii="微软雅黑" w:hAnsi="微软雅黑" w:eastAsia="微软雅黑" w:cs="微软雅黑"/>
          <w:b/>
          <w:bCs/>
          <w:color w:val="000000"/>
          <w:sz w:val="24"/>
          <w:szCs w:val="24"/>
        </w:rPr>
      </w:pPr>
      <w:r>
        <w:rPr>
          <w:rStyle w:val="33"/>
          <w:rFonts w:ascii="微软雅黑" w:hAnsi="微软雅黑" w:eastAsia="微软雅黑" w:cs="微软雅黑"/>
          <w:b/>
          <w:bCs/>
          <w:color w:val="000000"/>
          <w:sz w:val="24"/>
          <w:szCs w:val="24"/>
        </w:rPr>
        <w:t>（备注：缴纳经信委醇基燃料项目保证金</w:t>
      </w:r>
      <w:r>
        <w:rPr>
          <w:rStyle w:val="33"/>
          <w:rFonts w:hint="eastAsia" w:ascii="微软雅黑" w:hAnsi="微软雅黑" w:eastAsia="微软雅黑" w:cs="微软雅黑"/>
          <w:b/>
          <w:bCs/>
          <w:color w:val="000000"/>
          <w:sz w:val="24"/>
          <w:szCs w:val="24"/>
          <w:lang w:val="en-US" w:eastAsia="zh-CN"/>
        </w:rPr>
        <w:t>。</w:t>
      </w:r>
      <w:r>
        <w:rPr>
          <w:rStyle w:val="33"/>
          <w:rFonts w:ascii="微软雅黑" w:hAnsi="微软雅黑" w:eastAsia="微软雅黑" w:cs="微软雅黑"/>
          <w:b/>
          <w:bCs/>
          <w:color w:val="000000"/>
          <w:sz w:val="24"/>
          <w:szCs w:val="24"/>
        </w:rPr>
        <w:t>）</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4.保证金退回：</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非中标投标人评标公示结束且无异议后5个工作日内退回企业或投标人账户，</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评审后中标人保证金转为安全</w:t>
      </w:r>
      <w:r>
        <w:rPr>
          <w:rStyle w:val="33"/>
          <w:rFonts w:hint="eastAsia" w:ascii="微软雅黑" w:hAnsi="微软雅黑" w:eastAsia="微软雅黑"/>
          <w:color w:val="000000"/>
          <w:sz w:val="21"/>
          <w:szCs w:val="21"/>
        </w:rPr>
        <w:t>风险</w:t>
      </w:r>
      <w:r>
        <w:rPr>
          <w:rStyle w:val="33"/>
          <w:rFonts w:ascii="微软雅黑" w:hAnsi="微软雅黑" w:eastAsia="微软雅黑"/>
          <w:color w:val="000000"/>
          <w:sz w:val="21"/>
          <w:szCs w:val="21"/>
        </w:rPr>
        <w:t>抵押金（履约保证金），统一存入县经信委对公账户，如按期建设并投入运营</w:t>
      </w:r>
      <w:r>
        <w:rPr>
          <w:rStyle w:val="33"/>
          <w:rFonts w:hint="eastAsia" w:ascii="微软雅黑" w:hAnsi="微软雅黑" w:eastAsia="微软雅黑"/>
          <w:color w:val="000000"/>
          <w:sz w:val="21"/>
          <w:szCs w:val="21"/>
        </w:rPr>
        <w:t>，企业</w:t>
      </w:r>
      <w:r>
        <w:rPr>
          <w:rStyle w:val="33"/>
          <w:rFonts w:ascii="微软雅黑" w:hAnsi="微软雅黑" w:eastAsia="微软雅黑"/>
          <w:color w:val="000000"/>
          <w:sz w:val="21"/>
          <w:szCs w:val="21"/>
        </w:rPr>
        <w:t>可以申请退回（不计息）</w:t>
      </w:r>
      <w:r>
        <w:rPr>
          <w:rStyle w:val="33"/>
          <w:rFonts w:hint="eastAsia" w:ascii="微软雅黑" w:hAnsi="微软雅黑" w:eastAsia="微软雅黑"/>
          <w:color w:val="000000"/>
          <w:sz w:val="21"/>
          <w:szCs w:val="21"/>
        </w:rPr>
        <w:t>；如在规定的时间内没有按期完成建设或建设期间出现安全事故者，由主管部门依法处以罚金（按相关法规上限处罚，多退少补）。</w:t>
      </w:r>
    </w:p>
    <w:p>
      <w:pPr>
        <w:pStyle w:val="116"/>
        <w:snapToGrid w:val="0"/>
        <w:rPr>
          <w:rStyle w:val="33"/>
          <w:rFonts w:cs="Times New Roman"/>
          <w:b/>
          <w:bCs/>
        </w:rPr>
      </w:pPr>
      <w:r>
        <w:rPr>
          <w:rStyle w:val="33"/>
          <w:rFonts w:ascii="微软雅黑" w:hAnsi="微软雅黑" w:eastAsia="微软雅黑"/>
          <w:color w:val="000000"/>
          <w:sz w:val="21"/>
          <w:szCs w:val="21"/>
        </w:rPr>
        <w:t xml:space="preserve">   </w:t>
      </w:r>
      <w:r>
        <w:rPr>
          <w:rStyle w:val="33"/>
          <w:rFonts w:ascii="微软雅黑" w:hAnsi="微软雅黑" w:eastAsia="微软雅黑" w:cs="微软雅黑"/>
          <w:b/>
          <w:bCs/>
          <w:color w:val="000000"/>
          <w:sz w:val="21"/>
          <w:szCs w:val="21"/>
        </w:rPr>
        <w:t>注：中标人可以用</w:t>
      </w:r>
      <w:r>
        <w:rPr>
          <w:rStyle w:val="33"/>
          <w:rFonts w:ascii="微软雅黑" w:hAnsi="微软雅黑" w:eastAsia="微软雅黑" w:cs="微软雅黑"/>
          <w:b/>
          <w:bCs/>
          <w:color w:val="000000"/>
          <w:sz w:val="21"/>
          <w:szCs w:val="21"/>
          <w:highlight w:val="none"/>
        </w:rPr>
        <w:t>见索即付</w:t>
      </w:r>
      <w:r>
        <w:rPr>
          <w:rStyle w:val="33"/>
          <w:rFonts w:ascii="微软雅黑" w:hAnsi="微软雅黑" w:eastAsia="微软雅黑" w:cs="微软雅黑"/>
          <w:b/>
          <w:bCs/>
          <w:color w:val="000000"/>
          <w:sz w:val="21"/>
          <w:szCs w:val="21"/>
        </w:rPr>
        <w:t>不可撤销银行保函（须经过主城区银行或彭水县银行查验）替代安全抵押金（履约保证金），中标人提供等额保函后五个工作日内退还其保证金。</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szCs w:val="28"/>
        </w:rPr>
        <w:t>五、投标有关规定</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（一）单位法定代表人或投资人为同一人的不同投标人，不得参加同一项目下的投标活动。</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（二）本项目若有补遗文件，一律在“</w:t>
      </w:r>
      <w:r>
        <w:rPr>
          <w:rStyle w:val="33"/>
          <w:rFonts w:hint="eastAsia" w:ascii="微软雅黑" w:hAnsi="微软雅黑" w:eastAsia="微软雅黑"/>
          <w:color w:val="000000"/>
          <w:sz w:val="21"/>
          <w:szCs w:val="21"/>
        </w:rPr>
        <w:t>彭水县</w:t>
      </w:r>
      <w:r>
        <w:rPr>
          <w:rStyle w:val="33"/>
          <w:rFonts w:hint="eastAsia" w:ascii="微软雅黑" w:hAnsi="微软雅黑" w:eastAsia="微软雅黑"/>
          <w:color w:val="000000"/>
          <w:sz w:val="21"/>
          <w:szCs w:val="21"/>
          <w:lang w:eastAsia="zh-CN"/>
        </w:rPr>
        <w:t>人民政府网站</w:t>
      </w:r>
      <w:r>
        <w:rPr>
          <w:rStyle w:val="33"/>
          <w:rFonts w:hint="eastAsia" w:ascii="微软雅黑" w:hAnsi="微软雅黑" w:eastAsia="微软雅黑"/>
          <w:color w:val="000000"/>
          <w:sz w:val="21"/>
          <w:szCs w:val="21"/>
          <w:lang w:val="en-US" w:eastAsia="zh-CN"/>
        </w:rPr>
        <w:t>-</w:t>
      </w:r>
      <w:r>
        <w:rPr>
          <w:rStyle w:val="33"/>
          <w:rFonts w:hint="eastAsia" w:ascii="微软雅黑" w:hAnsi="微软雅黑" w:eastAsia="微软雅黑"/>
          <w:color w:val="000000"/>
          <w:sz w:val="21"/>
          <w:szCs w:val="21"/>
        </w:rPr>
        <w:t>经信委</w:t>
      </w:r>
      <w:r>
        <w:rPr>
          <w:rStyle w:val="33"/>
          <w:rFonts w:hint="eastAsia" w:ascii="微软雅黑" w:hAnsi="微软雅黑" w:eastAsia="微软雅黑"/>
          <w:color w:val="000000"/>
          <w:sz w:val="21"/>
          <w:szCs w:val="21"/>
          <w:lang w:eastAsia="zh-CN"/>
        </w:rPr>
        <w:t>栏</w:t>
      </w:r>
      <w:r>
        <w:rPr>
          <w:rStyle w:val="33"/>
          <w:rFonts w:ascii="微软雅黑" w:hAnsi="微软雅黑" w:eastAsia="微软雅黑"/>
          <w:color w:val="000000"/>
          <w:sz w:val="21"/>
          <w:szCs w:val="21"/>
        </w:rPr>
        <w:t>”发布，请各投标人注意下载，无论投标人下载与否，均视同投标人已知晓本项目补遗文件的内容。</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（三）投标人超过投标截止时间递交的投标文件，恕不接收。</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（四）投标费用：无论投标结果如何，投标人参与本项目投标产生的所有费用均由投标人自行承担。</w:t>
      </w:r>
    </w:p>
    <w:p>
      <w:pPr>
        <w:snapToGrid w:val="0"/>
        <w:spacing w:line="312" w:lineRule="auto"/>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（五）本项目接受联合体投标</w:t>
      </w:r>
      <w:r>
        <w:rPr>
          <w:rStyle w:val="33"/>
          <w:rFonts w:hint="eastAsia" w:ascii="微软雅黑" w:hAnsi="微软雅黑" w:eastAsia="微软雅黑"/>
          <w:color w:val="000000"/>
          <w:sz w:val="21"/>
          <w:szCs w:val="21"/>
        </w:rPr>
        <w:t>（联合体投标的，以具有</w:t>
      </w:r>
      <w:r>
        <w:rPr>
          <w:rStyle w:val="33"/>
          <w:rFonts w:hint="eastAsia" w:ascii="微软雅黑" w:hAnsi="微软雅黑" w:eastAsia="微软雅黑"/>
          <w:sz w:val="21"/>
          <w:szCs w:val="21"/>
        </w:rPr>
        <w:t>燃气许可或危化品许可的企业或具有瓶装燃气（二甲醚）充装经营的为主体</w:t>
      </w:r>
      <w:r>
        <w:rPr>
          <w:rStyle w:val="33"/>
          <w:rFonts w:hint="eastAsia" w:ascii="微软雅黑" w:hAnsi="微软雅黑" w:eastAsia="微软雅黑"/>
          <w:color w:val="000000"/>
          <w:sz w:val="21"/>
          <w:szCs w:val="21"/>
        </w:rPr>
        <w:t>）但项目</w:t>
      </w:r>
      <w:r>
        <w:rPr>
          <w:rStyle w:val="33"/>
          <w:rFonts w:ascii="微软雅黑" w:hAnsi="微软雅黑" w:eastAsia="微软雅黑"/>
          <w:color w:val="000000"/>
          <w:sz w:val="21"/>
          <w:szCs w:val="21"/>
        </w:rPr>
        <w:t>不允许转让</w:t>
      </w:r>
      <w:r>
        <w:rPr>
          <w:rStyle w:val="33"/>
          <w:rFonts w:hint="eastAsia" w:ascii="微软雅黑" w:hAnsi="微软雅黑" w:eastAsia="微软雅黑"/>
          <w:color w:val="000000"/>
          <w:sz w:val="21"/>
          <w:szCs w:val="21"/>
        </w:rPr>
        <w:t>。</w:t>
      </w:r>
    </w:p>
    <w:p>
      <w:pPr>
        <w:snapToGrid w:val="0"/>
        <w:spacing w:line="590" w:lineRule="exact"/>
        <w:ind w:firstLine="560" w:firstLineChars="200"/>
        <w:rPr>
          <w:rStyle w:val="33"/>
          <w:rFonts w:ascii="微软雅黑" w:hAnsi="微软雅黑" w:eastAsia="微软雅黑"/>
          <w:szCs w:val="28"/>
        </w:rPr>
      </w:pPr>
      <w:r>
        <w:rPr>
          <w:rStyle w:val="33"/>
          <w:rFonts w:ascii="微软雅黑" w:hAnsi="微软雅黑" w:eastAsia="微软雅黑"/>
          <w:szCs w:val="28"/>
        </w:rPr>
        <w:t>六、联系方式</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招标人：彭水苗族土家族自治县经济和信息化委员会    </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地    址：彭水自治县两江桥行政办公大楼425办公室                       </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联系人：裴老师                                </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电  话：023-78443769（手机：13594321123） </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代理机构：泾清项目管理有限公司</w:t>
      </w:r>
      <w:r>
        <w:rPr>
          <w:rStyle w:val="33"/>
          <w:rFonts w:hint="eastAsia" w:ascii="微软雅黑" w:hAnsi="微软雅黑" w:eastAsia="微软雅黑"/>
          <w:color w:val="000000"/>
          <w:sz w:val="21"/>
          <w:szCs w:val="21"/>
        </w:rPr>
        <w:t>彭水分公司</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地址：彭水县绍庆街道下坝街60号</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联系人：刘老师</w:t>
      </w:r>
    </w:p>
    <w:p>
      <w:pPr>
        <w:snapToGrid w:val="0"/>
        <w:spacing w:line="312" w:lineRule="auto"/>
        <w:ind w:left="476" w:leftChars="17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电话：023-81620493（15909365133）</w:t>
      </w:r>
    </w:p>
    <w:p>
      <w:pPr>
        <w:pStyle w:val="24"/>
        <w:spacing w:before="192" w:after="0" w:line="360" w:lineRule="auto"/>
        <w:rPr>
          <w:rStyle w:val="33"/>
          <w:rFonts w:ascii="宋体" w:hAnsi="宋体" w:eastAsia="宋体"/>
          <w:b/>
          <w:color w:val="000000"/>
          <w:szCs w:val="22"/>
        </w:rPr>
      </w:pPr>
    </w:p>
    <w:p>
      <w:pPr>
        <w:pStyle w:val="24"/>
        <w:spacing w:before="192" w:after="0" w:line="360" w:lineRule="auto"/>
        <w:rPr>
          <w:rStyle w:val="33"/>
          <w:rFonts w:ascii="宋体" w:hAnsi="宋体" w:eastAsia="宋体"/>
          <w:b/>
          <w:color w:val="000000"/>
          <w:szCs w:val="22"/>
        </w:rPr>
      </w:pPr>
    </w:p>
    <w:p>
      <w:pPr>
        <w:pStyle w:val="24"/>
        <w:spacing w:before="192" w:after="0" w:line="360" w:lineRule="auto"/>
        <w:rPr>
          <w:rStyle w:val="33"/>
          <w:rFonts w:ascii="宋体" w:hAnsi="宋体" w:eastAsia="宋体"/>
          <w:b/>
          <w:color w:val="000000"/>
          <w:szCs w:val="22"/>
        </w:rPr>
      </w:pPr>
    </w:p>
    <w:p>
      <w:pPr>
        <w:rPr>
          <w:rStyle w:val="33"/>
          <w:rFonts w:ascii="宋体" w:hAnsi="宋体"/>
          <w:b/>
          <w:color w:val="000000"/>
          <w:szCs w:val="22"/>
        </w:rPr>
      </w:pPr>
    </w:p>
    <w:p>
      <w:pPr>
        <w:pStyle w:val="2"/>
        <w:numPr>
          <w:ilvl w:val="0"/>
          <w:numId w:val="0"/>
        </w:numPr>
      </w:pPr>
    </w:p>
    <w:p>
      <w:pPr>
        <w:pStyle w:val="3"/>
      </w:pPr>
    </w:p>
    <w:p/>
    <w:p>
      <w:pPr>
        <w:pStyle w:val="2"/>
        <w:numPr>
          <w:ilvl w:val="0"/>
          <w:numId w:val="0"/>
        </w:numPr>
      </w:pPr>
    </w:p>
    <w:p>
      <w:pPr>
        <w:pStyle w:val="3"/>
      </w:pPr>
    </w:p>
    <w:p>
      <w:pPr>
        <w:pStyle w:val="24"/>
        <w:spacing w:before="192" w:after="0" w:line="360" w:lineRule="auto"/>
        <w:rPr>
          <w:rStyle w:val="33"/>
          <w:rFonts w:ascii="宋体" w:hAnsi="宋体" w:eastAsia="宋体"/>
          <w:b/>
          <w:color w:val="000000"/>
          <w:szCs w:val="22"/>
        </w:rPr>
      </w:pPr>
      <w:r>
        <w:rPr>
          <w:rStyle w:val="33"/>
          <w:rFonts w:ascii="宋体" w:hAnsi="宋体" w:eastAsia="宋体"/>
          <w:b/>
          <w:color w:val="000000"/>
          <w:szCs w:val="22"/>
        </w:rPr>
        <w:t>第二章 项目规模及质量要求</w:t>
      </w:r>
    </w:p>
    <w:p>
      <w:pPr>
        <w:snapToGrid w:val="0"/>
        <w:spacing w:line="320" w:lineRule="exact"/>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一、重庆市民用醇基液体燃料分装站项目设施明细表</w:t>
      </w:r>
    </w:p>
    <w:tbl>
      <w:tblPr>
        <w:tblStyle w:val="18"/>
        <w:tblpPr w:leftFromText="180" w:rightFromText="180" w:vertAnchor="text" w:horzAnchor="page" w:tblpX="1414" w:tblpY="400"/>
        <w:tblOverlap w:val="never"/>
        <w:tblW w:w="9224" w:type="dxa"/>
        <w:tblInd w:w="-108" w:type="dxa"/>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Layout w:type="fixed"/>
        <w:tblCellMar>
          <w:top w:w="0" w:type="dxa"/>
          <w:left w:w="0" w:type="dxa"/>
          <w:bottom w:w="0" w:type="dxa"/>
          <w:right w:w="0" w:type="dxa"/>
        </w:tblCellMar>
      </w:tblPr>
      <w:tblGrid>
        <w:gridCol w:w="892"/>
        <w:gridCol w:w="3187"/>
        <w:gridCol w:w="2243"/>
        <w:gridCol w:w="1493"/>
        <w:gridCol w:w="1409"/>
      </w:tblGrid>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微软雅黑"/>
                <w:b/>
                <w:bCs/>
                <w:color w:val="000000"/>
                <w:kern w:val="0"/>
                <w:sz w:val="21"/>
                <w:szCs w:val="21"/>
              </w:rPr>
            </w:pPr>
            <w:r>
              <w:rPr>
                <w:rStyle w:val="33"/>
                <w:rFonts w:ascii="微软雅黑" w:hAnsi="微软雅黑" w:eastAsia="微软雅黑" w:cs="Times New Roman"/>
                <w:color w:val="000000"/>
                <w:kern w:val="0"/>
                <w:sz w:val="21"/>
                <w:szCs w:val="21"/>
              </w:rPr>
              <w:t>序号</w:t>
            </w:r>
          </w:p>
        </w:tc>
        <w:tc>
          <w:tcPr>
            <w:tcW w:w="318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微软雅黑"/>
                <w:b/>
                <w:bCs/>
                <w:color w:val="000000"/>
                <w:kern w:val="0"/>
                <w:sz w:val="21"/>
                <w:szCs w:val="21"/>
              </w:rPr>
            </w:pPr>
            <w:r>
              <w:rPr>
                <w:rStyle w:val="33"/>
                <w:rFonts w:ascii="微软雅黑" w:hAnsi="微软雅黑" w:eastAsia="微软雅黑" w:cs="Times New Roman"/>
                <w:color w:val="000000"/>
                <w:kern w:val="0"/>
                <w:sz w:val="21"/>
                <w:szCs w:val="21"/>
              </w:rPr>
              <w:t>设施或子项目名称</w:t>
            </w:r>
          </w:p>
        </w:tc>
        <w:tc>
          <w:tcPr>
            <w:tcW w:w="224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微软雅黑"/>
                <w:b/>
                <w:bCs/>
                <w:color w:val="000000"/>
                <w:kern w:val="0"/>
                <w:sz w:val="21"/>
                <w:szCs w:val="21"/>
              </w:rPr>
            </w:pPr>
            <w:r>
              <w:rPr>
                <w:rStyle w:val="33"/>
                <w:rFonts w:ascii="微软雅黑" w:hAnsi="微软雅黑" w:eastAsia="微软雅黑" w:cs="Times New Roman"/>
                <w:color w:val="000000"/>
                <w:kern w:val="0"/>
                <w:sz w:val="21"/>
                <w:szCs w:val="21"/>
              </w:rPr>
              <w:t>内容或要求</w:t>
            </w:r>
          </w:p>
        </w:tc>
        <w:tc>
          <w:tcPr>
            <w:tcW w:w="149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微软雅黑"/>
                <w:b/>
                <w:bCs/>
                <w:color w:val="000000"/>
                <w:kern w:val="0"/>
                <w:sz w:val="21"/>
                <w:szCs w:val="21"/>
              </w:rPr>
            </w:pPr>
            <w:r>
              <w:rPr>
                <w:rStyle w:val="33"/>
                <w:rFonts w:ascii="微软雅黑" w:hAnsi="微软雅黑" w:eastAsia="微软雅黑" w:cs="Times New Roman"/>
                <w:color w:val="000000"/>
                <w:kern w:val="0"/>
                <w:sz w:val="21"/>
                <w:szCs w:val="21"/>
              </w:rPr>
              <w:t>数量</w:t>
            </w:r>
          </w:p>
        </w:tc>
        <w:tc>
          <w:tcPr>
            <w:tcW w:w="140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微软雅黑"/>
                <w:b/>
                <w:bCs/>
                <w:color w:val="000000"/>
                <w:kern w:val="0"/>
                <w:sz w:val="21"/>
                <w:szCs w:val="21"/>
              </w:rPr>
            </w:pPr>
            <w:r>
              <w:rPr>
                <w:rStyle w:val="33"/>
                <w:rFonts w:ascii="微软雅黑" w:hAnsi="微软雅黑" w:eastAsia="微软雅黑" w:cs="Times New Roman"/>
                <w:color w:val="000000"/>
                <w:kern w:val="0"/>
                <w:sz w:val="21"/>
                <w:szCs w:val="21"/>
              </w:rPr>
              <w:t>备注</w:t>
            </w: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1</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建设用地</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themeColor="text1"/>
                <w:kern w:val="0"/>
                <w:sz w:val="21"/>
                <w:szCs w:val="21"/>
              </w:rPr>
            </w:pPr>
            <w:r>
              <w:rPr>
                <w:rStyle w:val="33"/>
                <w:rFonts w:ascii="微软雅黑" w:hAnsi="微软雅黑" w:eastAsia="微软雅黑" w:cs="Times New Roman"/>
                <w:color w:val="000000" w:themeColor="text1"/>
                <w:kern w:val="0"/>
                <w:sz w:val="21"/>
                <w:szCs w:val="21"/>
              </w:rPr>
              <w:t>＞3000m</w:t>
            </w:r>
            <w:r>
              <w:rPr>
                <w:rStyle w:val="33"/>
                <w:rFonts w:ascii="微软雅黑" w:hAnsi="微软雅黑" w:eastAsia="微软雅黑" w:cs="Times New Roman"/>
                <w:color w:val="000000" w:themeColor="text1"/>
                <w:kern w:val="0"/>
                <w:sz w:val="21"/>
                <w:szCs w:val="21"/>
                <w:vertAlign w:val="superscript"/>
              </w:rPr>
              <w:t>2</w:t>
            </w: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1项</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2</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安全设施</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1套</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3</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环境及职业健康保护设施</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1套</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63"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4</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醇基液体燃料储罐</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总储量≤200m</w:t>
            </w:r>
            <w:r>
              <w:rPr>
                <w:rStyle w:val="33"/>
                <w:rFonts w:ascii="微软雅黑" w:hAnsi="微软雅黑" w:eastAsia="微软雅黑" w:cs="Times New Roman"/>
                <w:color w:val="000000"/>
                <w:kern w:val="0"/>
                <w:sz w:val="21"/>
                <w:szCs w:val="21"/>
                <w:vertAlign w:val="superscript"/>
              </w:rPr>
              <w:t>3</w:t>
            </w: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≥2台</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5</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卸（装卸）车装置</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1套</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6</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充装间及瓶库</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1项</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7</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辅助用房</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1项</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kern w:val="0"/>
                <w:sz w:val="21"/>
                <w:szCs w:val="21"/>
              </w:rPr>
              <w:t>8</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消防水池</w:t>
            </w:r>
          </w:p>
        </w:tc>
        <w:tc>
          <w:tcPr>
            <w:tcW w:w="224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1项</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9</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事故水池</w:t>
            </w:r>
          </w:p>
        </w:tc>
        <w:tc>
          <w:tcPr>
            <w:tcW w:w="2243" w:type="dxa"/>
            <w:tcBorders>
              <w:top w:val="nil"/>
              <w:left w:val="single" w:color="000000" w:sz="4" w:space="0"/>
              <w:bottom w:val="single" w:color="000000" w:sz="4" w:space="0"/>
              <w:right w:val="single" w:color="000000" w:sz="4" w:space="0"/>
            </w:tcBorders>
            <w:vAlign w:val="center"/>
          </w:tcPr>
          <w:p>
            <w:pPr>
              <w:snapToGrid w:val="0"/>
              <w:jc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1项</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r>
        <w:tblPrEx>
          <w:tblBorders>
            <w:top w:val="none" w:color="000000" w:sz="4" w:space="0"/>
            <w:left w:val="singl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Ex>
        <w:trPr>
          <w:trHeight w:val="390" w:hRule="atLeast"/>
        </w:trPr>
        <w:tc>
          <w:tcPr>
            <w:tcW w:w="892"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10</w:t>
            </w:r>
          </w:p>
        </w:tc>
        <w:tc>
          <w:tcPr>
            <w:tcW w:w="3187" w:type="dxa"/>
            <w:tcBorders>
              <w:top w:val="nil"/>
              <w:left w:val="single" w:color="000000" w:sz="4" w:space="0"/>
              <w:bottom w:val="single" w:color="000000" w:sz="4" w:space="0"/>
              <w:right w:val="single" w:color="000000" w:sz="4" w:space="0"/>
            </w:tcBorders>
            <w:vAlign w:val="center"/>
          </w:tcPr>
          <w:p>
            <w:pPr>
              <w:snapToGrid w:val="0"/>
              <w:jc w:val="center"/>
              <w:textAlignment w:val="top"/>
              <w:rPr>
                <w:rStyle w:val="33"/>
                <w:rFonts w:ascii="微软雅黑" w:hAnsi="微软雅黑" w:eastAsia="微软雅黑" w:cs="Times New Roman"/>
                <w:color w:val="000000"/>
                <w:kern w:val="0"/>
                <w:sz w:val="21"/>
                <w:szCs w:val="21"/>
              </w:rPr>
            </w:pPr>
            <w:r>
              <w:rPr>
                <w:rStyle w:val="33"/>
                <w:rFonts w:ascii="微软雅黑" w:hAnsi="微软雅黑" w:eastAsia="微软雅黑" w:cs="Times New Roman"/>
                <w:color w:val="000000"/>
                <w:kern w:val="0"/>
                <w:sz w:val="21"/>
                <w:szCs w:val="21"/>
              </w:rPr>
              <w:t>工艺管线及设施</w:t>
            </w:r>
          </w:p>
        </w:tc>
        <w:tc>
          <w:tcPr>
            <w:tcW w:w="2243" w:type="dxa"/>
            <w:tcBorders>
              <w:top w:val="nil"/>
              <w:left w:val="single" w:color="000000" w:sz="4" w:space="0"/>
              <w:bottom w:val="single" w:color="000000" w:sz="4" w:space="0"/>
              <w:right w:val="single" w:color="000000" w:sz="4" w:space="0"/>
            </w:tcBorders>
            <w:vAlign w:val="center"/>
          </w:tcPr>
          <w:p>
            <w:pPr>
              <w:snapToGrid w:val="0"/>
              <w:jc w:val="center"/>
              <w:rPr>
                <w:rStyle w:val="33"/>
                <w:rFonts w:ascii="微软雅黑" w:hAnsi="微软雅黑" w:eastAsia="微软雅黑" w:cs="Times New Roman"/>
                <w:color w:val="000000"/>
                <w:kern w:val="0"/>
                <w:sz w:val="21"/>
                <w:szCs w:val="21"/>
              </w:rPr>
            </w:pPr>
          </w:p>
        </w:tc>
        <w:tc>
          <w:tcPr>
            <w:tcW w:w="1493"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1套</w:t>
            </w:r>
          </w:p>
        </w:tc>
        <w:tc>
          <w:tcPr>
            <w:tcW w:w="1409" w:type="dxa"/>
            <w:tcBorders>
              <w:top w:val="nil"/>
              <w:left w:val="single" w:color="000000" w:sz="4" w:space="0"/>
              <w:bottom w:val="single" w:color="000000" w:sz="4" w:space="0"/>
              <w:right w:val="single" w:color="000000" w:sz="4" w:space="0"/>
            </w:tcBorders>
            <w:vAlign w:val="center"/>
          </w:tcPr>
          <w:p>
            <w:pPr>
              <w:snapToGrid w:val="0"/>
              <w:jc w:val="center"/>
              <w:textAlignment w:val="center"/>
              <w:rPr>
                <w:rStyle w:val="33"/>
                <w:rFonts w:ascii="微软雅黑" w:hAnsi="微软雅黑" w:eastAsia="微软雅黑" w:cs="Times New Roman"/>
                <w:color w:val="000000"/>
                <w:kern w:val="0"/>
                <w:sz w:val="21"/>
                <w:szCs w:val="21"/>
              </w:rPr>
            </w:pPr>
          </w:p>
        </w:tc>
      </w:tr>
    </w:tbl>
    <w:p>
      <w:pPr>
        <w:pStyle w:val="197"/>
        <w:snapToGrid w:val="0"/>
        <w:rPr>
          <w:rStyle w:val="33"/>
          <w:color w:val="000000"/>
        </w:rPr>
      </w:pPr>
    </w:p>
    <w:p>
      <w:pPr>
        <w:snapToGrid w:val="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二、项目质量要求</w:t>
      </w:r>
    </w:p>
    <w:p>
      <w:pPr>
        <w:pStyle w:val="197"/>
        <w:snapToGrid w:val="0"/>
        <w:ind w:firstLine="480"/>
        <w:rPr>
          <w:rStyle w:val="33"/>
          <w:rFonts w:ascii="微软雅黑" w:hAnsi="微软雅黑" w:eastAsia="微软雅黑"/>
          <w:sz w:val="21"/>
          <w:szCs w:val="21"/>
        </w:rPr>
      </w:pPr>
      <w:r>
        <w:rPr>
          <w:rStyle w:val="33"/>
          <w:rFonts w:ascii="微软雅黑" w:hAnsi="微软雅黑" w:eastAsia="微软雅黑"/>
          <w:sz w:val="21"/>
          <w:szCs w:val="21"/>
        </w:rPr>
        <w:t>项目所需的子项或设施设备应满足国家及重庆市对民用醇基液体燃料相关规范的要求。</w:t>
      </w:r>
    </w:p>
    <w:p>
      <w:pPr>
        <w:pStyle w:val="197"/>
        <w:numPr>
          <w:ilvl w:val="0"/>
          <w:numId w:val="18"/>
        </w:numPr>
        <w:snapToGrid w:val="0"/>
        <w:ind w:left="0" w:firstLine="420" w:firstLineChars="200"/>
        <w:rPr>
          <w:rStyle w:val="33"/>
          <w:rFonts w:ascii="微软雅黑" w:hAnsi="微软雅黑" w:eastAsia="微软雅黑"/>
          <w:sz w:val="21"/>
          <w:szCs w:val="21"/>
        </w:rPr>
      </w:pPr>
      <w:r>
        <w:rPr>
          <w:rStyle w:val="33"/>
          <w:rFonts w:ascii="微软雅黑" w:hAnsi="微软雅黑" w:eastAsia="微软雅黑"/>
          <w:sz w:val="21"/>
          <w:szCs w:val="21"/>
        </w:rPr>
        <w:t>建设用地应满足相关规范要求；</w:t>
      </w:r>
    </w:p>
    <w:p>
      <w:pPr>
        <w:pStyle w:val="197"/>
        <w:numPr>
          <w:ilvl w:val="0"/>
          <w:numId w:val="18"/>
        </w:numPr>
        <w:snapToGrid w:val="0"/>
        <w:ind w:left="0" w:firstLine="420" w:firstLineChars="200"/>
        <w:rPr>
          <w:rStyle w:val="33"/>
          <w:rFonts w:ascii="微软雅黑" w:hAnsi="微软雅黑" w:eastAsia="微软雅黑"/>
          <w:sz w:val="21"/>
          <w:szCs w:val="21"/>
        </w:rPr>
      </w:pPr>
      <w:r>
        <w:rPr>
          <w:rStyle w:val="33"/>
          <w:rFonts w:ascii="微软雅黑" w:hAnsi="微软雅黑" w:eastAsia="微软雅黑"/>
          <w:sz w:val="21"/>
          <w:szCs w:val="21"/>
        </w:rPr>
        <w:t>安全设施、环境和职业健康保护设施应满足“三同时”要求；</w:t>
      </w:r>
    </w:p>
    <w:p>
      <w:pPr>
        <w:pStyle w:val="197"/>
        <w:numPr>
          <w:ilvl w:val="0"/>
          <w:numId w:val="18"/>
        </w:numPr>
        <w:snapToGrid w:val="0"/>
        <w:ind w:left="0" w:firstLine="420" w:firstLineChars="200"/>
        <w:rPr>
          <w:rStyle w:val="33"/>
          <w:rFonts w:ascii="微软雅黑" w:hAnsi="微软雅黑" w:eastAsia="微软雅黑"/>
          <w:sz w:val="21"/>
          <w:szCs w:val="21"/>
        </w:rPr>
      </w:pPr>
      <w:r>
        <w:rPr>
          <w:rStyle w:val="33"/>
          <w:rFonts w:ascii="微软雅黑" w:hAnsi="微软雅黑" w:eastAsia="微软雅黑"/>
          <w:sz w:val="21"/>
          <w:szCs w:val="21"/>
        </w:rPr>
        <w:t>卸（装卸）车装置、充装间、瓶库、工艺管线及设施</w:t>
      </w:r>
      <w:r>
        <w:rPr>
          <w:rStyle w:val="33"/>
          <w:rFonts w:hint="eastAsia" w:ascii="微软雅黑" w:hAnsi="微软雅黑" w:eastAsia="微软雅黑"/>
          <w:sz w:val="21"/>
          <w:szCs w:val="21"/>
          <w:lang w:eastAsia="zh-CN"/>
        </w:rPr>
        <w:t>必须</w:t>
      </w:r>
      <w:r>
        <w:rPr>
          <w:rStyle w:val="33"/>
          <w:rFonts w:ascii="微软雅黑" w:hAnsi="微软雅黑" w:eastAsia="微软雅黑"/>
          <w:sz w:val="21"/>
          <w:szCs w:val="21"/>
        </w:rPr>
        <w:t>满足安全充装要求；</w:t>
      </w:r>
    </w:p>
    <w:p>
      <w:pPr>
        <w:pStyle w:val="197"/>
        <w:numPr>
          <w:ilvl w:val="0"/>
          <w:numId w:val="18"/>
        </w:numPr>
        <w:snapToGrid w:val="0"/>
        <w:ind w:left="0" w:firstLine="420" w:firstLineChars="200"/>
        <w:rPr>
          <w:rStyle w:val="33"/>
          <w:rFonts w:ascii="微软雅黑" w:hAnsi="微软雅黑" w:eastAsia="微软雅黑"/>
          <w:sz w:val="21"/>
          <w:szCs w:val="21"/>
        </w:rPr>
      </w:pPr>
      <w:r>
        <w:rPr>
          <w:rStyle w:val="33"/>
          <w:rFonts w:ascii="微软雅黑" w:hAnsi="微软雅黑" w:eastAsia="微软雅黑"/>
          <w:sz w:val="21"/>
          <w:szCs w:val="21"/>
        </w:rPr>
        <w:t>辅助用房能满足日常生产和管理的基本要求；</w:t>
      </w:r>
    </w:p>
    <w:p>
      <w:pPr>
        <w:pStyle w:val="197"/>
        <w:numPr>
          <w:ilvl w:val="0"/>
          <w:numId w:val="18"/>
        </w:numPr>
        <w:snapToGrid w:val="0"/>
        <w:ind w:left="0" w:firstLine="420" w:firstLineChars="200"/>
        <w:rPr>
          <w:rStyle w:val="33"/>
          <w:rFonts w:ascii="微软雅黑" w:hAnsi="微软雅黑" w:eastAsia="微软雅黑"/>
          <w:sz w:val="21"/>
          <w:szCs w:val="21"/>
        </w:rPr>
      </w:pPr>
      <w:r>
        <w:rPr>
          <w:rStyle w:val="33"/>
          <w:rFonts w:ascii="微软雅黑" w:hAnsi="微软雅黑" w:eastAsia="微软雅黑"/>
          <w:sz w:val="21"/>
          <w:szCs w:val="21"/>
        </w:rPr>
        <w:t>消防水池储量应满足灭火用量要求</w:t>
      </w:r>
      <w:r>
        <w:rPr>
          <w:rStyle w:val="33"/>
          <w:rFonts w:hint="eastAsia" w:ascii="微软雅黑" w:hAnsi="微软雅黑" w:eastAsia="微软雅黑"/>
          <w:sz w:val="21"/>
          <w:szCs w:val="21"/>
          <w:lang w:eastAsia="zh-CN"/>
        </w:rPr>
        <w:t>，</w:t>
      </w:r>
      <w:r>
        <w:rPr>
          <w:rStyle w:val="33"/>
          <w:rFonts w:ascii="微软雅黑" w:hAnsi="微软雅黑" w:eastAsia="微软雅黑"/>
          <w:sz w:val="21"/>
          <w:szCs w:val="21"/>
        </w:rPr>
        <w:t>满足事故发生时应急救援和环境保护处置的要求。</w:t>
      </w:r>
    </w:p>
    <w:p>
      <w:pPr>
        <w:snapToGrid w:val="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三、其他要求</w:t>
      </w:r>
    </w:p>
    <w:p>
      <w:pPr>
        <w:pStyle w:val="197"/>
        <w:snapToGrid w:val="0"/>
        <w:ind w:firstLine="420" w:firstLineChars="200"/>
        <w:rPr>
          <w:rStyle w:val="33"/>
        </w:rPr>
      </w:pPr>
      <w:r>
        <w:rPr>
          <w:rStyle w:val="33"/>
          <w:rFonts w:ascii="微软雅黑" w:hAnsi="微软雅黑" w:eastAsia="微软雅黑"/>
          <w:sz w:val="21"/>
          <w:szCs w:val="21"/>
        </w:rPr>
        <w:t>建站有效期为</w:t>
      </w:r>
      <w:r>
        <w:rPr>
          <w:rStyle w:val="33"/>
          <w:rFonts w:hint="eastAsia" w:ascii="微软雅黑" w:hAnsi="微软雅黑" w:eastAsia="微软雅黑"/>
          <w:sz w:val="21"/>
          <w:szCs w:val="21"/>
        </w:rPr>
        <w:t>12</w:t>
      </w:r>
      <w:r>
        <w:rPr>
          <w:rStyle w:val="33"/>
          <w:rFonts w:ascii="微软雅黑" w:hAnsi="微软雅黑" w:eastAsia="微软雅黑"/>
          <w:sz w:val="21"/>
          <w:szCs w:val="21"/>
        </w:rPr>
        <w:t>个月，分装站中标企业必须在有效期内办理前期手续并建站，非企业自身原因未能在有效期内完成建设手续办理者，可向县经信委申请延期</w:t>
      </w:r>
      <w:r>
        <w:rPr>
          <w:rStyle w:val="33"/>
          <w:rFonts w:hint="eastAsia" w:ascii="微软雅黑" w:hAnsi="微软雅黑" w:eastAsia="微软雅黑"/>
          <w:sz w:val="21"/>
          <w:szCs w:val="21"/>
        </w:rPr>
        <w:t>3</w:t>
      </w:r>
      <w:r>
        <w:rPr>
          <w:rStyle w:val="33"/>
          <w:rFonts w:ascii="微软雅黑" w:hAnsi="微软雅黑" w:eastAsia="微软雅黑"/>
          <w:sz w:val="21"/>
          <w:szCs w:val="21"/>
        </w:rPr>
        <w:t>个月，延期期满后，仍未完成建站手续办理的，依法取消其建站资格；投标人必须在分装站建设期间，完成一切前期准备工作，待分装站建设投产后投入运营。</w:t>
      </w:r>
    </w:p>
    <w:p>
      <w:pPr>
        <w:pStyle w:val="24"/>
        <w:spacing w:before="192" w:after="0" w:line="360" w:lineRule="auto"/>
        <w:rPr>
          <w:rStyle w:val="33"/>
          <w:rFonts w:ascii="宋体" w:hAnsi="宋体" w:eastAsia="宋体"/>
          <w:b/>
          <w:color w:val="000000"/>
          <w:szCs w:val="22"/>
        </w:rPr>
      </w:pPr>
      <w:r>
        <w:rPr>
          <w:rStyle w:val="33"/>
          <w:rFonts w:ascii="宋体" w:hAnsi="宋体" w:eastAsia="宋体"/>
          <w:b/>
          <w:color w:val="000000"/>
          <w:szCs w:val="22"/>
        </w:rPr>
        <w:t>第三章  商务要求</w:t>
      </w:r>
    </w:p>
    <w:p>
      <w:pPr>
        <w:pStyle w:val="25"/>
        <w:spacing w:line="400" w:lineRule="atLeast"/>
        <w:ind w:firstLine="420" w:firstLineChars="200"/>
        <w:rPr>
          <w:rStyle w:val="33"/>
          <w:rFonts w:ascii="微软雅黑" w:hAnsi="微软雅黑" w:eastAsia="微软雅黑"/>
          <w:b/>
          <w:color w:val="000000"/>
          <w:sz w:val="21"/>
          <w:szCs w:val="21"/>
        </w:rPr>
      </w:pPr>
      <w:r>
        <w:rPr>
          <w:rStyle w:val="33"/>
          <w:rFonts w:ascii="微软雅黑" w:hAnsi="微软雅黑" w:eastAsia="微软雅黑"/>
          <w:color w:val="000000"/>
          <w:kern w:val="0"/>
          <w:sz w:val="21"/>
          <w:szCs w:val="21"/>
        </w:rPr>
        <w:t>投标人应提供以下关于项目实施的商务文件，内容应符合国家和重庆市的相关法律法规，真实有效。商务文件应确保民用醇基液体燃料分装站的建设能够顺利实施，建成后的场站管理运营需安全、科学、合理。</w:t>
      </w:r>
    </w:p>
    <w:p>
      <w:pPr>
        <w:pStyle w:val="25"/>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一、</w:t>
      </w:r>
      <w:r>
        <w:rPr>
          <w:rStyle w:val="33"/>
          <w:rFonts w:hint="eastAsia" w:ascii="微软雅黑" w:hAnsi="微软雅黑" w:eastAsia="微软雅黑" w:cs="微软雅黑"/>
          <w:bCs/>
          <w:color w:val="000000"/>
          <w:szCs w:val="28"/>
        </w:rPr>
        <w:t>投标人</w:t>
      </w:r>
      <w:r>
        <w:rPr>
          <w:rStyle w:val="33"/>
          <w:rFonts w:ascii="微软雅黑" w:hAnsi="微软雅黑" w:eastAsia="微软雅黑" w:cs="微软雅黑"/>
          <w:bCs/>
          <w:color w:val="000000"/>
          <w:szCs w:val="28"/>
        </w:rPr>
        <w:t>实力</w:t>
      </w:r>
    </w:p>
    <w:p>
      <w:pPr>
        <w:pStyle w:val="25"/>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投标人应具有工商业实体，注册资金真实可信，</w:t>
      </w:r>
      <w:r>
        <w:rPr>
          <w:rStyle w:val="33"/>
          <w:rFonts w:hint="eastAsia" w:ascii="微软雅黑" w:hAnsi="微软雅黑" w:eastAsia="微软雅黑"/>
          <w:color w:val="000000"/>
          <w:kern w:val="0"/>
          <w:sz w:val="21"/>
          <w:szCs w:val="21"/>
        </w:rPr>
        <w:t>联合投标不累计，</w:t>
      </w:r>
      <w:r>
        <w:rPr>
          <w:rStyle w:val="33"/>
          <w:rFonts w:ascii="微软雅黑" w:hAnsi="微软雅黑" w:eastAsia="微软雅黑"/>
          <w:color w:val="000000"/>
          <w:kern w:val="0"/>
          <w:sz w:val="21"/>
          <w:szCs w:val="21"/>
        </w:rPr>
        <w:t>企</w:t>
      </w:r>
      <w:r>
        <w:rPr>
          <w:rStyle w:val="33"/>
          <w:rFonts w:ascii="微软雅黑" w:hAnsi="微软雅黑" w:eastAsia="微软雅黑"/>
          <w:color w:val="000000"/>
          <w:sz w:val="21"/>
          <w:szCs w:val="21"/>
        </w:rPr>
        <w:t>业在《关于加强民用醇基液体燃料储配（分装）站经营企业招投标管理的通知》（渝经信油气〔2021〕9号）文件（以下简称通知）下发后进行</w:t>
      </w:r>
      <w:r>
        <w:rPr>
          <w:rStyle w:val="33"/>
          <w:rFonts w:hint="eastAsia" w:ascii="微软雅黑" w:hAnsi="微软雅黑" w:eastAsia="微软雅黑"/>
          <w:color w:val="000000"/>
          <w:sz w:val="21"/>
          <w:szCs w:val="21"/>
        </w:rPr>
        <w:t>注册、</w:t>
      </w:r>
      <w:r>
        <w:rPr>
          <w:rStyle w:val="33"/>
          <w:rFonts w:ascii="微软雅黑" w:hAnsi="微软雅黑" w:eastAsia="微软雅黑"/>
          <w:color w:val="000000"/>
          <w:sz w:val="21"/>
          <w:szCs w:val="21"/>
        </w:rPr>
        <w:t>增资或修改的视为无效</w:t>
      </w:r>
      <w:r>
        <w:rPr>
          <w:rStyle w:val="33"/>
          <w:rFonts w:ascii="微软雅黑" w:hAnsi="微软雅黑" w:eastAsia="微软雅黑"/>
          <w:color w:val="000000"/>
          <w:kern w:val="0"/>
          <w:sz w:val="21"/>
          <w:szCs w:val="21"/>
        </w:rPr>
        <w:t>)。资金支付能力应满足重庆市民用醇基液体燃料分装站建设的实际需求。评标委员会将根据投标人的具体实力进行评价。</w:t>
      </w:r>
    </w:p>
    <w:p>
      <w:pPr>
        <w:pStyle w:val="25"/>
        <w:spacing w:line="400" w:lineRule="atLeast"/>
        <w:ind w:firstLine="420" w:firstLineChars="200"/>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二、从业经历</w:t>
      </w:r>
    </w:p>
    <w:p>
      <w:pPr>
        <w:pStyle w:val="25"/>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民用醇基液体燃料属于危化品范畴，投标人或其项目组成员应具有一定的行业从业经验及其相关能力素质。</w:t>
      </w:r>
    </w:p>
    <w:p>
      <w:pPr>
        <w:pStyle w:val="25"/>
        <w:spacing w:line="400" w:lineRule="atLeast"/>
        <w:ind w:firstLine="420" w:firstLineChars="200"/>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三、投资业绩</w:t>
      </w:r>
    </w:p>
    <w:p>
      <w:pPr>
        <w:pStyle w:val="25"/>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民用醇基液体燃料分装站建设为新项目，投标人在</w:t>
      </w:r>
      <w:r>
        <w:rPr>
          <w:rStyle w:val="33"/>
          <w:rFonts w:hint="eastAsia" w:ascii="微软雅黑" w:hAnsi="微软雅黑" w:eastAsia="微软雅黑"/>
          <w:color w:val="000000"/>
          <w:kern w:val="0"/>
          <w:sz w:val="21"/>
          <w:szCs w:val="21"/>
        </w:rPr>
        <w:t>本县或</w:t>
      </w:r>
      <w:r>
        <w:rPr>
          <w:rStyle w:val="33"/>
          <w:rFonts w:ascii="微软雅黑" w:hAnsi="微软雅黑" w:eastAsia="微软雅黑"/>
          <w:color w:val="000000"/>
          <w:kern w:val="0"/>
          <w:sz w:val="21"/>
          <w:szCs w:val="21"/>
        </w:rPr>
        <w:t>其他</w:t>
      </w:r>
      <w:r>
        <w:rPr>
          <w:rStyle w:val="33"/>
          <w:rFonts w:hint="eastAsia" w:ascii="微软雅黑" w:hAnsi="微软雅黑" w:eastAsia="微软雅黑"/>
          <w:color w:val="000000"/>
          <w:kern w:val="0"/>
          <w:sz w:val="21"/>
          <w:szCs w:val="21"/>
        </w:rPr>
        <w:t>区</w:t>
      </w:r>
      <w:r>
        <w:rPr>
          <w:rStyle w:val="33"/>
          <w:rFonts w:ascii="微软雅黑" w:hAnsi="微软雅黑" w:eastAsia="微软雅黑"/>
          <w:color w:val="000000"/>
          <w:kern w:val="0"/>
          <w:sz w:val="21"/>
          <w:szCs w:val="21"/>
        </w:rPr>
        <w:t>域有燃气或危化品项目投资建设的经验。</w:t>
      </w:r>
    </w:p>
    <w:p>
      <w:pPr>
        <w:pStyle w:val="25"/>
        <w:spacing w:line="400" w:lineRule="atLeast"/>
        <w:ind w:firstLine="420" w:firstLineChars="200"/>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四、本地服务</w:t>
      </w:r>
    </w:p>
    <w:p>
      <w:pPr>
        <w:pStyle w:val="25"/>
        <w:spacing w:line="400" w:lineRule="atLeast"/>
        <w:ind w:firstLine="420" w:firstLineChars="200"/>
        <w:rPr>
          <w:rStyle w:val="33"/>
          <w:rFonts w:ascii="微软雅黑" w:hAnsi="微软雅黑" w:eastAsia="微软雅黑"/>
          <w:sz w:val="21"/>
          <w:szCs w:val="21"/>
        </w:rPr>
      </w:pPr>
      <w:r>
        <w:rPr>
          <w:rStyle w:val="33"/>
          <w:rFonts w:ascii="微软雅黑" w:hAnsi="微软雅黑" w:eastAsia="微软雅黑"/>
          <w:color w:val="000000"/>
          <w:kern w:val="0"/>
          <w:sz w:val="21"/>
          <w:szCs w:val="21"/>
        </w:rPr>
        <w:t>投标人中标后应组建本地服务机构，项目建设完成后能为本地醇基燃料用户服务。</w:t>
      </w:r>
    </w:p>
    <w:p>
      <w:pPr>
        <w:pStyle w:val="25"/>
        <w:spacing w:line="400" w:lineRule="atLeast"/>
        <w:ind w:firstLine="420" w:firstLineChars="200"/>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五、专业团队</w:t>
      </w:r>
    </w:p>
    <w:p>
      <w:pPr>
        <w:pStyle w:val="25"/>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项目建设与运营涉及工程建设、工程安装、质量安全管理、危化品经营管理等各方面的人才。投标人应组建专业团队进行建设和经营，提高项目的可实施性。</w:t>
      </w:r>
    </w:p>
    <w:p>
      <w:pPr>
        <w:pStyle w:val="25"/>
        <w:spacing w:line="400" w:lineRule="atLeast"/>
        <w:ind w:firstLine="420" w:firstLineChars="200"/>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 xml:space="preserve">六、其他商务要求内容 </w:t>
      </w:r>
    </w:p>
    <w:p>
      <w:pPr>
        <w:pStyle w:val="25"/>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1.投标人必须在商务文件中对以上条款和服务承诺明确列出，承诺内容必须达到本及招标文件其他条款的要求。</w:t>
      </w:r>
    </w:p>
    <w:p>
      <w:pPr>
        <w:pStyle w:val="25"/>
        <w:spacing w:line="400" w:lineRule="atLeast"/>
        <w:ind w:firstLine="420" w:firstLineChars="200"/>
        <w:rPr>
          <w:rStyle w:val="33"/>
          <w:b/>
          <w:color w:val="000000"/>
          <w:szCs w:val="22"/>
        </w:rPr>
      </w:pPr>
      <w:r>
        <w:rPr>
          <w:rStyle w:val="33"/>
          <w:rFonts w:ascii="微软雅黑" w:hAnsi="微软雅黑" w:eastAsia="微软雅黑"/>
          <w:color w:val="000000"/>
          <w:kern w:val="0"/>
          <w:sz w:val="21"/>
          <w:szCs w:val="21"/>
        </w:rPr>
        <w:t>2.其他未尽事宜由招投标双方在授权经营合同中详细约定。</w:t>
      </w:r>
      <w:r>
        <w:rPr>
          <w:rStyle w:val="33"/>
          <w:rFonts w:ascii="微软雅黑" w:hAnsi="微软雅黑" w:eastAsia="微软雅黑"/>
          <w:b/>
          <w:color w:val="000000"/>
          <w:sz w:val="21"/>
          <w:szCs w:val="21"/>
        </w:rPr>
        <w:tab/>
      </w:r>
    </w:p>
    <w:p>
      <w:pPr>
        <w:pStyle w:val="24"/>
        <w:spacing w:before="0" w:after="0" w:line="360" w:lineRule="auto"/>
        <w:ind w:firstLine="2650" w:firstLineChars="600"/>
        <w:jc w:val="both"/>
        <w:rPr>
          <w:rStyle w:val="33"/>
          <w:rFonts w:ascii="宋体" w:hAnsi="宋体" w:eastAsia="宋体"/>
          <w:b/>
          <w:color w:val="000000"/>
          <w:szCs w:val="22"/>
        </w:rPr>
      </w:pPr>
    </w:p>
    <w:p>
      <w:pPr>
        <w:pStyle w:val="24"/>
        <w:spacing w:before="0" w:after="0" w:line="360" w:lineRule="auto"/>
        <w:ind w:firstLine="2650" w:firstLineChars="600"/>
        <w:jc w:val="both"/>
        <w:rPr>
          <w:rStyle w:val="33"/>
          <w:rFonts w:ascii="宋体" w:hAnsi="宋体" w:eastAsia="宋体"/>
          <w:b/>
          <w:color w:val="000000"/>
          <w:szCs w:val="22"/>
        </w:rPr>
      </w:pPr>
    </w:p>
    <w:p>
      <w:pPr>
        <w:pStyle w:val="24"/>
        <w:spacing w:before="0" w:after="0" w:line="360" w:lineRule="auto"/>
        <w:ind w:firstLine="2650" w:firstLineChars="600"/>
        <w:jc w:val="both"/>
        <w:rPr>
          <w:rStyle w:val="33"/>
          <w:rFonts w:ascii="宋体" w:hAnsi="宋体" w:eastAsia="宋体"/>
          <w:b/>
          <w:color w:val="000000"/>
          <w:szCs w:val="22"/>
        </w:rPr>
      </w:pPr>
    </w:p>
    <w:p>
      <w:pPr>
        <w:pStyle w:val="24"/>
        <w:spacing w:before="0" w:after="0" w:line="360" w:lineRule="auto"/>
        <w:ind w:firstLine="2650" w:firstLineChars="600"/>
        <w:jc w:val="both"/>
        <w:rPr>
          <w:rStyle w:val="33"/>
          <w:rFonts w:ascii="宋体" w:hAnsi="宋体" w:eastAsia="宋体"/>
          <w:b/>
          <w:color w:val="000000"/>
        </w:rPr>
      </w:pPr>
      <w:r>
        <w:rPr>
          <w:rStyle w:val="33"/>
          <w:rFonts w:ascii="宋体" w:hAnsi="宋体" w:eastAsia="宋体"/>
          <w:b/>
          <w:color w:val="000000"/>
          <w:szCs w:val="22"/>
        </w:rPr>
        <w:t>第四章  项目技术要求</w:t>
      </w:r>
    </w:p>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投标人应提供以下关于项目实施的技术文件，内容应符合国家和重庆市的相关法律法规，要求具有针对性，应符合民用醇基液体燃料的特性，应科学、合理，具备可操作性。</w:t>
      </w:r>
    </w:p>
    <w:p>
      <w:pPr>
        <w:snapToGrid w:val="0"/>
        <w:spacing w:line="360" w:lineRule="auto"/>
        <w:jc w:val="left"/>
        <w:textAlignment w:val="center"/>
        <w:rPr>
          <w:rStyle w:val="33"/>
          <w:rFonts w:ascii="微软雅黑" w:hAnsi="微软雅黑" w:eastAsia="微软雅黑" w:cs="微软雅黑"/>
          <w:bCs/>
          <w:color w:val="000000"/>
          <w:szCs w:val="28"/>
        </w:rPr>
      </w:pPr>
      <w:r>
        <w:rPr>
          <w:rStyle w:val="33"/>
          <w:rFonts w:hint="eastAsia" w:ascii="微软雅黑" w:hAnsi="微软雅黑" w:eastAsia="微软雅黑" w:cs="微软雅黑"/>
          <w:bCs/>
          <w:color w:val="000000"/>
          <w:szCs w:val="28"/>
        </w:rPr>
        <w:t>一、</w:t>
      </w:r>
      <w:r>
        <w:rPr>
          <w:rStyle w:val="33"/>
          <w:rFonts w:ascii="微软雅黑" w:hAnsi="微软雅黑" w:eastAsia="微软雅黑" w:cs="微软雅黑"/>
          <w:bCs/>
          <w:color w:val="000000"/>
          <w:szCs w:val="28"/>
        </w:rPr>
        <w:t>项目实施条件</w:t>
      </w:r>
    </w:p>
    <w:p>
      <w:pPr>
        <w:snapToGrid w:val="0"/>
        <w:spacing w:line="360" w:lineRule="auto"/>
        <w:ind w:firstLine="420" w:firstLineChars="200"/>
        <w:jc w:val="left"/>
        <w:textAlignment w:val="center"/>
        <w:rPr>
          <w:rStyle w:val="33"/>
          <w:rFonts w:ascii="微软雅黑" w:hAnsi="微软雅黑" w:eastAsia="微软雅黑"/>
          <w:color w:val="000000"/>
          <w:kern w:val="0"/>
          <w:sz w:val="21"/>
          <w:szCs w:val="21"/>
        </w:rPr>
      </w:pPr>
      <w:r>
        <w:rPr>
          <w:rStyle w:val="33"/>
          <w:rFonts w:hint="eastAsia" w:ascii="微软雅黑" w:hAnsi="微软雅黑" w:eastAsia="微软雅黑"/>
          <w:color w:val="000000"/>
          <w:kern w:val="0"/>
          <w:sz w:val="21"/>
          <w:szCs w:val="21"/>
        </w:rPr>
        <w:t>1.</w:t>
      </w:r>
      <w:r>
        <w:rPr>
          <w:rStyle w:val="33"/>
          <w:rFonts w:ascii="微软雅黑" w:hAnsi="微软雅黑" w:eastAsia="微软雅黑"/>
          <w:color w:val="000000"/>
          <w:kern w:val="0"/>
          <w:sz w:val="21"/>
          <w:szCs w:val="21"/>
        </w:rPr>
        <w:t>原有</w:t>
      </w:r>
      <w:r>
        <w:rPr>
          <w:rStyle w:val="33"/>
          <w:rFonts w:hint="eastAsia" w:ascii="微软雅黑" w:hAnsi="微软雅黑" w:eastAsia="微软雅黑"/>
          <w:color w:val="000000"/>
          <w:kern w:val="0"/>
          <w:sz w:val="21"/>
          <w:szCs w:val="21"/>
        </w:rPr>
        <w:t>液化石油气（二甲醚）</w:t>
      </w:r>
      <w:r>
        <w:rPr>
          <w:rStyle w:val="33"/>
          <w:rFonts w:ascii="微软雅黑" w:hAnsi="微软雅黑" w:eastAsia="微软雅黑"/>
          <w:color w:val="000000"/>
          <w:kern w:val="0"/>
          <w:sz w:val="21"/>
          <w:szCs w:val="21"/>
        </w:rPr>
        <w:t>充装站就地改建的投标人，提供原有充装站相关手续、</w:t>
      </w:r>
      <w:r>
        <w:rPr>
          <w:rStyle w:val="33"/>
          <w:rFonts w:hint="eastAsia" w:ascii="微软雅黑" w:hAnsi="微软雅黑" w:eastAsia="微软雅黑"/>
          <w:color w:val="000000"/>
          <w:kern w:val="0"/>
          <w:sz w:val="21"/>
          <w:szCs w:val="21"/>
        </w:rPr>
        <w:t>、用地证明、</w:t>
      </w:r>
      <w:r>
        <w:rPr>
          <w:rStyle w:val="33"/>
          <w:rFonts w:ascii="微软雅黑" w:hAnsi="微软雅黑" w:eastAsia="微软雅黑"/>
          <w:color w:val="000000"/>
          <w:kern w:val="0"/>
          <w:sz w:val="21"/>
          <w:szCs w:val="21"/>
        </w:rPr>
        <w:t>原平面布置图和</w:t>
      </w:r>
      <w:r>
        <w:rPr>
          <w:rStyle w:val="33"/>
          <w:rFonts w:hint="eastAsia" w:ascii="微软雅黑" w:hAnsi="微软雅黑" w:eastAsia="微软雅黑"/>
          <w:color w:val="000000"/>
          <w:kern w:val="0"/>
          <w:sz w:val="21"/>
          <w:szCs w:val="21"/>
        </w:rPr>
        <w:t>拟</w:t>
      </w:r>
      <w:r>
        <w:rPr>
          <w:rStyle w:val="33"/>
          <w:rFonts w:ascii="微软雅黑" w:hAnsi="微软雅黑" w:eastAsia="微软雅黑"/>
          <w:color w:val="000000"/>
          <w:kern w:val="0"/>
          <w:sz w:val="21"/>
          <w:szCs w:val="21"/>
        </w:rPr>
        <w:t>改建方案</w:t>
      </w:r>
      <w:r>
        <w:rPr>
          <w:rStyle w:val="33"/>
          <w:rFonts w:hint="eastAsia" w:ascii="微软雅黑" w:hAnsi="微软雅黑" w:eastAsia="微软雅黑"/>
          <w:color w:val="000000"/>
          <w:kern w:val="0"/>
          <w:sz w:val="21"/>
          <w:szCs w:val="21"/>
        </w:rPr>
        <w:t>，地块必须有充足的预留面积，且符合醇基燃料建设要求</w:t>
      </w:r>
      <w:r>
        <w:rPr>
          <w:rStyle w:val="33"/>
          <w:rFonts w:ascii="微软雅黑" w:hAnsi="微软雅黑" w:eastAsia="微软雅黑"/>
          <w:color w:val="000000"/>
          <w:kern w:val="0"/>
          <w:sz w:val="21"/>
          <w:szCs w:val="21"/>
        </w:rPr>
        <w:t>；</w:t>
      </w:r>
    </w:p>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hint="eastAsia" w:ascii="微软雅黑" w:hAnsi="微软雅黑" w:eastAsia="微软雅黑"/>
          <w:color w:val="000000"/>
          <w:kern w:val="0"/>
          <w:sz w:val="21"/>
          <w:szCs w:val="21"/>
        </w:rPr>
        <w:t>2.租赁用地的，需提供租赁证明文件（村组同意、村民委员会盖章）。</w:t>
      </w:r>
    </w:p>
    <w:p>
      <w:pPr>
        <w:snapToGrid w:val="0"/>
        <w:spacing w:line="360" w:lineRule="auto"/>
        <w:jc w:val="left"/>
        <w:textAlignment w:val="center"/>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二、项目建设方案</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1.</w:t>
      </w:r>
      <w:r>
        <w:rPr>
          <w:rStyle w:val="33"/>
          <w:rFonts w:ascii="微软雅黑" w:hAnsi="微软雅黑" w:eastAsia="微软雅黑"/>
          <w:color w:val="000000"/>
          <w:sz w:val="21"/>
          <w:szCs w:val="21"/>
        </w:rPr>
        <w:t>项目建设简介，参与人员情况，项目建设目标、规模、周期、内容、计划；</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2.</w:t>
      </w:r>
      <w:r>
        <w:rPr>
          <w:rStyle w:val="33"/>
          <w:rFonts w:ascii="微软雅黑" w:hAnsi="微软雅黑" w:eastAsia="微软雅黑"/>
          <w:color w:val="000000"/>
          <w:sz w:val="21"/>
          <w:szCs w:val="21"/>
        </w:rPr>
        <w:t>项目的资金筹措方案；</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3.</w:t>
      </w:r>
      <w:r>
        <w:rPr>
          <w:rStyle w:val="33"/>
          <w:rFonts w:ascii="微软雅黑" w:hAnsi="微软雅黑" w:eastAsia="微软雅黑"/>
          <w:color w:val="000000"/>
          <w:sz w:val="21"/>
          <w:szCs w:val="21"/>
        </w:rPr>
        <w:t>拟采用的技术和工艺路线；</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4.</w:t>
      </w:r>
      <w:r>
        <w:rPr>
          <w:rStyle w:val="33"/>
          <w:rFonts w:ascii="微软雅黑" w:hAnsi="微软雅黑" w:eastAsia="微软雅黑"/>
          <w:color w:val="000000"/>
          <w:sz w:val="21"/>
          <w:szCs w:val="21"/>
        </w:rPr>
        <w:t>总平面布置和拟采用的设备、设施；</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5.</w:t>
      </w:r>
      <w:r>
        <w:rPr>
          <w:rStyle w:val="33"/>
          <w:rFonts w:ascii="微软雅黑" w:hAnsi="微软雅黑" w:eastAsia="微软雅黑"/>
          <w:color w:val="000000"/>
          <w:sz w:val="21"/>
          <w:szCs w:val="21"/>
        </w:rPr>
        <w:t>项目筹建阶段的质量控制措施。</w:t>
      </w:r>
    </w:p>
    <w:p>
      <w:pPr>
        <w:snapToGrid w:val="0"/>
        <w:spacing w:line="360" w:lineRule="auto"/>
        <w:jc w:val="left"/>
        <w:textAlignment w:val="center"/>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三、项目组织实施方案</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1.</w:t>
      </w:r>
      <w:r>
        <w:rPr>
          <w:rStyle w:val="33"/>
          <w:rFonts w:ascii="微软雅黑" w:hAnsi="微软雅黑" w:eastAsia="微软雅黑"/>
          <w:color w:val="000000"/>
          <w:sz w:val="21"/>
          <w:szCs w:val="21"/>
        </w:rPr>
        <w:t>项目建设实施的组织构成；</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2.</w:t>
      </w:r>
      <w:r>
        <w:rPr>
          <w:rStyle w:val="33"/>
          <w:rFonts w:ascii="微软雅黑" w:hAnsi="微软雅黑" w:eastAsia="微软雅黑"/>
          <w:color w:val="000000"/>
          <w:sz w:val="21"/>
          <w:szCs w:val="21"/>
        </w:rPr>
        <w:t>项目实施进度计划；</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3.</w:t>
      </w:r>
      <w:r>
        <w:rPr>
          <w:rStyle w:val="33"/>
          <w:rFonts w:ascii="微软雅黑" w:hAnsi="微软雅黑" w:eastAsia="微软雅黑"/>
          <w:color w:val="000000"/>
          <w:sz w:val="21"/>
          <w:szCs w:val="21"/>
        </w:rPr>
        <w:t>项目管理流程及相关制度；</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4.</w:t>
      </w:r>
      <w:r>
        <w:rPr>
          <w:rStyle w:val="33"/>
          <w:rFonts w:ascii="微软雅黑" w:hAnsi="微软雅黑" w:eastAsia="微软雅黑"/>
          <w:color w:val="000000"/>
          <w:sz w:val="21"/>
          <w:szCs w:val="21"/>
        </w:rPr>
        <w:t>项目实施阶段的质量、控制措施。</w:t>
      </w:r>
    </w:p>
    <w:p>
      <w:pPr>
        <w:snapToGrid w:val="0"/>
        <w:spacing w:line="360" w:lineRule="auto"/>
        <w:jc w:val="left"/>
        <w:textAlignment w:val="center"/>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四、项目运营的质量保证体系文件</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1.</w:t>
      </w:r>
      <w:r>
        <w:rPr>
          <w:rStyle w:val="33"/>
          <w:rFonts w:ascii="微软雅黑" w:hAnsi="微软雅黑" w:eastAsia="微软雅黑"/>
          <w:color w:val="000000"/>
          <w:sz w:val="21"/>
          <w:szCs w:val="21"/>
        </w:rPr>
        <w:t>质量保证体系文件的格式和内容应符合国家相关规范的要求；</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2.</w:t>
      </w:r>
      <w:r>
        <w:rPr>
          <w:rStyle w:val="33"/>
          <w:rFonts w:ascii="微软雅黑" w:hAnsi="微软雅黑" w:eastAsia="微软雅黑"/>
          <w:color w:val="000000"/>
          <w:sz w:val="21"/>
          <w:szCs w:val="21"/>
        </w:rPr>
        <w:t>质量保证体系的组织机构设置；</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3.</w:t>
      </w:r>
      <w:r>
        <w:rPr>
          <w:rStyle w:val="33"/>
          <w:rFonts w:ascii="微软雅黑" w:hAnsi="微软雅黑" w:eastAsia="微软雅黑"/>
          <w:color w:val="000000"/>
          <w:sz w:val="21"/>
          <w:szCs w:val="21"/>
        </w:rPr>
        <w:t>质量保证体系的管理文件；</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4.</w:t>
      </w:r>
      <w:r>
        <w:rPr>
          <w:rStyle w:val="33"/>
          <w:rFonts w:ascii="微软雅黑" w:hAnsi="微软雅黑" w:eastAsia="微软雅黑"/>
          <w:color w:val="000000"/>
          <w:sz w:val="21"/>
          <w:szCs w:val="21"/>
        </w:rPr>
        <w:t>质量保证体系的程序文件；</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5.</w:t>
      </w:r>
      <w:r>
        <w:rPr>
          <w:rStyle w:val="33"/>
          <w:rFonts w:ascii="微软雅黑" w:hAnsi="微软雅黑" w:eastAsia="微软雅黑"/>
          <w:color w:val="000000"/>
          <w:sz w:val="21"/>
          <w:szCs w:val="21"/>
        </w:rPr>
        <w:t>质量保证体系的记录文件。</w:t>
      </w:r>
    </w:p>
    <w:p>
      <w:pPr>
        <w:snapToGrid w:val="0"/>
        <w:spacing w:line="360" w:lineRule="auto"/>
        <w:jc w:val="left"/>
        <w:textAlignment w:val="center"/>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五、营运阶段的服务体系文件</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1.</w:t>
      </w:r>
      <w:r>
        <w:rPr>
          <w:rStyle w:val="33"/>
          <w:rFonts w:ascii="微软雅黑" w:hAnsi="微软雅黑" w:eastAsia="微软雅黑"/>
          <w:color w:val="000000"/>
          <w:sz w:val="21"/>
          <w:szCs w:val="21"/>
        </w:rPr>
        <w:t>服务体系的组织机构和人员设置；</w:t>
      </w:r>
    </w:p>
    <w:p>
      <w:pPr>
        <w:pStyle w:val="197"/>
        <w:snapToGrid w:val="0"/>
        <w:ind w:left="560" w:leftChars="200"/>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2.</w:t>
      </w:r>
      <w:r>
        <w:rPr>
          <w:rStyle w:val="33"/>
          <w:rFonts w:ascii="微软雅黑" w:hAnsi="微软雅黑" w:eastAsia="微软雅黑"/>
          <w:color w:val="000000"/>
          <w:sz w:val="21"/>
          <w:szCs w:val="21"/>
        </w:rPr>
        <w:t>服务体系设施、设备的配备；</w:t>
      </w:r>
    </w:p>
    <w:p>
      <w:pPr>
        <w:pStyle w:val="197"/>
        <w:snapToGrid w:val="0"/>
        <w:ind w:left="560" w:leftChars="200"/>
        <w:rPr>
          <w:rStyle w:val="33"/>
          <w:rFonts w:ascii="宋体" w:hAnsi="宋体"/>
          <w:b/>
          <w:color w:val="000000"/>
          <w:kern w:val="2"/>
          <w:sz w:val="44"/>
          <w:szCs w:val="22"/>
        </w:rPr>
      </w:pPr>
      <w:r>
        <w:rPr>
          <w:rStyle w:val="33"/>
          <w:rFonts w:hint="eastAsia" w:ascii="微软雅黑" w:hAnsi="微软雅黑" w:eastAsia="微软雅黑"/>
          <w:color w:val="000000"/>
          <w:sz w:val="21"/>
          <w:szCs w:val="21"/>
        </w:rPr>
        <w:t>3.</w:t>
      </w:r>
      <w:r>
        <w:rPr>
          <w:rStyle w:val="33"/>
          <w:rFonts w:ascii="微软雅黑" w:hAnsi="微软雅黑" w:eastAsia="微软雅黑"/>
          <w:color w:val="000000"/>
          <w:sz w:val="21"/>
          <w:szCs w:val="21"/>
        </w:rPr>
        <w:t>服务体系的管理文件。</w:t>
      </w: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ind w:firstLine="1325" w:firstLineChars="300"/>
        <w:rPr>
          <w:rStyle w:val="33"/>
          <w:rFonts w:ascii="宋体" w:hAnsi="宋体"/>
          <w:b/>
          <w:color w:val="000000"/>
          <w:kern w:val="2"/>
          <w:sz w:val="44"/>
          <w:szCs w:val="22"/>
        </w:rPr>
      </w:pPr>
    </w:p>
    <w:p>
      <w:pPr>
        <w:pStyle w:val="197"/>
        <w:snapToGrid w:val="0"/>
        <w:jc w:val="center"/>
        <w:rPr>
          <w:rStyle w:val="33"/>
          <w:rFonts w:ascii="宋体" w:hAnsi="宋体"/>
          <w:b/>
          <w:color w:val="000000"/>
        </w:rPr>
      </w:pPr>
      <w:r>
        <w:rPr>
          <w:rStyle w:val="33"/>
          <w:rFonts w:ascii="宋体" w:hAnsi="宋体"/>
          <w:b/>
          <w:color w:val="000000"/>
          <w:kern w:val="2"/>
          <w:sz w:val="44"/>
          <w:szCs w:val="22"/>
        </w:rPr>
        <w:t>第五章  资格审查及评标办法</w:t>
      </w:r>
    </w:p>
    <w:p>
      <w:pPr>
        <w:pStyle w:val="25"/>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一、资格审查</w:t>
      </w:r>
    </w:p>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由招标人负责对资格审查文件进行审查。资格审查资料表如下：</w:t>
      </w:r>
    </w:p>
    <w:tbl>
      <w:tblPr>
        <w:tblStyle w:val="18"/>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1307"/>
        <w:gridCol w:w="3361"/>
        <w:gridCol w:w="4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b/>
                <w:color w:val="000000"/>
                <w:kern w:val="0"/>
                <w:sz w:val="21"/>
                <w:szCs w:val="21"/>
              </w:rPr>
            </w:pPr>
            <w:r>
              <w:rPr>
                <w:rStyle w:val="33"/>
                <w:rFonts w:ascii="微软雅黑" w:hAnsi="微软雅黑" w:eastAsia="微软雅黑" w:cs="Times New Roman"/>
                <w:b/>
                <w:color w:val="000000"/>
                <w:kern w:val="0"/>
                <w:sz w:val="21"/>
                <w:szCs w:val="21"/>
              </w:rPr>
              <w:t>序号</w:t>
            </w:r>
          </w:p>
        </w:tc>
        <w:tc>
          <w:tcPr>
            <w:tcW w:w="466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b/>
                <w:color w:val="000000"/>
                <w:kern w:val="0"/>
                <w:sz w:val="21"/>
                <w:szCs w:val="21"/>
              </w:rPr>
            </w:pPr>
            <w:r>
              <w:rPr>
                <w:rStyle w:val="33"/>
                <w:rFonts w:ascii="微软雅黑" w:hAnsi="微软雅黑" w:eastAsia="微软雅黑" w:cs="Times New Roman"/>
                <w:b/>
                <w:color w:val="000000"/>
                <w:kern w:val="0"/>
                <w:sz w:val="21"/>
                <w:szCs w:val="21"/>
              </w:rPr>
              <w:t>检查因素</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b/>
                <w:color w:val="000000"/>
                <w:kern w:val="0"/>
                <w:sz w:val="21"/>
                <w:szCs w:val="21"/>
              </w:rPr>
            </w:pPr>
            <w:r>
              <w:rPr>
                <w:rStyle w:val="33"/>
                <w:rFonts w:ascii="微软雅黑" w:hAnsi="微软雅黑" w:eastAsia="微软雅黑" w:cs="Times New Roman"/>
                <w:b/>
                <w:color w:val="000000"/>
                <w:kern w:val="0"/>
                <w:sz w:val="21"/>
                <w:szCs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1</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lang w:val="zh-CN"/>
              </w:rPr>
            </w:pPr>
            <w:r>
              <w:rPr>
                <w:rStyle w:val="33"/>
                <w:rFonts w:ascii="微软雅黑" w:hAnsi="微软雅黑" w:eastAsia="微软雅黑" w:cs="Times New Roman"/>
                <w:color w:val="000000"/>
                <w:sz w:val="21"/>
                <w:szCs w:val="21"/>
                <w:lang w:val="zh-CN"/>
              </w:rPr>
              <w:t>投标人应符合的基本资格条件</w:t>
            </w:r>
          </w:p>
        </w:tc>
        <w:tc>
          <w:tcPr>
            <w:tcW w:w="336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（1）</w:t>
            </w:r>
            <w:r>
              <w:rPr>
                <w:rStyle w:val="33"/>
                <w:rFonts w:hint="eastAsia" w:ascii="微软雅黑" w:hAnsi="微软雅黑" w:eastAsia="微软雅黑" w:cs="Times New Roman"/>
                <w:color w:val="000000"/>
                <w:sz w:val="21"/>
                <w:szCs w:val="21"/>
              </w:rPr>
              <w:t>具有独立承担民事责任的能力</w:t>
            </w:r>
            <w:r>
              <w:rPr>
                <w:rStyle w:val="33"/>
                <w:rFonts w:ascii="微软雅黑" w:hAnsi="微软雅黑" w:eastAsia="微软雅黑" w:cs="Times New Roman"/>
                <w:color w:val="000000"/>
                <w:sz w:val="21"/>
                <w:szCs w:val="21"/>
              </w:rPr>
              <w:t>。</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投标人法人营业执照（副本）或个体工商户营业执照或有效的自然人身份证明（注</w:t>
            </w:r>
            <w:r>
              <w:rPr>
                <w:rStyle w:val="33"/>
                <w:rFonts w:ascii="微软雅黑" w:hAnsi="微软雅黑" w:eastAsia="微软雅黑" w:cs="Times New Roman"/>
                <w:color w:val="000000"/>
                <w:kern w:val="0"/>
                <w:sz w:val="21"/>
                <w:szCs w:val="21"/>
              </w:rPr>
              <w:t>①</w:t>
            </w:r>
            <w:r>
              <w:rPr>
                <w:rStyle w:val="33"/>
                <w:rFonts w:ascii="微软雅黑" w:hAnsi="微软雅黑" w:eastAsia="微软雅黑" w:cs="Times New Roman"/>
                <w:color w:val="000000"/>
                <w:sz w:val="21"/>
                <w:szCs w:val="21"/>
              </w:rPr>
              <w:t xml:space="preserve">）； </w:t>
            </w:r>
          </w:p>
          <w:p>
            <w:pPr>
              <w:snapToGrid w:val="0"/>
              <w:spacing w:line="240" w:lineRule="atLeast"/>
              <w:ind w:firstLine="210" w:firstLineChars="100"/>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投标人法定代表人身份证明和法定代表人授权代表委托书。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color w:val="000000"/>
                <w:sz w:val="21"/>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lang w:val="zh-CN"/>
              </w:rPr>
            </w:pPr>
          </w:p>
        </w:tc>
        <w:tc>
          <w:tcPr>
            <w:tcW w:w="336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lang w:val="zh-CN"/>
              </w:rPr>
              <w:t>（2）</w:t>
            </w:r>
            <w:r>
              <w:rPr>
                <w:rStyle w:val="33"/>
                <w:rFonts w:ascii="微软雅黑" w:hAnsi="微软雅黑" w:eastAsia="微软雅黑" w:cs="Times New Roman"/>
                <w:color w:val="000000"/>
                <w:sz w:val="21"/>
                <w:szCs w:val="21"/>
              </w:rPr>
              <w:t>具有良好的商业信誉</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Style w:val="33"/>
                <w:rFonts w:ascii="微软雅黑" w:hAnsi="微软雅黑" w:eastAsia="微软雅黑" w:cs="Times New Roman"/>
                <w:color w:val="auto"/>
                <w:sz w:val="21"/>
                <w:szCs w:val="21"/>
              </w:rPr>
            </w:pPr>
            <w:r>
              <w:rPr>
                <w:rStyle w:val="33"/>
                <w:rFonts w:ascii="微软雅黑" w:hAnsi="微软雅黑" w:eastAsia="微软雅黑" w:cs="Times New Roman"/>
                <w:color w:val="auto"/>
                <w:sz w:val="21"/>
                <w:szCs w:val="21"/>
              </w:rPr>
              <w:t>信誉良好</w:t>
            </w:r>
            <w:r>
              <w:rPr>
                <w:rStyle w:val="33"/>
                <w:rFonts w:hint="eastAsia" w:ascii="微软雅黑" w:hAnsi="微软雅黑" w:eastAsia="微软雅黑" w:cs="Times New Roman"/>
                <w:color w:val="auto"/>
                <w:sz w:val="21"/>
                <w:szCs w:val="21"/>
                <w:lang w:eastAsia="zh-CN"/>
              </w:rPr>
              <w:t>（</w:t>
            </w:r>
            <w:r>
              <w:rPr>
                <w:rStyle w:val="33"/>
                <w:rFonts w:hint="eastAsia" w:ascii="微软雅黑" w:hAnsi="微软雅黑" w:eastAsia="微软雅黑" w:cs="Times New Roman"/>
                <w:color w:val="auto"/>
                <w:sz w:val="21"/>
                <w:szCs w:val="21"/>
                <w:lang w:val="en-US" w:eastAsia="zh-CN"/>
              </w:rPr>
              <w:t>提供信用中国截图</w:t>
            </w:r>
            <w:r>
              <w:rPr>
                <w:rStyle w:val="33"/>
                <w:rFonts w:hint="eastAsia" w:ascii="微软雅黑" w:hAnsi="微软雅黑" w:eastAsia="微软雅黑" w:cs="Times New Roman"/>
                <w:color w:val="auto"/>
                <w:sz w:val="21"/>
                <w:szCs w:val="21"/>
                <w:lang w:eastAsia="zh-CN"/>
              </w:rPr>
              <w:t>）</w:t>
            </w:r>
            <w:r>
              <w:rPr>
                <w:rStyle w:val="33"/>
                <w:rFonts w:ascii="微软雅黑" w:hAnsi="微软雅黑" w:eastAsia="微软雅黑" w:cs="Times New Roman"/>
                <w:color w:val="auto"/>
                <w:sz w:val="21"/>
                <w:szCs w:val="21"/>
              </w:rPr>
              <w:t>，在递交投标文件前的三年内无失信信息、经营异常、严重违法（注</w:t>
            </w:r>
            <w:r>
              <w:rPr>
                <w:rStyle w:val="33"/>
                <w:rFonts w:ascii="微软雅黑" w:hAnsi="微软雅黑" w:eastAsia="微软雅黑" w:cs="Times New Roman"/>
                <w:color w:val="auto"/>
                <w:kern w:val="0"/>
                <w:sz w:val="21"/>
                <w:szCs w:val="21"/>
              </w:rPr>
              <w:t>②</w:t>
            </w:r>
            <w:r>
              <w:rPr>
                <w:rStyle w:val="33"/>
                <w:rFonts w:ascii="微软雅黑" w:hAnsi="微软雅黑" w:eastAsia="微软雅黑" w:cs="Times New Roman"/>
                <w:color w:val="auto"/>
                <w:sz w:val="21"/>
                <w:szCs w:val="21"/>
              </w:rPr>
              <w:t xml:space="preserve">），没有处于被责令停产，财产被冻结、接管、破产状态（债务严重）；出具经法人签字并加盖公章的信誉申明。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color w:val="000000"/>
                <w:sz w:val="21"/>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lang w:val="zh-CN"/>
              </w:rPr>
            </w:pPr>
          </w:p>
        </w:tc>
        <w:tc>
          <w:tcPr>
            <w:tcW w:w="336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lang w:val="zh-CN"/>
              </w:rPr>
            </w:pPr>
            <w:r>
              <w:rPr>
                <w:rStyle w:val="33"/>
                <w:rFonts w:ascii="微软雅黑" w:hAnsi="微软雅黑" w:eastAsia="微软雅黑" w:cs="Times New Roman"/>
                <w:color w:val="000000"/>
                <w:sz w:val="21"/>
                <w:szCs w:val="21"/>
              </w:rPr>
              <w:t>（3）法律、行政法规规定的其他条件</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20" w:firstLineChars="200"/>
              <w:rPr>
                <w:rStyle w:val="33"/>
                <w:rFonts w:ascii="微软雅黑" w:hAnsi="微软雅黑" w:eastAsia="微软雅黑" w:cs="Times New Roman"/>
                <w:b/>
                <w:color w:val="auto"/>
                <w:sz w:val="21"/>
                <w:szCs w:val="21"/>
              </w:rPr>
            </w:pPr>
            <w:r>
              <w:rPr>
                <w:rStyle w:val="33"/>
                <w:rFonts w:ascii="微软雅黑" w:hAnsi="微软雅黑" w:eastAsia="微软雅黑" w:cs="Times New Roman"/>
                <w:b/>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2</w:t>
            </w:r>
          </w:p>
        </w:tc>
        <w:tc>
          <w:tcPr>
            <w:tcW w:w="130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资质资料</w:t>
            </w:r>
          </w:p>
        </w:tc>
        <w:tc>
          <w:tcPr>
            <w:tcW w:w="3361" w:type="dxa"/>
            <w:tcBorders>
              <w:top w:val="single" w:color="000000" w:sz="4" w:space="0"/>
              <w:left w:val="single" w:color="000000" w:sz="4" w:space="0"/>
              <w:bottom w:val="single" w:color="000000" w:sz="4" w:space="0"/>
              <w:right w:val="single" w:color="000000" w:sz="4" w:space="0"/>
            </w:tcBorders>
            <w:vAlign w:val="center"/>
          </w:tcPr>
          <w:p>
            <w:pPr>
              <w:pStyle w:val="197"/>
              <w:snapToGrid w:val="0"/>
              <w:spacing w:line="240" w:lineRule="exac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营业执照</w:t>
            </w:r>
            <w:r>
              <w:rPr>
                <w:rStyle w:val="33"/>
                <w:rFonts w:hint="eastAsia" w:ascii="微软雅黑" w:hAnsi="微软雅黑" w:eastAsia="微软雅黑" w:cs="Times New Roman"/>
                <w:color w:val="000000"/>
                <w:sz w:val="21"/>
                <w:szCs w:val="21"/>
              </w:rPr>
              <w:t>、燃气经营许可、危化品经营许可证</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Style w:val="33"/>
                <w:rFonts w:ascii="微软雅黑" w:hAnsi="微软雅黑" w:eastAsia="微软雅黑" w:cs="Times New Roman"/>
                <w:color w:val="auto"/>
                <w:sz w:val="21"/>
                <w:szCs w:val="21"/>
              </w:rPr>
            </w:pPr>
            <w:r>
              <w:rPr>
                <w:rStyle w:val="33"/>
                <w:rFonts w:ascii="微软雅黑" w:hAnsi="微软雅黑" w:eastAsia="微软雅黑" w:cs="Times New Roman"/>
                <w:color w:val="auto"/>
                <w:sz w:val="21"/>
                <w:szCs w:val="21"/>
              </w:rPr>
              <w:t>投标人须提供营业执照</w:t>
            </w:r>
            <w:r>
              <w:rPr>
                <w:rStyle w:val="33"/>
                <w:rFonts w:hint="eastAsia" w:ascii="微软雅黑" w:hAnsi="微软雅黑" w:eastAsia="微软雅黑" w:cs="Times New Roman"/>
                <w:color w:val="auto"/>
                <w:sz w:val="21"/>
                <w:szCs w:val="21"/>
              </w:rPr>
              <w:t>、燃气经营许可证</w:t>
            </w:r>
            <w:r>
              <w:rPr>
                <w:rStyle w:val="33"/>
                <w:rFonts w:hint="eastAsia" w:ascii="微软雅黑" w:hAnsi="微软雅黑" w:eastAsia="微软雅黑" w:cs="Times New Roman"/>
                <w:color w:val="auto"/>
                <w:sz w:val="21"/>
                <w:szCs w:val="21"/>
                <w:lang w:eastAsia="zh-CN"/>
              </w:rPr>
              <w:t>或</w:t>
            </w:r>
            <w:r>
              <w:rPr>
                <w:rStyle w:val="33"/>
                <w:rFonts w:hint="eastAsia" w:ascii="微软雅黑" w:hAnsi="微软雅黑" w:eastAsia="微软雅黑" w:cs="Times New Roman"/>
                <w:color w:val="auto"/>
                <w:sz w:val="21"/>
                <w:szCs w:val="21"/>
              </w:rPr>
              <w:t>危化品经营许可证</w:t>
            </w:r>
            <w:r>
              <w:rPr>
                <w:rStyle w:val="33"/>
                <w:rFonts w:ascii="微软雅黑" w:hAnsi="微软雅黑" w:eastAsia="微软雅黑" w:cs="Times New Roman"/>
                <w:color w:val="auto"/>
                <w:sz w:val="21"/>
                <w:szCs w:val="21"/>
              </w:rPr>
              <w:t>复印件加盖投标人公章。</w:t>
            </w:r>
            <w:r>
              <w:rPr>
                <w:rStyle w:val="33"/>
                <w:rFonts w:hint="eastAsia" w:ascii="微软雅黑" w:hAnsi="微软雅黑" w:eastAsia="微软雅黑" w:cs="Times New Roman"/>
                <w:color w:val="auto"/>
                <w:sz w:val="21"/>
                <w:szCs w:val="21"/>
              </w:rPr>
              <w:t>联合体投标的，成员均应具备燃气经营许可证或危化品经营许可证。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3</w:t>
            </w:r>
          </w:p>
        </w:tc>
        <w:tc>
          <w:tcPr>
            <w:tcW w:w="130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投标保证金</w:t>
            </w:r>
          </w:p>
        </w:tc>
        <w:tc>
          <w:tcPr>
            <w:tcW w:w="336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按照招标文件的规定提交投标保证金。</w:t>
            </w:r>
          </w:p>
        </w:tc>
        <w:tc>
          <w:tcPr>
            <w:tcW w:w="47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Style w:val="33"/>
                <w:rFonts w:ascii="微软雅黑" w:hAnsi="微软雅黑" w:eastAsia="微软雅黑" w:cs="Times New Roman"/>
                <w:color w:val="000000"/>
                <w:sz w:val="21"/>
                <w:szCs w:val="21"/>
              </w:rPr>
            </w:pPr>
            <w:r>
              <w:rPr>
                <w:rStyle w:val="33"/>
                <w:rFonts w:ascii="微软雅黑" w:hAnsi="微软雅黑" w:eastAsia="微软雅黑" w:cs="Times New Roman"/>
                <w:color w:val="000000"/>
                <w:sz w:val="21"/>
                <w:szCs w:val="21"/>
              </w:rPr>
              <w:t>根据第一篇第四条规定缴纳投标保证金，采用网银转账方式缴纳保证金的投标人还须提供缴纳凭证。</w:t>
            </w:r>
          </w:p>
        </w:tc>
      </w:tr>
    </w:tbl>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注：</w:t>
      </w:r>
    </w:p>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①投标人按“多证合一”登记制度办理营业执照的，组织机构代码证、税务登记证（副本）和社会保险登记证以投标人所提供的营业执照（副本）复印件为准。</w:t>
      </w:r>
    </w:p>
    <w:p>
      <w:pPr>
        <w:snapToGrid w:val="0"/>
        <w:spacing w:line="400" w:lineRule="atLeast"/>
        <w:ind w:firstLine="420" w:firstLineChars="200"/>
        <w:rPr>
          <w:rStyle w:val="33"/>
          <w:rFonts w:ascii="微软雅黑" w:hAnsi="微软雅黑" w:eastAsia="微软雅黑"/>
          <w:color w:val="000000"/>
          <w:kern w:val="0"/>
          <w:sz w:val="21"/>
          <w:szCs w:val="21"/>
        </w:rPr>
      </w:pPr>
      <w:r>
        <w:rPr>
          <w:rStyle w:val="33"/>
          <w:rFonts w:ascii="微软雅黑" w:hAnsi="微软雅黑" w:eastAsia="微软雅黑"/>
          <w:color w:val="000000"/>
          <w:kern w:val="0"/>
          <w:sz w:val="21"/>
          <w:szCs w:val="21"/>
        </w:rPr>
        <w:t>②“参加招标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w:t>
      </w:r>
    </w:p>
    <w:p>
      <w:pPr>
        <w:pStyle w:val="25"/>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二、评标方法</w:t>
      </w:r>
    </w:p>
    <w:p>
      <w:pPr>
        <w:snapToGrid w:val="0"/>
        <w:spacing w:line="400" w:lineRule="atLeast"/>
        <w:ind w:firstLine="420" w:firstLineChars="200"/>
        <w:rPr>
          <w:rStyle w:val="118"/>
          <w:rFonts w:ascii="微软雅黑" w:hAnsi="微软雅黑" w:eastAsia="微软雅黑"/>
          <w:color w:val="000000"/>
          <w:kern w:val="0"/>
          <w:sz w:val="21"/>
          <w:szCs w:val="21"/>
        </w:rPr>
      </w:pPr>
      <w:r>
        <w:rPr>
          <w:rStyle w:val="118"/>
          <w:rFonts w:ascii="微软雅黑" w:hAnsi="微软雅黑" w:eastAsia="微软雅黑"/>
          <w:color w:val="000000"/>
          <w:kern w:val="0"/>
          <w:sz w:val="21"/>
          <w:szCs w:val="21"/>
        </w:rPr>
        <w:t>本项目采用综合评标法进行评标。商务部分占30%，技术部分占70%</w:t>
      </w:r>
      <w:r>
        <w:rPr>
          <w:rStyle w:val="118"/>
          <w:rFonts w:hint="eastAsia" w:ascii="微软雅黑" w:hAnsi="微软雅黑" w:eastAsia="微软雅黑"/>
          <w:color w:val="000000"/>
          <w:kern w:val="0"/>
          <w:sz w:val="21"/>
          <w:szCs w:val="21"/>
        </w:rPr>
        <w:t>；由主管部门在市上综合评标库抽取燃气专家</w:t>
      </w:r>
      <w:r>
        <w:rPr>
          <w:rStyle w:val="118"/>
          <w:rFonts w:hint="eastAsia" w:ascii="微软雅黑" w:hAnsi="微软雅黑" w:eastAsia="微软雅黑"/>
          <w:color w:val="000000"/>
          <w:kern w:val="0"/>
          <w:sz w:val="21"/>
          <w:szCs w:val="21"/>
          <w:lang w:eastAsia="zh-CN"/>
        </w:rPr>
        <w:t>4</w:t>
      </w:r>
      <w:r>
        <w:rPr>
          <w:rStyle w:val="118"/>
          <w:rFonts w:hint="eastAsia" w:ascii="微软雅黑" w:hAnsi="微软雅黑" w:eastAsia="微软雅黑"/>
          <w:color w:val="000000"/>
          <w:kern w:val="0"/>
          <w:sz w:val="21"/>
          <w:szCs w:val="21"/>
        </w:rPr>
        <w:t>名和主管部门</w:t>
      </w:r>
      <w:r>
        <w:rPr>
          <w:rStyle w:val="118"/>
          <w:rFonts w:hint="eastAsia" w:ascii="微软雅黑" w:hAnsi="微软雅黑" w:eastAsia="微软雅黑"/>
          <w:color w:val="000000"/>
          <w:kern w:val="0"/>
          <w:sz w:val="21"/>
          <w:szCs w:val="21"/>
          <w:lang w:eastAsia="zh-CN"/>
        </w:rPr>
        <w:t>1</w:t>
      </w:r>
      <w:r>
        <w:rPr>
          <w:rStyle w:val="118"/>
          <w:rFonts w:hint="eastAsia" w:ascii="微软雅黑" w:hAnsi="微软雅黑" w:eastAsia="微软雅黑"/>
          <w:color w:val="000000"/>
          <w:kern w:val="0"/>
          <w:sz w:val="21"/>
          <w:szCs w:val="21"/>
        </w:rPr>
        <w:t>名工作人员组成评标委员会。</w:t>
      </w:r>
      <w:r>
        <w:rPr>
          <w:rStyle w:val="118"/>
          <w:rFonts w:ascii="微软雅黑" w:hAnsi="微软雅黑" w:eastAsia="微软雅黑"/>
          <w:color w:val="000000"/>
          <w:kern w:val="0"/>
          <w:sz w:val="21"/>
          <w:szCs w:val="21"/>
        </w:rPr>
        <w:t xml:space="preserve">评价因素（包含但不限于资质、方案、质量、信誉、服务等）和相应的加权分值。评标委员会按照招标文件确定的评标细则，对投标人的投标文件进行评审。评标委员会在审阅投标文件的过程中，先筛选去除不符合投标要求的标书及投标人，在符合评审条件的情况下，对剩余的标书开展评审。评审过程中需进一步澄清、明确的技术、资信、管理等问题，可向投标人进行质询。评标委员会统计投标人的总得分，计算算术平均分值作为投标人的最终得分（保留小数点后两位）。评标委员会按照最后综合总得分从高到低的顺序排列中标候选人1-3名。若中标候选人出现最终得分相同时，以商务部分得分高的排名在前；   </w:t>
      </w:r>
    </w:p>
    <w:p>
      <w:pPr>
        <w:pStyle w:val="25"/>
        <w:spacing w:line="400" w:lineRule="atLeast"/>
        <w:ind w:firstLine="420" w:firstLineChars="200"/>
        <w:rPr>
          <w:rStyle w:val="118"/>
          <w:rFonts w:ascii="微软雅黑" w:hAnsi="微软雅黑" w:eastAsia="微软雅黑"/>
          <w:color w:val="000000"/>
          <w:kern w:val="0"/>
          <w:sz w:val="21"/>
          <w:szCs w:val="21"/>
        </w:rPr>
      </w:pPr>
      <w:r>
        <w:rPr>
          <w:rStyle w:val="118"/>
          <w:rFonts w:ascii="微软雅黑" w:hAnsi="微软雅黑" w:eastAsia="微软雅黑"/>
          <w:color w:val="000000"/>
          <w:kern w:val="0"/>
          <w:sz w:val="21"/>
          <w:szCs w:val="21"/>
        </w:rPr>
        <w:t>若商务部分和技术部分得分都相同，由评标委员会抽签决定中标人候选人排序。若评标过程中出现特殊情况，由评标委员会据相关法律法规集体研究确定。</w:t>
      </w:r>
    </w:p>
    <w:p>
      <w:pPr>
        <w:pStyle w:val="25"/>
        <w:spacing w:line="400" w:lineRule="atLeast"/>
        <w:ind w:firstLine="560" w:firstLineChars="200"/>
        <w:rPr>
          <w:rStyle w:val="33"/>
          <w:rFonts w:ascii="微软雅黑" w:hAnsi="微软雅黑" w:eastAsia="微软雅黑"/>
          <w:spacing w:val="-2"/>
          <w:sz w:val="18"/>
        </w:rPr>
      </w:pPr>
      <w:r>
        <w:rPr>
          <w:rStyle w:val="33"/>
          <w:rFonts w:ascii="微软雅黑" w:hAnsi="微软雅黑" w:eastAsia="微软雅黑" w:cs="微软雅黑"/>
          <w:bCs/>
          <w:color w:val="000000"/>
          <w:szCs w:val="28"/>
        </w:rPr>
        <w:t>三、评标标准</w:t>
      </w:r>
    </w:p>
    <w:tbl>
      <w:tblPr>
        <w:tblStyle w:val="18"/>
        <w:tblpPr w:leftFromText="180" w:rightFromText="180" w:vertAnchor="text" w:horzAnchor="page" w:tblpX="1316" w:tblpY="772"/>
        <w:tblOverlap w:val="never"/>
        <w:tblW w:w="10245" w:type="dxa"/>
        <w:tblInd w:w="0" w:type="dxa"/>
        <w:tblLayout w:type="fixed"/>
        <w:tblCellMar>
          <w:top w:w="0" w:type="dxa"/>
          <w:left w:w="0" w:type="dxa"/>
          <w:bottom w:w="0" w:type="dxa"/>
          <w:right w:w="0" w:type="dxa"/>
        </w:tblCellMar>
      </w:tblPr>
      <w:tblGrid>
        <w:gridCol w:w="430"/>
        <w:gridCol w:w="1035"/>
        <w:gridCol w:w="5990"/>
        <w:gridCol w:w="2790"/>
      </w:tblGrid>
      <w:tr>
        <w:tblPrEx>
          <w:tblCellMar>
            <w:top w:w="0" w:type="dxa"/>
            <w:left w:w="0" w:type="dxa"/>
            <w:bottom w:w="0" w:type="dxa"/>
            <w:right w:w="0" w:type="dxa"/>
          </w:tblCellMar>
        </w:tblPrEx>
        <w:trPr>
          <w:trHeight w:val="327" w:hRule="atLeast"/>
        </w:trPr>
        <w:tc>
          <w:tcPr>
            <w:tcW w:w="43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b/>
                <w:color w:val="000000" w:themeColor="text1"/>
                <w:sz w:val="18"/>
                <w:szCs w:val="18"/>
              </w:rPr>
            </w:pPr>
            <w:r>
              <w:rPr>
                <w:rStyle w:val="33"/>
                <w:rFonts w:ascii="楷体" w:hAnsi="楷体" w:eastAsia="楷体"/>
                <w:b/>
                <w:color w:val="000000" w:themeColor="text1"/>
                <w:kern w:val="0"/>
                <w:sz w:val="18"/>
                <w:szCs w:val="18"/>
              </w:rPr>
              <w:t>占比</w:t>
            </w: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b/>
                <w:color w:val="000000" w:themeColor="text1"/>
                <w:sz w:val="18"/>
                <w:szCs w:val="18"/>
              </w:rPr>
            </w:pPr>
            <w:r>
              <w:rPr>
                <w:rStyle w:val="33"/>
                <w:rFonts w:ascii="楷体" w:hAnsi="楷体" w:eastAsia="楷体"/>
                <w:b/>
                <w:color w:val="000000" w:themeColor="text1"/>
                <w:kern w:val="0"/>
                <w:sz w:val="18"/>
                <w:szCs w:val="18"/>
              </w:rPr>
              <w:t>项目（分值）</w:t>
            </w:r>
          </w:p>
        </w:tc>
        <w:tc>
          <w:tcPr>
            <w:tcW w:w="59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b/>
                <w:color w:val="000000" w:themeColor="text1"/>
                <w:sz w:val="18"/>
                <w:szCs w:val="18"/>
              </w:rPr>
            </w:pPr>
            <w:r>
              <w:rPr>
                <w:rStyle w:val="33"/>
                <w:rFonts w:ascii="楷体" w:hAnsi="楷体" w:eastAsia="楷体"/>
                <w:b/>
                <w:color w:val="000000" w:themeColor="text1"/>
                <w:kern w:val="0"/>
                <w:sz w:val="18"/>
                <w:szCs w:val="18"/>
              </w:rPr>
              <w:t>评分标准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b/>
                <w:color w:val="000000" w:themeColor="text1"/>
                <w:kern w:val="0"/>
                <w:sz w:val="18"/>
                <w:szCs w:val="18"/>
              </w:rPr>
            </w:pPr>
            <w:r>
              <w:rPr>
                <w:rStyle w:val="33"/>
                <w:rFonts w:ascii="楷体" w:hAnsi="楷体" w:eastAsia="楷体"/>
                <w:b/>
                <w:color w:val="000000" w:themeColor="text1"/>
                <w:kern w:val="0"/>
                <w:sz w:val="18"/>
                <w:szCs w:val="18"/>
              </w:rPr>
              <w:t>说明</w:t>
            </w:r>
          </w:p>
        </w:tc>
      </w:tr>
      <w:tr>
        <w:tblPrEx>
          <w:tblCellMar>
            <w:top w:w="0" w:type="dxa"/>
            <w:left w:w="0" w:type="dxa"/>
            <w:bottom w:w="0" w:type="dxa"/>
            <w:right w:w="0" w:type="dxa"/>
          </w:tblCellMar>
        </w:tblPrEx>
        <w:trPr>
          <w:trHeight w:val="799" w:hRule="atLeast"/>
        </w:trPr>
        <w:tc>
          <w:tcPr>
            <w:tcW w:w="43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kern w:val="0"/>
                <w:sz w:val="18"/>
                <w:szCs w:val="18"/>
              </w:rPr>
            </w:pPr>
            <w:r>
              <w:rPr>
                <w:rStyle w:val="33"/>
                <w:rFonts w:ascii="楷体" w:hAnsi="楷体" w:eastAsia="楷体"/>
                <w:kern w:val="0"/>
                <w:sz w:val="18"/>
                <w:szCs w:val="18"/>
              </w:rPr>
              <w:t>商</w:t>
            </w:r>
            <w:r>
              <w:rPr>
                <w:rStyle w:val="33"/>
                <w:rFonts w:ascii="楷体" w:hAnsi="楷体" w:eastAsia="楷体"/>
                <w:kern w:val="0"/>
                <w:sz w:val="18"/>
                <w:szCs w:val="18"/>
              </w:rPr>
              <w:br w:type="textWrapping"/>
            </w:r>
            <w:r>
              <w:rPr>
                <w:rStyle w:val="33"/>
                <w:rFonts w:ascii="楷体" w:hAnsi="楷体" w:eastAsia="楷体"/>
                <w:kern w:val="0"/>
                <w:sz w:val="18"/>
                <w:szCs w:val="18"/>
              </w:rPr>
              <w:t>务</w:t>
            </w:r>
            <w:r>
              <w:rPr>
                <w:rStyle w:val="33"/>
                <w:rFonts w:ascii="楷体" w:hAnsi="楷体" w:eastAsia="楷体"/>
                <w:kern w:val="0"/>
                <w:sz w:val="18"/>
                <w:szCs w:val="18"/>
              </w:rPr>
              <w:br w:type="textWrapping"/>
            </w:r>
            <w:r>
              <w:rPr>
                <w:rStyle w:val="33"/>
                <w:rFonts w:ascii="楷体" w:hAnsi="楷体" w:eastAsia="楷体"/>
                <w:kern w:val="0"/>
                <w:sz w:val="18"/>
                <w:szCs w:val="18"/>
              </w:rPr>
              <w:t>部</w:t>
            </w:r>
            <w:r>
              <w:rPr>
                <w:rStyle w:val="33"/>
                <w:rFonts w:ascii="楷体" w:hAnsi="楷体" w:eastAsia="楷体"/>
                <w:kern w:val="0"/>
                <w:sz w:val="18"/>
                <w:szCs w:val="18"/>
              </w:rPr>
              <w:br w:type="textWrapping"/>
            </w:r>
            <w:r>
              <w:rPr>
                <w:rStyle w:val="33"/>
                <w:rFonts w:ascii="楷体" w:hAnsi="楷体" w:eastAsia="楷体"/>
                <w:kern w:val="0"/>
                <w:sz w:val="18"/>
                <w:szCs w:val="18"/>
              </w:rPr>
              <w:t>分</w:t>
            </w:r>
            <w:r>
              <w:rPr>
                <w:rStyle w:val="33"/>
                <w:rFonts w:ascii="楷体" w:hAnsi="楷体" w:eastAsia="楷体"/>
                <w:kern w:val="0"/>
                <w:sz w:val="18"/>
                <w:szCs w:val="18"/>
              </w:rPr>
              <w:br w:type="textWrapping"/>
            </w:r>
            <w:r>
              <w:rPr>
                <w:rStyle w:val="33"/>
                <w:rFonts w:ascii="楷体" w:hAnsi="楷体" w:eastAsia="楷体"/>
                <w:kern w:val="0"/>
                <w:sz w:val="18"/>
                <w:szCs w:val="18"/>
              </w:rPr>
              <w:t>30%</w:t>
            </w:r>
          </w:p>
          <w:p>
            <w:pPr>
              <w:snapToGrid w:val="0"/>
              <w:textAlignment w:val="center"/>
              <w:rPr>
                <w:rStyle w:val="33"/>
                <w:rFonts w:ascii="楷体" w:hAnsi="楷体" w:eastAsia="楷体"/>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投标人</w:t>
            </w:r>
            <w:r>
              <w:rPr>
                <w:rStyle w:val="33"/>
                <w:rFonts w:ascii="楷体" w:hAnsi="楷体" w:eastAsia="楷体"/>
                <w:kern w:val="0"/>
                <w:sz w:val="18"/>
                <w:szCs w:val="18"/>
              </w:rPr>
              <w:t>实力</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6</w:t>
            </w:r>
            <w:r>
              <w:rPr>
                <w:rStyle w:val="33"/>
                <w:rFonts w:ascii="楷体" w:hAnsi="楷体" w:eastAsia="楷体"/>
                <w:kern w:val="0"/>
                <w:sz w:val="18"/>
                <w:szCs w:val="18"/>
              </w:rPr>
              <w:t>分）</w:t>
            </w:r>
          </w:p>
        </w:tc>
        <w:tc>
          <w:tcPr>
            <w:tcW w:w="5990"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p>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①</w:t>
            </w:r>
            <w:r>
              <w:rPr>
                <w:rStyle w:val="33"/>
                <w:rFonts w:hint="eastAsia" w:ascii="楷体" w:hAnsi="楷体" w:eastAsia="楷体"/>
                <w:kern w:val="0"/>
                <w:sz w:val="18"/>
                <w:szCs w:val="18"/>
              </w:rPr>
              <w:t>投标人有良好的社会信誉度，没有进入黑名单和法院执行对象得3分。</w:t>
            </w:r>
          </w:p>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②</w:t>
            </w:r>
            <w:r>
              <w:rPr>
                <w:rStyle w:val="33"/>
                <w:rFonts w:hint="eastAsia" w:ascii="楷体" w:hAnsi="楷体" w:eastAsia="楷体"/>
                <w:kern w:val="0"/>
                <w:sz w:val="18"/>
                <w:szCs w:val="18"/>
              </w:rPr>
              <w:t>资质审查。投标人具有工商业实体的得3分。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1.提供合法有效的营业执照复印件加盖鲜章。</w:t>
            </w:r>
          </w:p>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2.联合体投标的，以联合体成员任一单位为准。</w:t>
            </w:r>
          </w:p>
        </w:tc>
      </w:tr>
      <w:tr>
        <w:tblPrEx>
          <w:tblCellMar>
            <w:top w:w="0" w:type="dxa"/>
            <w:left w:w="0" w:type="dxa"/>
            <w:bottom w:w="0" w:type="dxa"/>
            <w:right w:w="0" w:type="dxa"/>
          </w:tblCellMar>
        </w:tblPrEx>
        <w:trPr>
          <w:trHeight w:val="1319"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从业经历</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lang w:val="en-US" w:eastAsia="zh-CN"/>
              </w:rPr>
              <w:t>5</w:t>
            </w:r>
            <w:r>
              <w:rPr>
                <w:rStyle w:val="33"/>
                <w:rFonts w:ascii="楷体" w:hAnsi="楷体" w:eastAsia="楷体"/>
                <w:kern w:val="0"/>
                <w:sz w:val="18"/>
                <w:szCs w:val="18"/>
              </w:rPr>
              <w:t>分）</w:t>
            </w:r>
          </w:p>
        </w:tc>
        <w:tc>
          <w:tcPr>
            <w:tcW w:w="5990" w:type="dxa"/>
            <w:tcBorders>
              <w:top w:val="single" w:color="000000" w:sz="4" w:space="0"/>
              <w:left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①</w:t>
            </w:r>
            <w:r>
              <w:rPr>
                <w:rStyle w:val="33"/>
                <w:rFonts w:hint="eastAsia" w:ascii="楷体" w:hAnsi="楷体" w:eastAsia="楷体"/>
                <w:kern w:val="0"/>
                <w:sz w:val="18"/>
                <w:szCs w:val="18"/>
              </w:rPr>
              <w:t>投标人具备燃气经营资质或危险化学品经营资质得</w:t>
            </w:r>
            <w:r>
              <w:rPr>
                <w:rStyle w:val="33"/>
                <w:rFonts w:hint="eastAsia" w:ascii="楷体" w:hAnsi="楷体" w:eastAsia="楷体"/>
                <w:kern w:val="0"/>
                <w:sz w:val="18"/>
                <w:szCs w:val="18"/>
                <w:lang w:val="en-US" w:eastAsia="zh-CN"/>
              </w:rPr>
              <w:t>2</w:t>
            </w:r>
            <w:r>
              <w:rPr>
                <w:rStyle w:val="33"/>
                <w:rFonts w:hint="eastAsia" w:ascii="楷体" w:hAnsi="楷体" w:eastAsia="楷体"/>
                <w:kern w:val="0"/>
                <w:sz w:val="18"/>
                <w:szCs w:val="18"/>
              </w:rPr>
              <w:t xml:space="preserve"> 分；</w:t>
            </w:r>
          </w:p>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②</w:t>
            </w:r>
            <w:r>
              <w:rPr>
                <w:rStyle w:val="33"/>
                <w:rFonts w:hint="eastAsia" w:ascii="楷体" w:hAnsi="楷体" w:eastAsia="楷体"/>
                <w:kern w:val="0"/>
                <w:sz w:val="18"/>
                <w:szCs w:val="18"/>
              </w:rPr>
              <w:t>项目负责人或项目组成员具备瓶装燃气或危险化学品行业从业资格得 1 分，5 年以上得 2 分，10 年以上得 3 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1.</w:t>
            </w:r>
            <w:r>
              <w:rPr>
                <w:rStyle w:val="33"/>
                <w:rFonts w:ascii="楷体" w:hAnsi="楷体" w:eastAsia="楷体"/>
                <w:kern w:val="0"/>
                <w:sz w:val="18"/>
                <w:szCs w:val="18"/>
              </w:rPr>
              <w:t>提供燃气经营资质或危化品经营资质复印件加盖鲜章，提供能够证明实体经营的材料。</w:t>
            </w:r>
            <w:r>
              <w:rPr>
                <w:rStyle w:val="33"/>
                <w:rFonts w:hint="eastAsia" w:ascii="楷体" w:hAnsi="楷体" w:eastAsia="楷体"/>
                <w:kern w:val="0"/>
                <w:sz w:val="18"/>
                <w:szCs w:val="18"/>
              </w:rPr>
              <w:t>有化学品库的提供相应化学品库材料。</w:t>
            </w:r>
          </w:p>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2.联合体投标的，联合体成员任一单位具备即可（注1）。</w:t>
            </w:r>
          </w:p>
        </w:tc>
      </w:tr>
      <w:tr>
        <w:tblPrEx>
          <w:tblCellMar>
            <w:top w:w="0" w:type="dxa"/>
            <w:left w:w="0" w:type="dxa"/>
            <w:bottom w:w="0" w:type="dxa"/>
            <w:right w:w="0" w:type="dxa"/>
          </w:tblCellMar>
        </w:tblPrEx>
        <w:trPr>
          <w:trHeight w:val="783"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color w:val="0000FF"/>
                <w:kern w:val="0"/>
                <w:sz w:val="18"/>
                <w:szCs w:val="18"/>
              </w:rPr>
            </w:pPr>
            <w:r>
              <w:rPr>
                <w:rStyle w:val="33"/>
                <w:rFonts w:ascii="楷体" w:hAnsi="楷体" w:eastAsia="楷体"/>
                <w:kern w:val="0"/>
                <w:sz w:val="18"/>
                <w:szCs w:val="18"/>
              </w:rPr>
              <w:t>投资业绩</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5</w:t>
            </w:r>
            <w:r>
              <w:rPr>
                <w:rStyle w:val="33"/>
                <w:rFonts w:ascii="楷体" w:hAnsi="楷体" w:eastAsia="楷体"/>
                <w:kern w:val="0"/>
                <w:sz w:val="18"/>
                <w:szCs w:val="18"/>
              </w:rPr>
              <w:t>分）</w:t>
            </w:r>
          </w:p>
        </w:tc>
        <w:tc>
          <w:tcPr>
            <w:tcW w:w="5990" w:type="dxa"/>
            <w:tcBorders>
              <w:top w:val="single" w:color="auto" w:sz="4" w:space="0"/>
              <w:left w:val="single" w:color="000000" w:sz="4" w:space="0"/>
              <w:bottom w:val="single" w:color="auto"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①投资业绩总得分不超过</w:t>
            </w:r>
            <w:r>
              <w:rPr>
                <w:rStyle w:val="33"/>
                <w:rFonts w:hint="eastAsia" w:ascii="楷体" w:hAnsi="楷体" w:eastAsia="楷体"/>
                <w:kern w:val="0"/>
                <w:sz w:val="18"/>
                <w:szCs w:val="18"/>
              </w:rPr>
              <w:t>5</w:t>
            </w:r>
            <w:r>
              <w:rPr>
                <w:rStyle w:val="33"/>
                <w:rFonts w:ascii="楷体" w:hAnsi="楷体" w:eastAsia="楷体"/>
                <w:kern w:val="0"/>
                <w:sz w:val="18"/>
                <w:szCs w:val="18"/>
              </w:rPr>
              <w:t>分。</w:t>
            </w:r>
          </w:p>
          <w:p>
            <w:pPr>
              <w:snapToGrid w:val="0"/>
              <w:ind w:firstLine="90" w:firstLineChars="50"/>
              <w:textAlignment w:val="center"/>
              <w:rPr>
                <w:rStyle w:val="33"/>
                <w:rFonts w:ascii="楷体" w:hAnsi="楷体" w:eastAsia="楷体"/>
                <w:color w:val="0000FF"/>
                <w:kern w:val="0"/>
                <w:sz w:val="18"/>
                <w:szCs w:val="18"/>
              </w:rPr>
            </w:pPr>
            <w:r>
              <w:rPr>
                <w:rStyle w:val="33"/>
                <w:rFonts w:ascii="楷体" w:hAnsi="楷体" w:eastAsia="楷体"/>
                <w:kern w:val="0"/>
                <w:sz w:val="18"/>
                <w:szCs w:val="18"/>
              </w:rPr>
              <w:t>自投标文件递交日期止，投标人在</w:t>
            </w:r>
            <w:r>
              <w:rPr>
                <w:rStyle w:val="33"/>
                <w:rFonts w:hint="eastAsia" w:ascii="楷体" w:hAnsi="楷体" w:eastAsia="楷体"/>
                <w:kern w:val="0"/>
                <w:sz w:val="18"/>
                <w:szCs w:val="18"/>
              </w:rPr>
              <w:t>本县或</w:t>
            </w:r>
            <w:r>
              <w:rPr>
                <w:rStyle w:val="33"/>
                <w:rFonts w:ascii="楷体" w:hAnsi="楷体" w:eastAsia="楷体"/>
                <w:kern w:val="0"/>
                <w:sz w:val="18"/>
                <w:szCs w:val="18"/>
              </w:rPr>
              <w:t>其他区域有燃气或危化品建设项目投资的得</w:t>
            </w:r>
            <w:r>
              <w:rPr>
                <w:rStyle w:val="33"/>
                <w:rFonts w:hint="eastAsia" w:ascii="楷体" w:hAnsi="楷体" w:eastAsia="楷体"/>
                <w:kern w:val="0"/>
                <w:sz w:val="18"/>
                <w:szCs w:val="18"/>
              </w:rPr>
              <w:t>5</w:t>
            </w:r>
            <w:r>
              <w:rPr>
                <w:rStyle w:val="33"/>
                <w:rFonts w:ascii="楷体" w:hAnsi="楷体" w:eastAsia="楷体"/>
                <w:kern w:val="0"/>
                <w:sz w:val="18"/>
                <w:szCs w:val="18"/>
              </w:rPr>
              <w:t>分，没有投资项目的不得分</w:t>
            </w:r>
            <w:r>
              <w:rPr>
                <w:rStyle w:val="33"/>
                <w:rFonts w:hint="eastAsia" w:ascii="楷体" w:hAnsi="楷体" w:eastAsia="楷体"/>
                <w:kern w:val="0"/>
                <w:sz w:val="18"/>
                <w:szCs w:val="18"/>
              </w:rPr>
              <w:t>；联合体投标的，联合体成员任一单位具备即可。</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color w:val="0000FF"/>
                <w:kern w:val="0"/>
                <w:sz w:val="18"/>
                <w:szCs w:val="18"/>
              </w:rPr>
            </w:pPr>
            <w:r>
              <w:rPr>
                <w:rStyle w:val="33"/>
                <w:rFonts w:ascii="楷体" w:hAnsi="楷体" w:eastAsia="楷体"/>
                <w:kern w:val="0"/>
                <w:sz w:val="18"/>
                <w:szCs w:val="18"/>
              </w:rPr>
              <w:t>有燃气或危化品建设项目的，提供正规可查的投资项目证明材料。</w:t>
            </w:r>
          </w:p>
        </w:tc>
      </w:tr>
      <w:tr>
        <w:tblPrEx>
          <w:tblCellMar>
            <w:top w:w="0" w:type="dxa"/>
            <w:left w:w="0" w:type="dxa"/>
            <w:bottom w:w="0" w:type="dxa"/>
            <w:right w:w="0" w:type="dxa"/>
          </w:tblCellMar>
        </w:tblPrEx>
        <w:trPr>
          <w:trHeight w:val="783"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ascii="楷体" w:hAnsi="楷体" w:eastAsia="楷体"/>
                <w:kern w:val="0"/>
                <w:sz w:val="18"/>
                <w:szCs w:val="18"/>
              </w:rPr>
              <w:t>本地服务</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5</w:t>
            </w:r>
            <w:r>
              <w:rPr>
                <w:rStyle w:val="33"/>
                <w:rFonts w:ascii="楷体" w:hAnsi="楷体" w:eastAsia="楷体"/>
                <w:kern w:val="0"/>
                <w:sz w:val="18"/>
                <w:szCs w:val="18"/>
              </w:rPr>
              <w:t>分）</w:t>
            </w:r>
          </w:p>
        </w:tc>
        <w:tc>
          <w:tcPr>
            <w:tcW w:w="5990" w:type="dxa"/>
            <w:tcBorders>
              <w:top w:val="single" w:color="auto" w:sz="4" w:space="0"/>
              <w:left w:val="single" w:color="000000" w:sz="4" w:space="0"/>
              <w:bottom w:val="single" w:color="auto"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投标人在重庆市内注册的或在重庆市外注册的机构，服务团队中有燃气或危险化学品相关从业资格证 6个人（含 6 人）以上的得 5分</w:t>
            </w:r>
          </w:p>
          <w:p>
            <w:pPr>
              <w:snapToGrid w:val="0"/>
              <w:ind w:firstLine="90" w:firstLineChars="50"/>
              <w:textAlignment w:val="center"/>
              <w:rPr>
                <w:rStyle w:val="33"/>
                <w:rFonts w:ascii="楷体" w:hAnsi="楷体" w:eastAsia="楷体"/>
                <w:color w:val="0000FF"/>
                <w:kern w:val="0"/>
                <w:sz w:val="18"/>
                <w:szCs w:val="18"/>
              </w:rPr>
            </w:pP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1.提供注册信息资料（网上可查）或本地服务机构及团队资料复印件加盖鲜章。</w:t>
            </w:r>
          </w:p>
          <w:p>
            <w:pPr>
              <w:snapToGrid w:val="0"/>
              <w:ind w:firstLine="90" w:firstLineChars="50"/>
              <w:textAlignment w:val="center"/>
              <w:rPr>
                <w:rStyle w:val="33"/>
                <w:rFonts w:ascii="楷体" w:hAnsi="楷体" w:eastAsia="楷体"/>
                <w:kern w:val="0"/>
                <w:sz w:val="18"/>
                <w:szCs w:val="18"/>
              </w:rPr>
            </w:pPr>
            <w:r>
              <w:rPr>
                <w:rStyle w:val="33"/>
                <w:rFonts w:hint="eastAsia" w:ascii="楷体" w:hAnsi="楷体" w:eastAsia="楷体"/>
                <w:kern w:val="0"/>
                <w:sz w:val="18"/>
                <w:szCs w:val="18"/>
              </w:rPr>
              <w:t>2．联合体投标的，联合体成员任一单位具备即可。</w:t>
            </w:r>
          </w:p>
          <w:p>
            <w:pPr>
              <w:snapToGrid w:val="0"/>
              <w:ind w:firstLine="90" w:firstLineChars="50"/>
              <w:textAlignment w:val="center"/>
              <w:rPr>
                <w:rStyle w:val="33"/>
                <w:rFonts w:hint="eastAsia" w:ascii="楷体" w:hAnsi="楷体" w:eastAsia="楷体"/>
                <w:kern w:val="0"/>
                <w:sz w:val="18"/>
                <w:szCs w:val="18"/>
              </w:rPr>
            </w:pPr>
            <w:r>
              <w:rPr>
                <w:rStyle w:val="33"/>
                <w:rFonts w:hint="eastAsia" w:ascii="楷体" w:hAnsi="楷体" w:eastAsia="楷体"/>
                <w:kern w:val="0"/>
                <w:sz w:val="18"/>
                <w:szCs w:val="18"/>
              </w:rPr>
              <w:t>3、提供人员在2022年</w:t>
            </w:r>
            <w:r>
              <w:rPr>
                <w:rStyle w:val="33"/>
                <w:rFonts w:hint="eastAsia" w:ascii="楷体" w:hAnsi="楷体" w:eastAsia="楷体"/>
                <w:kern w:val="0"/>
                <w:sz w:val="18"/>
                <w:szCs w:val="18"/>
                <w:lang w:val="en-US" w:eastAsia="zh-CN"/>
              </w:rPr>
              <w:t>11</w:t>
            </w:r>
            <w:r>
              <w:rPr>
                <w:rStyle w:val="33"/>
                <w:rFonts w:hint="eastAsia" w:ascii="楷体" w:hAnsi="楷体" w:eastAsia="楷体"/>
                <w:kern w:val="0"/>
                <w:sz w:val="18"/>
                <w:szCs w:val="18"/>
              </w:rPr>
              <w:t>月</w:t>
            </w:r>
            <w:r>
              <w:rPr>
                <w:rStyle w:val="33"/>
                <w:rFonts w:hint="eastAsia" w:ascii="楷体" w:hAnsi="楷体" w:eastAsia="楷体"/>
                <w:kern w:val="0"/>
                <w:sz w:val="18"/>
                <w:szCs w:val="18"/>
                <w:lang w:val="en-US" w:eastAsia="zh-CN"/>
              </w:rPr>
              <w:t>-2023年1月</w:t>
            </w:r>
            <w:r>
              <w:rPr>
                <w:rStyle w:val="33"/>
                <w:rFonts w:hint="eastAsia" w:ascii="楷体" w:hAnsi="楷体" w:eastAsia="楷体"/>
                <w:kern w:val="0"/>
                <w:sz w:val="18"/>
                <w:szCs w:val="18"/>
              </w:rPr>
              <w:t>的社会保险证明</w:t>
            </w:r>
            <w:r>
              <w:rPr>
                <w:rStyle w:val="33"/>
                <w:rFonts w:hint="eastAsia" w:ascii="楷体" w:hAnsi="楷体" w:eastAsia="楷体"/>
                <w:kern w:val="0"/>
                <w:sz w:val="18"/>
                <w:szCs w:val="18"/>
                <w:lang w:eastAsia="zh-CN"/>
              </w:rPr>
              <w:t>（</w:t>
            </w:r>
            <w:r>
              <w:rPr>
                <w:rStyle w:val="33"/>
                <w:rFonts w:hint="eastAsia" w:ascii="楷体" w:hAnsi="楷体" w:eastAsia="楷体"/>
                <w:kern w:val="0"/>
                <w:sz w:val="18"/>
                <w:szCs w:val="18"/>
                <w:lang w:val="en-US" w:eastAsia="zh-CN"/>
              </w:rPr>
              <w:t>注1</w:t>
            </w:r>
            <w:r>
              <w:rPr>
                <w:rStyle w:val="33"/>
                <w:rFonts w:hint="eastAsia" w:ascii="楷体" w:hAnsi="楷体" w:eastAsia="楷体"/>
                <w:kern w:val="0"/>
                <w:sz w:val="18"/>
                <w:szCs w:val="18"/>
                <w:lang w:eastAsia="zh-CN"/>
              </w:rPr>
              <w:t>）</w:t>
            </w:r>
            <w:r>
              <w:rPr>
                <w:rStyle w:val="33"/>
                <w:rFonts w:hint="eastAsia" w:ascii="楷体" w:hAnsi="楷体" w:eastAsia="楷体"/>
                <w:kern w:val="0"/>
                <w:sz w:val="18"/>
                <w:szCs w:val="18"/>
              </w:rPr>
              <w:t>。</w:t>
            </w:r>
          </w:p>
        </w:tc>
      </w:tr>
      <w:tr>
        <w:tblPrEx>
          <w:tblCellMar>
            <w:top w:w="0" w:type="dxa"/>
            <w:left w:w="0" w:type="dxa"/>
            <w:bottom w:w="0" w:type="dxa"/>
            <w:right w:w="0" w:type="dxa"/>
          </w:tblCellMar>
        </w:tblPrEx>
        <w:trPr>
          <w:trHeight w:val="783"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color w:val="0000FF"/>
                <w:kern w:val="0"/>
                <w:sz w:val="18"/>
                <w:szCs w:val="18"/>
              </w:rPr>
            </w:pPr>
            <w:r>
              <w:rPr>
                <w:rStyle w:val="33"/>
                <w:rFonts w:ascii="楷体" w:hAnsi="楷体" w:eastAsia="楷体"/>
                <w:kern w:val="0"/>
                <w:sz w:val="18"/>
                <w:szCs w:val="18"/>
              </w:rPr>
              <w:t>专业团队</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9</w:t>
            </w:r>
            <w:r>
              <w:rPr>
                <w:rStyle w:val="33"/>
                <w:rFonts w:ascii="楷体" w:hAnsi="楷体" w:eastAsia="楷体"/>
                <w:kern w:val="0"/>
                <w:sz w:val="18"/>
                <w:szCs w:val="18"/>
              </w:rPr>
              <w:t>分）</w:t>
            </w:r>
          </w:p>
        </w:tc>
        <w:tc>
          <w:tcPr>
            <w:tcW w:w="5990" w:type="dxa"/>
            <w:tcBorders>
              <w:top w:val="single" w:color="auto" w:sz="4" w:space="0"/>
              <w:left w:val="single" w:color="000000" w:sz="4" w:space="0"/>
              <w:bottom w:val="single" w:color="auto" w:sz="4" w:space="0"/>
              <w:right w:val="single" w:color="000000" w:sz="4" w:space="0"/>
            </w:tcBorders>
            <w:vAlign w:val="center"/>
          </w:tcPr>
          <w:p>
            <w:pPr>
              <w:snapToGrid w:val="0"/>
              <w:textAlignment w:val="center"/>
              <w:rPr>
                <w:rStyle w:val="33"/>
                <w:rFonts w:ascii="楷体" w:hAnsi="楷体" w:eastAsia="楷体"/>
                <w:color w:val="FF0000"/>
                <w:kern w:val="0"/>
                <w:sz w:val="18"/>
                <w:szCs w:val="18"/>
              </w:rPr>
            </w:pPr>
            <w:r>
              <w:rPr>
                <w:rStyle w:val="33"/>
                <w:rFonts w:ascii="楷体" w:hAnsi="楷体" w:eastAsia="楷体"/>
                <w:kern w:val="0"/>
                <w:sz w:val="18"/>
                <w:szCs w:val="18"/>
              </w:rPr>
              <w:t>①</w:t>
            </w:r>
            <w:r>
              <w:rPr>
                <w:rStyle w:val="33"/>
                <w:rFonts w:hint="eastAsia" w:ascii="楷体" w:hAnsi="楷体" w:eastAsia="楷体"/>
                <w:kern w:val="0"/>
                <w:sz w:val="18"/>
                <w:szCs w:val="18"/>
              </w:rPr>
              <w:t>提供本项目详细组织方案最高得3分（优 3 分、良 2 分、合格 1 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w:t>
            </w:r>
            <w:r>
              <w:rPr>
                <w:rStyle w:val="33"/>
                <w:rFonts w:hint="eastAsia" w:ascii="楷体" w:hAnsi="楷体" w:eastAsia="楷体"/>
                <w:kern w:val="0"/>
                <w:sz w:val="18"/>
                <w:szCs w:val="18"/>
              </w:rPr>
              <w:t>项目负责人具备中级职称化工专业大学专科以上得3分，高级职称资格得6 分。</w:t>
            </w:r>
          </w:p>
          <w:p>
            <w:pPr>
              <w:snapToGrid w:val="0"/>
              <w:textAlignment w:val="center"/>
              <w:rPr>
                <w:rStyle w:val="33"/>
                <w:rFonts w:ascii="楷体" w:hAnsi="楷体" w:eastAsia="楷体"/>
                <w:color w:val="0000FF"/>
                <w:kern w:val="0"/>
                <w:sz w:val="18"/>
                <w:szCs w:val="18"/>
              </w:rPr>
            </w:pPr>
          </w:p>
        </w:tc>
        <w:tc>
          <w:tcPr>
            <w:tcW w:w="2790"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napToGrid w:val="0"/>
              <w:textAlignment w:val="center"/>
              <w:rPr>
                <w:rStyle w:val="33"/>
                <w:rFonts w:ascii="楷体" w:hAnsi="楷体" w:eastAsia="楷体"/>
                <w:kern w:val="0"/>
                <w:sz w:val="18"/>
                <w:szCs w:val="18"/>
              </w:rPr>
            </w:pPr>
            <w:r>
              <w:rPr>
                <w:rStyle w:val="33"/>
                <w:rFonts w:ascii="楷体" w:hAnsi="楷体" w:eastAsia="楷体"/>
                <w:kern w:val="0"/>
                <w:sz w:val="18"/>
                <w:szCs w:val="18"/>
              </w:rPr>
              <w:t>项目负责人提供瓶装燃气或危化品从业履历证明。</w:t>
            </w:r>
          </w:p>
          <w:p>
            <w:pPr>
              <w:numPr>
                <w:ilvl w:val="0"/>
                <w:numId w:val="19"/>
              </w:numPr>
              <w:snapToGrid w:val="0"/>
              <w:textAlignment w:val="center"/>
              <w:rPr>
                <w:rStyle w:val="33"/>
                <w:rFonts w:ascii="楷体" w:hAnsi="楷体" w:eastAsia="楷体"/>
                <w:kern w:val="0"/>
                <w:sz w:val="18"/>
                <w:szCs w:val="18"/>
              </w:rPr>
            </w:pPr>
            <w:r>
              <w:rPr>
                <w:rStyle w:val="33"/>
                <w:rFonts w:ascii="楷体" w:hAnsi="楷体" w:eastAsia="楷体"/>
                <w:kern w:val="0"/>
                <w:sz w:val="18"/>
                <w:szCs w:val="18"/>
              </w:rPr>
              <w:t>职称、学历、</w:t>
            </w:r>
            <w:r>
              <w:rPr>
                <w:rStyle w:val="33"/>
                <w:rFonts w:hint="eastAsia" w:ascii="楷体" w:hAnsi="楷体" w:eastAsia="楷体"/>
                <w:kern w:val="0"/>
                <w:sz w:val="18"/>
                <w:szCs w:val="18"/>
              </w:rPr>
              <w:t>职称</w:t>
            </w:r>
            <w:r>
              <w:rPr>
                <w:rStyle w:val="33"/>
                <w:rFonts w:ascii="楷体" w:hAnsi="楷体" w:eastAsia="楷体"/>
                <w:kern w:val="0"/>
                <w:sz w:val="18"/>
                <w:szCs w:val="18"/>
              </w:rPr>
              <w:t>证书复印件加盖鲜章。</w:t>
            </w:r>
          </w:p>
          <w:p>
            <w:pPr>
              <w:numPr>
                <w:ilvl w:val="0"/>
                <w:numId w:val="19"/>
              </w:numPr>
              <w:snapToGrid w:val="0"/>
              <w:textAlignment w:val="center"/>
              <w:rPr>
                <w:rStyle w:val="33"/>
                <w:rFonts w:ascii="楷体" w:hAnsi="楷体" w:eastAsia="楷体"/>
                <w:color w:val="0000FF"/>
                <w:kern w:val="0"/>
                <w:sz w:val="18"/>
                <w:szCs w:val="18"/>
              </w:rPr>
            </w:pPr>
            <w:r>
              <w:rPr>
                <w:rStyle w:val="33"/>
                <w:rFonts w:hint="eastAsia" w:ascii="楷体" w:hAnsi="楷体" w:eastAsia="楷体"/>
                <w:kern w:val="0"/>
                <w:sz w:val="18"/>
                <w:szCs w:val="18"/>
              </w:rPr>
              <w:t>须提供本单位为其缴纳的2022年</w:t>
            </w:r>
            <w:r>
              <w:rPr>
                <w:rStyle w:val="33"/>
                <w:rFonts w:hint="eastAsia" w:ascii="楷体" w:hAnsi="楷体" w:eastAsia="楷体"/>
                <w:kern w:val="0"/>
                <w:sz w:val="18"/>
                <w:szCs w:val="18"/>
                <w:lang w:val="en-US" w:eastAsia="zh-CN"/>
              </w:rPr>
              <w:t>11</w:t>
            </w:r>
            <w:r>
              <w:rPr>
                <w:rStyle w:val="33"/>
                <w:rFonts w:hint="eastAsia" w:ascii="楷体" w:hAnsi="楷体" w:eastAsia="楷体"/>
                <w:kern w:val="0"/>
                <w:sz w:val="18"/>
                <w:szCs w:val="18"/>
              </w:rPr>
              <w:t>月-202</w:t>
            </w:r>
            <w:r>
              <w:rPr>
                <w:rStyle w:val="33"/>
                <w:rFonts w:hint="eastAsia" w:ascii="楷体" w:hAnsi="楷体" w:eastAsia="楷体"/>
                <w:kern w:val="0"/>
                <w:sz w:val="18"/>
                <w:szCs w:val="18"/>
                <w:lang w:val="en-US" w:eastAsia="zh-CN"/>
              </w:rPr>
              <w:t>3</w:t>
            </w:r>
            <w:r>
              <w:rPr>
                <w:rStyle w:val="33"/>
                <w:rFonts w:hint="eastAsia" w:ascii="楷体" w:hAnsi="楷体" w:eastAsia="楷体"/>
                <w:kern w:val="0"/>
                <w:sz w:val="18"/>
                <w:szCs w:val="18"/>
              </w:rPr>
              <w:t>年</w:t>
            </w:r>
            <w:r>
              <w:rPr>
                <w:rStyle w:val="33"/>
                <w:rFonts w:hint="eastAsia" w:ascii="楷体" w:hAnsi="楷体" w:eastAsia="楷体"/>
                <w:kern w:val="0"/>
                <w:sz w:val="18"/>
                <w:szCs w:val="18"/>
                <w:lang w:val="en-US" w:eastAsia="zh-CN"/>
              </w:rPr>
              <w:t>1</w:t>
            </w:r>
            <w:r>
              <w:rPr>
                <w:rStyle w:val="33"/>
                <w:rFonts w:hint="eastAsia" w:ascii="楷体" w:hAnsi="楷体" w:eastAsia="楷体"/>
                <w:kern w:val="0"/>
                <w:sz w:val="18"/>
                <w:szCs w:val="18"/>
              </w:rPr>
              <w:t>月社保证明，上述复印材料加盖投标人鲜章。联合体投标的，以其中一单位成员提供即可（注1）。</w:t>
            </w:r>
          </w:p>
        </w:tc>
      </w:tr>
      <w:tr>
        <w:tblPrEx>
          <w:tblCellMar>
            <w:top w:w="0" w:type="dxa"/>
            <w:left w:w="0" w:type="dxa"/>
            <w:bottom w:w="0" w:type="dxa"/>
            <w:right w:w="0" w:type="dxa"/>
          </w:tblCellMar>
        </w:tblPrEx>
        <w:trPr>
          <w:trHeight w:val="1125" w:hRule="atLeast"/>
        </w:trPr>
        <w:tc>
          <w:tcPr>
            <w:tcW w:w="43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kern w:val="0"/>
                <w:sz w:val="18"/>
                <w:szCs w:val="18"/>
              </w:rPr>
            </w:pPr>
            <w:r>
              <w:rPr>
                <w:rStyle w:val="33"/>
                <w:rFonts w:ascii="楷体" w:hAnsi="楷体" w:eastAsia="楷体"/>
                <w:kern w:val="0"/>
                <w:sz w:val="18"/>
                <w:szCs w:val="18"/>
              </w:rPr>
              <w:t>技</w:t>
            </w:r>
            <w:r>
              <w:rPr>
                <w:rStyle w:val="33"/>
                <w:rFonts w:ascii="楷体" w:hAnsi="楷体" w:eastAsia="楷体"/>
                <w:kern w:val="0"/>
                <w:sz w:val="18"/>
                <w:szCs w:val="18"/>
              </w:rPr>
              <w:br w:type="textWrapping"/>
            </w:r>
            <w:r>
              <w:rPr>
                <w:rStyle w:val="33"/>
                <w:rFonts w:ascii="楷体" w:hAnsi="楷体" w:eastAsia="楷体"/>
                <w:kern w:val="0"/>
                <w:sz w:val="18"/>
                <w:szCs w:val="18"/>
              </w:rPr>
              <w:t>术</w:t>
            </w:r>
            <w:r>
              <w:rPr>
                <w:rStyle w:val="33"/>
                <w:rFonts w:ascii="楷体" w:hAnsi="楷体" w:eastAsia="楷体"/>
                <w:kern w:val="0"/>
                <w:sz w:val="18"/>
                <w:szCs w:val="18"/>
              </w:rPr>
              <w:br w:type="textWrapping"/>
            </w:r>
            <w:r>
              <w:rPr>
                <w:rStyle w:val="33"/>
                <w:rFonts w:ascii="楷体" w:hAnsi="楷体" w:eastAsia="楷体"/>
                <w:kern w:val="0"/>
                <w:sz w:val="18"/>
                <w:szCs w:val="18"/>
              </w:rPr>
              <w:t>部</w:t>
            </w:r>
            <w:r>
              <w:rPr>
                <w:rStyle w:val="33"/>
                <w:rFonts w:ascii="楷体" w:hAnsi="楷体" w:eastAsia="楷体"/>
                <w:kern w:val="0"/>
                <w:sz w:val="18"/>
                <w:szCs w:val="18"/>
              </w:rPr>
              <w:br w:type="textWrapping"/>
            </w:r>
            <w:r>
              <w:rPr>
                <w:rStyle w:val="33"/>
                <w:rFonts w:ascii="楷体" w:hAnsi="楷体" w:eastAsia="楷体"/>
                <w:kern w:val="0"/>
                <w:sz w:val="18"/>
                <w:szCs w:val="18"/>
              </w:rPr>
              <w:t>分</w:t>
            </w:r>
            <w:r>
              <w:rPr>
                <w:rStyle w:val="33"/>
                <w:rFonts w:ascii="楷体" w:hAnsi="楷体" w:eastAsia="楷体"/>
                <w:kern w:val="0"/>
                <w:sz w:val="18"/>
                <w:szCs w:val="18"/>
              </w:rPr>
              <w:br w:type="textWrapping"/>
            </w:r>
            <w:r>
              <w:rPr>
                <w:rStyle w:val="33"/>
                <w:rFonts w:ascii="楷体" w:hAnsi="楷体" w:eastAsia="楷体"/>
                <w:kern w:val="0"/>
                <w:sz w:val="18"/>
                <w:szCs w:val="18"/>
              </w:rPr>
              <w:t>70%</w:t>
            </w:r>
          </w:p>
          <w:p>
            <w:pPr>
              <w:snapToGrid w:val="0"/>
              <w:textAlignment w:val="center"/>
              <w:rPr>
                <w:rStyle w:val="33"/>
                <w:rFonts w:ascii="楷体" w:hAnsi="楷体" w:eastAsia="楷体"/>
                <w:color w:val="FF0000"/>
                <w:kern w:val="0"/>
                <w:sz w:val="18"/>
                <w:szCs w:val="18"/>
              </w:rPr>
            </w:pPr>
          </w:p>
        </w:tc>
        <w:tc>
          <w:tcPr>
            <w:tcW w:w="1035" w:type="dxa"/>
            <w:vMerge w:val="restart"/>
            <w:tcBorders>
              <w:top w:val="single" w:color="000000" w:sz="4" w:space="0"/>
              <w:left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实施条件</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15</w:t>
            </w:r>
            <w:r>
              <w:rPr>
                <w:rStyle w:val="33"/>
                <w:rFonts w:ascii="楷体" w:hAnsi="楷体" w:eastAsia="楷体"/>
                <w:kern w:val="0"/>
                <w:sz w:val="18"/>
                <w:szCs w:val="18"/>
              </w:rPr>
              <w:t>分）</w:t>
            </w:r>
          </w:p>
        </w:tc>
        <w:tc>
          <w:tcPr>
            <w:tcW w:w="5990" w:type="dxa"/>
            <w:tcBorders>
              <w:top w:val="single" w:color="auto" w:sz="4" w:space="0"/>
              <w:left w:val="single" w:color="000000" w:sz="4" w:space="0"/>
              <w:bottom w:val="single" w:color="auto" w:sz="4" w:space="0"/>
              <w:right w:val="single" w:color="000000" w:sz="4" w:space="0"/>
            </w:tcBorders>
            <w:vAlign w:val="center"/>
          </w:tcPr>
          <w:p>
            <w:pPr>
              <w:pStyle w:val="502"/>
              <w:rPr>
                <w:rStyle w:val="33"/>
                <w:rFonts w:ascii="楷体" w:hAnsi="楷体" w:eastAsia="楷体" w:cstheme="minorBidi"/>
                <w:kern w:val="0"/>
                <w:sz w:val="18"/>
                <w:szCs w:val="18"/>
                <w:lang w:val="en-US" w:bidi="ar-SA"/>
              </w:rPr>
            </w:pPr>
            <w:r>
              <w:rPr>
                <w:rStyle w:val="33"/>
                <w:rFonts w:hint="eastAsia" w:ascii="楷体" w:hAnsi="楷体" w:eastAsia="楷体" w:cstheme="minorBidi"/>
                <w:kern w:val="0"/>
                <w:sz w:val="18"/>
                <w:szCs w:val="18"/>
                <w:lang w:val="en-US" w:bidi="ar-SA"/>
              </w:rPr>
              <w:t>此项得分累计。</w:t>
            </w:r>
          </w:p>
          <w:p>
            <w:pPr>
              <w:pStyle w:val="502"/>
              <w:rPr>
                <w:rStyle w:val="33"/>
                <w:rFonts w:ascii="楷体" w:hAnsi="楷体" w:eastAsia="楷体" w:cstheme="minorBidi"/>
                <w:kern w:val="0"/>
                <w:sz w:val="18"/>
                <w:szCs w:val="18"/>
                <w:lang w:val="en-US" w:bidi="ar-SA"/>
              </w:rPr>
            </w:pPr>
            <w:r>
              <w:rPr>
                <w:rStyle w:val="33"/>
                <w:rFonts w:ascii="楷体" w:hAnsi="楷体" w:eastAsia="楷体" w:cstheme="minorBidi"/>
                <w:kern w:val="0"/>
                <w:sz w:val="18"/>
                <w:szCs w:val="18"/>
                <w:lang w:val="en-US" w:bidi="ar-SA"/>
              </w:rPr>
              <w:t>①</w:t>
            </w:r>
            <w:r>
              <w:rPr>
                <w:rStyle w:val="33"/>
                <w:rFonts w:hint="eastAsia" w:ascii="楷体" w:hAnsi="楷体" w:eastAsia="楷体" w:cstheme="minorBidi"/>
                <w:kern w:val="0"/>
                <w:sz w:val="18"/>
                <w:szCs w:val="18"/>
                <w:lang w:val="en-US" w:bidi="ar-SA"/>
              </w:rPr>
              <w:t>投标人具有项目落地基本条件，有符合建设要求的土地或具有原有液化石油气（二甲醚）危化品充装站就地改建者得5分。</w:t>
            </w:r>
          </w:p>
        </w:tc>
        <w:tc>
          <w:tcPr>
            <w:tcW w:w="2790" w:type="dxa"/>
            <w:vMerge w:val="restart"/>
            <w:tcBorders>
              <w:top w:val="single" w:color="000000" w:sz="4" w:space="0"/>
              <w:left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hint="eastAsia" w:ascii="楷体" w:hAnsi="楷体" w:eastAsia="楷体"/>
                <w:kern w:val="0"/>
                <w:sz w:val="18"/>
                <w:szCs w:val="18"/>
              </w:rPr>
              <w:t>1.提供土地证明文件和方案设计。</w:t>
            </w:r>
          </w:p>
          <w:p>
            <w:pPr>
              <w:snapToGrid w:val="0"/>
              <w:textAlignment w:val="center"/>
              <w:rPr>
                <w:rStyle w:val="33"/>
                <w:rFonts w:ascii="楷体" w:hAnsi="楷体" w:eastAsia="楷体"/>
                <w:kern w:val="0"/>
                <w:sz w:val="18"/>
                <w:szCs w:val="18"/>
              </w:rPr>
            </w:pPr>
            <w:r>
              <w:rPr>
                <w:rStyle w:val="33"/>
                <w:rFonts w:hint="eastAsia" w:ascii="楷体" w:hAnsi="楷体" w:eastAsia="楷体"/>
                <w:kern w:val="0"/>
                <w:sz w:val="18"/>
                <w:szCs w:val="18"/>
              </w:rPr>
              <w:t>2.属于改建的提供原有充装站相关手续、用地证明、原平面布置图和改建方案设计。</w:t>
            </w:r>
          </w:p>
          <w:p>
            <w:pPr>
              <w:pStyle w:val="12"/>
              <w:rPr>
                <w:rStyle w:val="33"/>
                <w:rFonts w:ascii="楷体" w:hAnsi="楷体" w:eastAsia="楷体"/>
                <w:kern w:val="0"/>
                <w:sz w:val="18"/>
                <w:szCs w:val="18"/>
              </w:rPr>
            </w:pPr>
            <w:r>
              <w:rPr>
                <w:rStyle w:val="33"/>
                <w:rFonts w:hint="eastAsia" w:ascii="楷体" w:hAnsi="楷体" w:eastAsia="楷体"/>
                <w:kern w:val="0"/>
                <w:sz w:val="18"/>
                <w:szCs w:val="18"/>
              </w:rPr>
              <w:t>3.以上所有证明材料提供原件备查。</w:t>
            </w:r>
          </w:p>
          <w:p>
            <w:pPr>
              <w:snapToGrid w:val="0"/>
              <w:textAlignment w:val="center"/>
              <w:rPr>
                <w:rStyle w:val="33"/>
                <w:rFonts w:ascii="楷体" w:hAnsi="楷体" w:eastAsia="楷体"/>
                <w:kern w:val="0"/>
                <w:sz w:val="18"/>
                <w:szCs w:val="18"/>
              </w:rPr>
            </w:pPr>
          </w:p>
        </w:tc>
      </w:tr>
      <w:tr>
        <w:tblPrEx>
          <w:tblCellMar>
            <w:top w:w="0" w:type="dxa"/>
            <w:left w:w="0" w:type="dxa"/>
            <w:bottom w:w="0" w:type="dxa"/>
            <w:right w:w="0" w:type="dxa"/>
          </w:tblCellMar>
        </w:tblPrEx>
        <w:trPr>
          <w:trHeight w:val="736" w:hRule="atLeast"/>
        </w:trPr>
        <w:tc>
          <w:tcPr>
            <w:tcW w:w="430" w:type="dxa"/>
            <w:vMerge w:val="continue"/>
            <w:tcBorders>
              <w:left w:val="single" w:color="000000" w:sz="4" w:space="0"/>
              <w:right w:val="single" w:color="000000" w:sz="4" w:space="0"/>
            </w:tcBorders>
            <w:vAlign w:val="center"/>
          </w:tcPr>
          <w:p>
            <w:pPr>
              <w:snapToGrid w:val="0"/>
              <w:jc w:val="center"/>
              <w:textAlignment w:val="center"/>
              <w:rPr>
                <w:rStyle w:val="33"/>
                <w:rFonts w:ascii="宋体" w:hAnsi="宋体"/>
                <w:color w:val="FF0000"/>
                <w:sz w:val="18"/>
                <w:szCs w:val="18"/>
              </w:rPr>
            </w:pPr>
          </w:p>
        </w:tc>
        <w:tc>
          <w:tcPr>
            <w:tcW w:w="1035" w:type="dxa"/>
            <w:vMerge w:val="continue"/>
            <w:tcBorders>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kern w:val="0"/>
                <w:sz w:val="18"/>
                <w:szCs w:val="18"/>
              </w:rPr>
            </w:pPr>
          </w:p>
        </w:tc>
        <w:tc>
          <w:tcPr>
            <w:tcW w:w="5990" w:type="dxa"/>
            <w:tcBorders>
              <w:top w:val="single" w:color="auto" w:sz="4" w:space="0"/>
              <w:left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①</w:t>
            </w:r>
            <w:r>
              <w:rPr>
                <w:rStyle w:val="33"/>
                <w:rFonts w:hint="eastAsia" w:ascii="楷体" w:hAnsi="楷体" w:eastAsia="楷体"/>
                <w:kern w:val="0"/>
                <w:sz w:val="18"/>
                <w:szCs w:val="18"/>
              </w:rPr>
              <w:t>设计规划方案：</w:t>
            </w:r>
          </w:p>
          <w:p>
            <w:pPr>
              <w:snapToGrid w:val="0"/>
              <w:textAlignment w:val="center"/>
              <w:rPr>
                <w:rStyle w:val="33"/>
                <w:rFonts w:ascii="楷体" w:hAnsi="楷体" w:eastAsia="楷体"/>
                <w:kern w:val="0"/>
                <w:sz w:val="18"/>
                <w:szCs w:val="18"/>
              </w:rPr>
            </w:pPr>
            <w:r>
              <w:rPr>
                <w:rStyle w:val="33"/>
                <w:rFonts w:hint="eastAsia" w:ascii="楷体" w:hAnsi="楷体" w:eastAsia="楷体"/>
                <w:kern w:val="0"/>
                <w:sz w:val="18"/>
                <w:szCs w:val="18"/>
              </w:rPr>
              <w:t>“优”（方案详细、可行性高、操作性强）得5分；</w:t>
            </w:r>
          </w:p>
          <w:p>
            <w:pPr>
              <w:snapToGrid w:val="0"/>
              <w:textAlignment w:val="center"/>
              <w:rPr>
                <w:rStyle w:val="33"/>
                <w:rFonts w:ascii="楷体" w:hAnsi="楷体" w:eastAsia="楷体"/>
                <w:kern w:val="0"/>
                <w:sz w:val="18"/>
                <w:szCs w:val="18"/>
              </w:rPr>
            </w:pPr>
            <w:r>
              <w:rPr>
                <w:rStyle w:val="33"/>
                <w:rFonts w:hint="eastAsia" w:ascii="楷体" w:hAnsi="楷体" w:eastAsia="楷体"/>
                <w:kern w:val="0"/>
                <w:sz w:val="18"/>
                <w:szCs w:val="18"/>
              </w:rPr>
              <w:t>“良”（方案基本详细、可行性和操作性一般）得3-4分；</w:t>
            </w:r>
          </w:p>
          <w:p>
            <w:pPr>
              <w:snapToGrid w:val="0"/>
              <w:textAlignment w:val="center"/>
              <w:rPr>
                <w:rStyle w:val="33"/>
                <w:rFonts w:ascii="楷体" w:hAnsi="楷体" w:eastAsia="楷体"/>
                <w:kern w:val="0"/>
                <w:sz w:val="18"/>
                <w:szCs w:val="18"/>
              </w:rPr>
            </w:pPr>
            <w:r>
              <w:rPr>
                <w:rStyle w:val="33"/>
                <w:rFonts w:hint="eastAsia" w:ascii="楷体" w:hAnsi="楷体" w:eastAsia="楷体"/>
                <w:kern w:val="0"/>
                <w:sz w:val="18"/>
                <w:szCs w:val="18"/>
              </w:rPr>
              <w:t>“差”</w:t>
            </w:r>
            <w:r>
              <w:rPr>
                <w:rStyle w:val="33"/>
                <w:rFonts w:ascii="楷体" w:hAnsi="楷体" w:eastAsia="楷体"/>
                <w:kern w:val="0"/>
                <w:sz w:val="18"/>
                <w:szCs w:val="18"/>
              </w:rPr>
              <w:t>（方案</w:t>
            </w:r>
            <w:r>
              <w:rPr>
                <w:rStyle w:val="33"/>
                <w:rFonts w:hint="eastAsia" w:ascii="楷体" w:hAnsi="楷体" w:eastAsia="楷体"/>
                <w:kern w:val="0"/>
                <w:sz w:val="18"/>
                <w:szCs w:val="18"/>
              </w:rPr>
              <w:t>不</w:t>
            </w:r>
            <w:r>
              <w:rPr>
                <w:rStyle w:val="33"/>
                <w:rFonts w:ascii="楷体" w:hAnsi="楷体" w:eastAsia="楷体"/>
                <w:kern w:val="0"/>
                <w:sz w:val="18"/>
                <w:szCs w:val="18"/>
              </w:rPr>
              <w:t>详细、可行性和操作性</w:t>
            </w:r>
            <w:r>
              <w:rPr>
                <w:rStyle w:val="33"/>
                <w:rFonts w:hint="eastAsia" w:ascii="楷体" w:hAnsi="楷体" w:eastAsia="楷体"/>
                <w:kern w:val="0"/>
                <w:sz w:val="18"/>
                <w:szCs w:val="18"/>
              </w:rPr>
              <w:t>差</w:t>
            </w:r>
            <w:r>
              <w:rPr>
                <w:rStyle w:val="33"/>
                <w:rFonts w:ascii="楷体" w:hAnsi="楷体" w:eastAsia="楷体"/>
                <w:kern w:val="0"/>
                <w:sz w:val="18"/>
                <w:szCs w:val="18"/>
              </w:rPr>
              <w:t>）</w:t>
            </w:r>
            <w:r>
              <w:rPr>
                <w:rStyle w:val="33"/>
                <w:rFonts w:hint="eastAsia" w:ascii="楷体" w:hAnsi="楷体" w:eastAsia="楷体"/>
                <w:kern w:val="0"/>
                <w:sz w:val="18"/>
                <w:szCs w:val="18"/>
              </w:rPr>
              <w:t>得1-2分。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w:t>
            </w:r>
            <w:r>
              <w:rPr>
                <w:rStyle w:val="33"/>
                <w:rFonts w:hint="eastAsia" w:ascii="楷体" w:hAnsi="楷体" w:eastAsia="楷体"/>
                <w:kern w:val="0"/>
                <w:sz w:val="18"/>
                <w:szCs w:val="18"/>
              </w:rPr>
              <w:t>设计方案安全间距满足重庆市民用醇基液体燃料相关规范要求的得5分；不符合要求不得分。</w:t>
            </w:r>
          </w:p>
        </w:tc>
        <w:tc>
          <w:tcPr>
            <w:tcW w:w="2790" w:type="dxa"/>
            <w:vMerge w:val="continue"/>
            <w:tcBorders>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p>
        </w:tc>
      </w:tr>
      <w:tr>
        <w:tblPrEx>
          <w:tblCellMar>
            <w:top w:w="0" w:type="dxa"/>
            <w:left w:w="0" w:type="dxa"/>
            <w:bottom w:w="0" w:type="dxa"/>
            <w:right w:w="0" w:type="dxa"/>
          </w:tblCellMar>
        </w:tblPrEx>
        <w:trPr>
          <w:trHeight w:val="1852"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olor w:val="FF000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sz w:val="18"/>
                <w:szCs w:val="18"/>
              </w:rPr>
            </w:pPr>
            <w:r>
              <w:rPr>
                <w:rStyle w:val="33"/>
                <w:rFonts w:ascii="楷体" w:hAnsi="楷体" w:eastAsia="楷体"/>
                <w:kern w:val="0"/>
                <w:sz w:val="18"/>
                <w:szCs w:val="18"/>
              </w:rPr>
              <w:t>建设方案</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20</w:t>
            </w:r>
            <w:r>
              <w:rPr>
                <w:rStyle w:val="33"/>
                <w:rFonts w:ascii="楷体" w:hAnsi="楷体" w:eastAsia="楷体"/>
                <w:kern w:val="0"/>
                <w:sz w:val="18"/>
                <w:szCs w:val="18"/>
              </w:rPr>
              <w:t>分）</w:t>
            </w:r>
          </w:p>
        </w:tc>
        <w:tc>
          <w:tcPr>
            <w:tcW w:w="5990"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建设方案共分五项进行逐项评分，</w:t>
            </w:r>
            <w:r>
              <w:rPr>
                <w:rStyle w:val="33"/>
                <w:rFonts w:hint="eastAsia" w:ascii="楷体" w:hAnsi="楷体" w:eastAsia="楷体"/>
                <w:kern w:val="0"/>
                <w:sz w:val="18"/>
                <w:szCs w:val="18"/>
              </w:rPr>
              <w:t>本</w:t>
            </w:r>
            <w:r>
              <w:rPr>
                <w:rStyle w:val="33"/>
                <w:rFonts w:ascii="楷体" w:hAnsi="楷体" w:eastAsia="楷体"/>
                <w:kern w:val="0"/>
                <w:sz w:val="18"/>
                <w:szCs w:val="18"/>
              </w:rPr>
              <w:t>项得分累加，总得分不超过</w:t>
            </w:r>
            <w:r>
              <w:rPr>
                <w:rStyle w:val="33"/>
                <w:rFonts w:hint="eastAsia" w:ascii="楷体" w:hAnsi="楷体" w:eastAsia="楷体"/>
                <w:kern w:val="0"/>
                <w:sz w:val="18"/>
                <w:szCs w:val="18"/>
              </w:rPr>
              <w:t>20</w:t>
            </w:r>
            <w:r>
              <w:rPr>
                <w:rStyle w:val="33"/>
                <w:rFonts w:ascii="楷体" w:hAnsi="楷体" w:eastAsia="楷体"/>
                <w:kern w:val="0"/>
                <w:sz w:val="18"/>
                <w:szCs w:val="18"/>
              </w:rPr>
              <w:t>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①本项目建设计划详细</w:t>
            </w:r>
            <w:r>
              <w:rPr>
                <w:rStyle w:val="33"/>
                <w:rFonts w:hint="eastAsia" w:ascii="楷体" w:hAnsi="楷体" w:eastAsia="楷体"/>
                <w:kern w:val="0"/>
                <w:sz w:val="18"/>
                <w:szCs w:val="18"/>
              </w:rPr>
              <w:t>5分</w:t>
            </w:r>
            <w:r>
              <w:rPr>
                <w:rStyle w:val="33"/>
                <w:rFonts w:ascii="楷体" w:hAnsi="楷体" w:eastAsia="楷体"/>
                <w:kern w:val="0"/>
                <w:sz w:val="18"/>
                <w:szCs w:val="18"/>
              </w:rPr>
              <w:t>：优（方案非常详细、可行性高、操作性强）得</w:t>
            </w:r>
            <w:r>
              <w:rPr>
                <w:rStyle w:val="33"/>
                <w:rFonts w:hint="eastAsia" w:ascii="楷体" w:hAnsi="楷体" w:eastAsia="楷体"/>
                <w:kern w:val="0"/>
                <w:sz w:val="18"/>
                <w:szCs w:val="18"/>
              </w:rPr>
              <w:t>5</w:t>
            </w:r>
            <w:r>
              <w:rPr>
                <w:rStyle w:val="33"/>
                <w:rFonts w:ascii="楷体" w:hAnsi="楷体" w:eastAsia="楷体"/>
                <w:kern w:val="0"/>
                <w:sz w:val="18"/>
                <w:szCs w:val="18"/>
              </w:rPr>
              <w:t>分</w:t>
            </w:r>
            <w:r>
              <w:rPr>
                <w:rStyle w:val="33"/>
                <w:rFonts w:hint="eastAsia" w:ascii="楷体" w:hAnsi="楷体" w:eastAsia="楷体"/>
                <w:kern w:val="0"/>
                <w:sz w:val="18"/>
                <w:szCs w:val="18"/>
              </w:rPr>
              <w:t>；</w:t>
            </w:r>
            <w:r>
              <w:rPr>
                <w:rStyle w:val="33"/>
                <w:rFonts w:ascii="楷体" w:hAnsi="楷体" w:eastAsia="楷体"/>
                <w:kern w:val="0"/>
                <w:sz w:val="18"/>
                <w:szCs w:val="18"/>
              </w:rPr>
              <w:t>良（方案较详细、可行性较高、操作性较强）得</w:t>
            </w:r>
            <w:r>
              <w:rPr>
                <w:rStyle w:val="33"/>
                <w:rFonts w:hint="eastAsia" w:ascii="楷体" w:hAnsi="楷体" w:eastAsia="楷体"/>
                <w:kern w:val="0"/>
                <w:sz w:val="18"/>
                <w:szCs w:val="18"/>
              </w:rPr>
              <w:t>3-4</w:t>
            </w:r>
            <w:r>
              <w:rPr>
                <w:rStyle w:val="33"/>
                <w:rFonts w:ascii="楷体" w:hAnsi="楷体" w:eastAsia="楷体"/>
                <w:kern w:val="0"/>
                <w:sz w:val="18"/>
                <w:szCs w:val="18"/>
              </w:rPr>
              <w:t>分</w:t>
            </w:r>
            <w:r>
              <w:rPr>
                <w:rStyle w:val="33"/>
                <w:rFonts w:hint="eastAsia" w:ascii="楷体" w:hAnsi="楷体" w:eastAsia="楷体"/>
                <w:kern w:val="0"/>
                <w:sz w:val="18"/>
                <w:szCs w:val="18"/>
              </w:rPr>
              <w:t>；</w:t>
            </w:r>
            <w:r>
              <w:rPr>
                <w:rStyle w:val="33"/>
                <w:rFonts w:ascii="楷体" w:hAnsi="楷体" w:eastAsia="楷体"/>
                <w:kern w:val="0"/>
                <w:sz w:val="18"/>
                <w:szCs w:val="18"/>
              </w:rPr>
              <w:t>合格（方案基本详细、可行性和操作性一般）得</w:t>
            </w:r>
            <w:r>
              <w:rPr>
                <w:rStyle w:val="33"/>
                <w:rFonts w:hint="eastAsia" w:ascii="楷体" w:hAnsi="楷体" w:eastAsia="楷体"/>
                <w:kern w:val="0"/>
                <w:sz w:val="18"/>
                <w:szCs w:val="18"/>
              </w:rPr>
              <w:t>1-2</w:t>
            </w:r>
            <w:r>
              <w:rPr>
                <w:rStyle w:val="33"/>
                <w:rFonts w:ascii="楷体" w:hAnsi="楷体" w:eastAsia="楷体"/>
                <w:kern w:val="0"/>
                <w:sz w:val="18"/>
                <w:szCs w:val="18"/>
              </w:rPr>
              <w:t>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②资金筹措</w:t>
            </w:r>
            <w:r>
              <w:rPr>
                <w:rStyle w:val="33"/>
                <w:rFonts w:hint="eastAsia" w:ascii="楷体" w:hAnsi="楷体" w:eastAsia="楷体"/>
                <w:kern w:val="0"/>
                <w:sz w:val="18"/>
                <w:szCs w:val="18"/>
              </w:rPr>
              <w:t>来源得5分</w:t>
            </w:r>
            <w:r>
              <w:rPr>
                <w:rStyle w:val="33"/>
                <w:rFonts w:ascii="楷体" w:hAnsi="楷体" w:eastAsia="楷体"/>
                <w:kern w:val="0"/>
                <w:sz w:val="18"/>
                <w:szCs w:val="18"/>
              </w:rPr>
              <w:t>：企业自</w:t>
            </w:r>
            <w:r>
              <w:rPr>
                <w:rStyle w:val="33"/>
                <w:rFonts w:hint="eastAsia" w:ascii="楷体" w:hAnsi="楷体" w:eastAsia="楷体"/>
                <w:kern w:val="0"/>
                <w:sz w:val="18"/>
                <w:szCs w:val="18"/>
              </w:rPr>
              <w:t>筹</w:t>
            </w:r>
            <w:r>
              <w:rPr>
                <w:rStyle w:val="33"/>
                <w:rFonts w:ascii="楷体" w:hAnsi="楷体" w:eastAsia="楷体"/>
                <w:kern w:val="0"/>
                <w:sz w:val="18"/>
                <w:szCs w:val="18"/>
              </w:rPr>
              <w:t>资金</w:t>
            </w:r>
            <w:r>
              <w:rPr>
                <w:rStyle w:val="33"/>
                <w:rFonts w:hint="eastAsia" w:ascii="楷体" w:hAnsi="楷体" w:eastAsia="楷体"/>
                <w:kern w:val="0"/>
                <w:sz w:val="18"/>
                <w:szCs w:val="18"/>
              </w:rPr>
              <w:t>300万元以上得5分，200-300万元得3分，100-200万元得1分,100万元以下得0分</w:t>
            </w:r>
            <w:r>
              <w:rPr>
                <w:rStyle w:val="33"/>
                <w:rFonts w:ascii="楷体" w:hAnsi="楷体" w:eastAsia="楷体"/>
                <w:kern w:val="0"/>
                <w:sz w:val="18"/>
                <w:szCs w:val="18"/>
              </w:rPr>
              <w:t>。</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③技术先进、工艺合理</w:t>
            </w:r>
            <w:r>
              <w:rPr>
                <w:rStyle w:val="33"/>
                <w:rFonts w:hint="eastAsia" w:ascii="楷体" w:hAnsi="楷体" w:eastAsia="楷体"/>
                <w:kern w:val="0"/>
                <w:sz w:val="18"/>
                <w:szCs w:val="18"/>
              </w:rPr>
              <w:t>得4分</w:t>
            </w:r>
            <w:r>
              <w:rPr>
                <w:rStyle w:val="33"/>
                <w:rFonts w:ascii="楷体" w:hAnsi="楷体" w:eastAsia="楷体"/>
                <w:kern w:val="0"/>
                <w:sz w:val="18"/>
                <w:szCs w:val="18"/>
              </w:rPr>
              <w:t>：优（安全监</w:t>
            </w:r>
            <w:r>
              <w:rPr>
                <w:rStyle w:val="33"/>
                <w:rFonts w:hint="eastAsia" w:ascii="楷体" w:hAnsi="楷体" w:eastAsia="楷体"/>
                <w:kern w:val="0"/>
                <w:sz w:val="18"/>
                <w:szCs w:val="18"/>
              </w:rPr>
              <w:t>管、</w:t>
            </w:r>
            <w:r>
              <w:rPr>
                <w:rStyle w:val="33"/>
                <w:rFonts w:ascii="楷体" w:hAnsi="楷体" w:eastAsia="楷体"/>
                <w:kern w:val="0"/>
                <w:sz w:val="18"/>
                <w:szCs w:val="18"/>
              </w:rPr>
              <w:t>工艺满足地标要求）得</w:t>
            </w:r>
            <w:r>
              <w:rPr>
                <w:rStyle w:val="33"/>
                <w:rFonts w:hint="eastAsia" w:ascii="楷体" w:hAnsi="楷体" w:eastAsia="楷体"/>
                <w:kern w:val="0"/>
                <w:sz w:val="18"/>
                <w:szCs w:val="18"/>
              </w:rPr>
              <w:t>4</w:t>
            </w:r>
            <w:r>
              <w:rPr>
                <w:rStyle w:val="33"/>
                <w:rFonts w:ascii="楷体" w:hAnsi="楷体" w:eastAsia="楷体"/>
                <w:kern w:val="0"/>
                <w:sz w:val="18"/>
                <w:szCs w:val="18"/>
              </w:rPr>
              <w:t>分</w:t>
            </w:r>
            <w:r>
              <w:rPr>
                <w:rStyle w:val="33"/>
                <w:rFonts w:hint="eastAsia" w:ascii="楷体" w:hAnsi="楷体" w:eastAsia="楷体"/>
                <w:kern w:val="0"/>
                <w:sz w:val="18"/>
                <w:szCs w:val="18"/>
              </w:rPr>
              <w:t>；</w:t>
            </w:r>
            <w:r>
              <w:rPr>
                <w:rStyle w:val="33"/>
                <w:rFonts w:ascii="楷体" w:hAnsi="楷体" w:eastAsia="楷体"/>
                <w:kern w:val="0"/>
                <w:sz w:val="18"/>
                <w:szCs w:val="18"/>
              </w:rPr>
              <w:t>良（安全监</w:t>
            </w:r>
            <w:r>
              <w:rPr>
                <w:rStyle w:val="33"/>
                <w:rFonts w:hint="eastAsia" w:ascii="楷体" w:hAnsi="楷体" w:eastAsia="楷体"/>
                <w:kern w:val="0"/>
                <w:sz w:val="18"/>
                <w:szCs w:val="18"/>
              </w:rPr>
              <w:t>管、</w:t>
            </w:r>
            <w:r>
              <w:rPr>
                <w:rStyle w:val="33"/>
                <w:rFonts w:ascii="楷体" w:hAnsi="楷体" w:eastAsia="楷体"/>
                <w:kern w:val="0"/>
                <w:sz w:val="18"/>
                <w:szCs w:val="18"/>
              </w:rPr>
              <w:t>工艺</w:t>
            </w:r>
            <w:r>
              <w:rPr>
                <w:rStyle w:val="33"/>
                <w:rFonts w:hint="eastAsia" w:ascii="楷体" w:hAnsi="楷体" w:eastAsia="楷体"/>
                <w:kern w:val="0"/>
                <w:sz w:val="18"/>
                <w:szCs w:val="18"/>
              </w:rPr>
              <w:t>基本</w:t>
            </w:r>
            <w:r>
              <w:rPr>
                <w:rStyle w:val="33"/>
                <w:rFonts w:ascii="楷体" w:hAnsi="楷体" w:eastAsia="楷体"/>
                <w:kern w:val="0"/>
                <w:sz w:val="18"/>
                <w:szCs w:val="18"/>
              </w:rPr>
              <w:t>满足地标要求）得</w:t>
            </w:r>
            <w:r>
              <w:rPr>
                <w:rStyle w:val="33"/>
                <w:rFonts w:hint="eastAsia" w:ascii="楷体" w:hAnsi="楷体" w:eastAsia="楷体"/>
                <w:kern w:val="0"/>
                <w:sz w:val="18"/>
                <w:szCs w:val="18"/>
              </w:rPr>
              <w:t>3</w:t>
            </w:r>
            <w:r>
              <w:rPr>
                <w:rStyle w:val="33"/>
                <w:rFonts w:ascii="楷体" w:hAnsi="楷体" w:eastAsia="楷体"/>
                <w:kern w:val="0"/>
                <w:sz w:val="18"/>
                <w:szCs w:val="18"/>
              </w:rPr>
              <w:t>分，合格（安全监</w:t>
            </w:r>
            <w:r>
              <w:rPr>
                <w:rStyle w:val="33"/>
                <w:rFonts w:hint="eastAsia" w:ascii="楷体" w:hAnsi="楷体" w:eastAsia="楷体"/>
                <w:kern w:val="0"/>
                <w:sz w:val="18"/>
                <w:szCs w:val="18"/>
              </w:rPr>
              <w:t>管</w:t>
            </w:r>
            <w:r>
              <w:rPr>
                <w:rStyle w:val="33"/>
                <w:rFonts w:ascii="楷体" w:hAnsi="楷体" w:eastAsia="楷体"/>
                <w:kern w:val="0"/>
                <w:sz w:val="18"/>
                <w:szCs w:val="18"/>
              </w:rPr>
              <w:t>技术一般，工艺满足地标要求）得</w:t>
            </w:r>
            <w:r>
              <w:rPr>
                <w:rStyle w:val="33"/>
                <w:rFonts w:hint="eastAsia" w:ascii="楷体" w:hAnsi="楷体" w:eastAsia="楷体"/>
                <w:kern w:val="0"/>
                <w:sz w:val="18"/>
                <w:szCs w:val="18"/>
              </w:rPr>
              <w:t>2</w:t>
            </w:r>
            <w:r>
              <w:rPr>
                <w:rStyle w:val="33"/>
                <w:rFonts w:ascii="楷体" w:hAnsi="楷体" w:eastAsia="楷体"/>
                <w:kern w:val="0"/>
                <w:sz w:val="18"/>
                <w:szCs w:val="18"/>
              </w:rPr>
              <w:t>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④设施完备、安全</w:t>
            </w:r>
            <w:r>
              <w:rPr>
                <w:rStyle w:val="33"/>
                <w:rFonts w:hint="eastAsia" w:ascii="楷体" w:hAnsi="楷体" w:eastAsia="楷体"/>
                <w:kern w:val="0"/>
                <w:sz w:val="18"/>
                <w:szCs w:val="18"/>
              </w:rPr>
              <w:t>优质：优得3分</w:t>
            </w:r>
            <w:r>
              <w:rPr>
                <w:rStyle w:val="33"/>
                <w:rFonts w:ascii="楷体" w:hAnsi="楷体" w:eastAsia="楷体"/>
                <w:kern w:val="0"/>
                <w:sz w:val="18"/>
                <w:szCs w:val="18"/>
              </w:rPr>
              <w:t>（</w:t>
            </w:r>
            <w:r>
              <w:rPr>
                <w:rStyle w:val="33"/>
                <w:rFonts w:hint="eastAsia" w:ascii="楷体" w:hAnsi="楷体" w:eastAsia="楷体"/>
                <w:kern w:val="0"/>
                <w:sz w:val="18"/>
                <w:szCs w:val="18"/>
              </w:rPr>
              <w:t>具体在方案中体现</w:t>
            </w:r>
            <w:r>
              <w:rPr>
                <w:rStyle w:val="33"/>
                <w:rFonts w:ascii="楷体" w:hAnsi="楷体" w:eastAsia="楷体"/>
                <w:kern w:val="0"/>
                <w:sz w:val="18"/>
                <w:szCs w:val="18"/>
              </w:rPr>
              <w:t>）</w:t>
            </w:r>
            <w:r>
              <w:rPr>
                <w:rStyle w:val="33"/>
                <w:rFonts w:hint="eastAsia" w:ascii="楷体" w:hAnsi="楷体" w:eastAsia="楷体"/>
                <w:kern w:val="0"/>
                <w:sz w:val="18"/>
                <w:szCs w:val="18"/>
              </w:rPr>
              <w:t>，良得2分，一般得1分，</w:t>
            </w:r>
            <w:r>
              <w:rPr>
                <w:rStyle w:val="33"/>
                <w:rFonts w:ascii="楷体" w:hAnsi="楷体" w:eastAsia="楷体"/>
                <w:kern w:val="0"/>
                <w:sz w:val="18"/>
                <w:szCs w:val="18"/>
              </w:rPr>
              <w:t>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⑤项目质量控制措施科学、有效</w:t>
            </w:r>
            <w:r>
              <w:rPr>
                <w:rStyle w:val="33"/>
                <w:rFonts w:hint="eastAsia" w:ascii="楷体" w:hAnsi="楷体" w:eastAsia="楷体"/>
                <w:kern w:val="0"/>
                <w:sz w:val="18"/>
                <w:szCs w:val="18"/>
              </w:rPr>
              <w:t>优得3分</w:t>
            </w:r>
            <w:r>
              <w:rPr>
                <w:rStyle w:val="33"/>
                <w:rFonts w:ascii="楷体" w:hAnsi="楷体" w:eastAsia="楷体"/>
                <w:kern w:val="0"/>
                <w:sz w:val="18"/>
                <w:szCs w:val="18"/>
              </w:rPr>
              <w:t>（</w:t>
            </w:r>
            <w:r>
              <w:rPr>
                <w:rStyle w:val="33"/>
                <w:rFonts w:hint="eastAsia" w:ascii="楷体" w:hAnsi="楷体" w:eastAsia="楷体"/>
                <w:kern w:val="0"/>
                <w:sz w:val="18"/>
                <w:szCs w:val="18"/>
              </w:rPr>
              <w:t>具体在方案中体现</w:t>
            </w:r>
            <w:r>
              <w:rPr>
                <w:rStyle w:val="33"/>
                <w:rFonts w:ascii="楷体" w:hAnsi="楷体" w:eastAsia="楷体"/>
                <w:kern w:val="0"/>
                <w:sz w:val="18"/>
                <w:szCs w:val="18"/>
              </w:rPr>
              <w:t>）</w:t>
            </w:r>
            <w:r>
              <w:rPr>
                <w:rStyle w:val="33"/>
                <w:rFonts w:hint="eastAsia" w:ascii="楷体" w:hAnsi="楷体" w:eastAsia="楷体"/>
                <w:kern w:val="0"/>
                <w:sz w:val="18"/>
                <w:szCs w:val="18"/>
              </w:rPr>
              <w:t>，良得2分（在方案中体现），合格得1分，</w:t>
            </w:r>
            <w:r>
              <w:rPr>
                <w:rStyle w:val="33"/>
                <w:rFonts w:ascii="楷体" w:hAnsi="楷体" w:eastAsia="楷体"/>
                <w:kern w:val="0"/>
                <w:sz w:val="18"/>
                <w:szCs w:val="18"/>
              </w:rPr>
              <w:t>此小项缺失得0分。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对本项目的参与者情况、建设总体目标和分目标、建设规模、建设周期、建设内容、建设进度和质量控制措施作详细阐述。</w:t>
            </w:r>
            <w:r>
              <w:rPr>
                <w:rStyle w:val="33"/>
                <w:rFonts w:hint="eastAsia" w:ascii="楷体" w:hAnsi="楷体" w:eastAsia="楷体"/>
                <w:kern w:val="0"/>
                <w:sz w:val="18"/>
                <w:szCs w:val="18"/>
              </w:rPr>
              <w:t>企业自筹资金提供账户</w:t>
            </w:r>
            <w:r>
              <w:rPr>
                <w:rStyle w:val="33"/>
                <w:rFonts w:hint="eastAsia" w:ascii="楷体" w:hAnsi="楷体" w:eastAsia="楷体"/>
                <w:kern w:val="0"/>
                <w:sz w:val="18"/>
                <w:szCs w:val="18"/>
                <w:lang w:val="en-US" w:eastAsia="zh-CN"/>
              </w:rPr>
              <w:t>2022年12</w:t>
            </w:r>
            <w:r>
              <w:rPr>
                <w:rStyle w:val="33"/>
                <w:rFonts w:hint="eastAsia" w:ascii="楷体" w:hAnsi="楷体" w:eastAsia="楷体"/>
                <w:kern w:val="0"/>
                <w:sz w:val="18"/>
                <w:szCs w:val="18"/>
              </w:rPr>
              <w:t>月份账户余额为准。联合体投标的，账户余额只计算其一成员。</w:t>
            </w:r>
          </w:p>
        </w:tc>
      </w:tr>
      <w:tr>
        <w:tblPrEx>
          <w:tblCellMar>
            <w:top w:w="0" w:type="dxa"/>
            <w:left w:w="0" w:type="dxa"/>
            <w:bottom w:w="0" w:type="dxa"/>
            <w:right w:w="0" w:type="dxa"/>
          </w:tblCellMar>
        </w:tblPrEx>
        <w:trPr>
          <w:trHeight w:val="1351" w:hRule="atLeast"/>
        </w:trPr>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olor w:val="FF0000"/>
                <w:sz w:val="18"/>
                <w:szCs w:val="18"/>
              </w:rPr>
            </w:pPr>
          </w:p>
        </w:tc>
        <w:tc>
          <w:tcPr>
            <w:tcW w:w="1035" w:type="dxa"/>
            <w:tcBorders>
              <w:top w:val="single" w:color="000000" w:sz="4" w:space="0"/>
              <w:left w:val="single" w:color="000000" w:sz="4" w:space="0"/>
              <w:bottom w:val="single" w:color="auto" w:sz="4" w:space="0"/>
              <w:right w:val="single" w:color="auto" w:sz="4" w:space="0"/>
            </w:tcBorders>
            <w:vAlign w:val="center"/>
          </w:tcPr>
          <w:p>
            <w:pPr>
              <w:snapToGrid w:val="0"/>
              <w:jc w:val="center"/>
              <w:textAlignment w:val="center"/>
              <w:rPr>
                <w:rStyle w:val="33"/>
                <w:rFonts w:ascii="楷体" w:hAnsi="楷体" w:eastAsia="楷体"/>
                <w:sz w:val="18"/>
                <w:szCs w:val="18"/>
              </w:rPr>
            </w:pPr>
            <w:r>
              <w:rPr>
                <w:rStyle w:val="33"/>
                <w:rFonts w:ascii="楷体" w:hAnsi="楷体" w:eastAsia="楷体"/>
                <w:kern w:val="0"/>
                <w:sz w:val="18"/>
                <w:szCs w:val="18"/>
              </w:rPr>
              <w:t>组织实施</w:t>
            </w:r>
            <w:r>
              <w:rPr>
                <w:rStyle w:val="33"/>
                <w:rFonts w:ascii="楷体" w:hAnsi="楷体" w:eastAsia="楷体"/>
                <w:kern w:val="0"/>
                <w:sz w:val="18"/>
                <w:szCs w:val="18"/>
              </w:rPr>
              <w:br w:type="textWrapping"/>
            </w:r>
            <w:r>
              <w:rPr>
                <w:rStyle w:val="33"/>
                <w:rFonts w:ascii="楷体" w:hAnsi="楷体" w:eastAsia="楷体"/>
                <w:kern w:val="0"/>
                <w:sz w:val="18"/>
                <w:szCs w:val="18"/>
              </w:rPr>
              <w:t>（共10分）</w:t>
            </w:r>
          </w:p>
        </w:tc>
        <w:tc>
          <w:tcPr>
            <w:tcW w:w="5990" w:type="dxa"/>
            <w:tcBorders>
              <w:top w:val="single" w:color="000000" w:sz="4" w:space="0"/>
              <w:left w:val="single" w:color="auto" w:sz="4" w:space="0"/>
              <w:bottom w:val="single" w:color="auto"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组织实施共分四项进行逐项评分，各项得分累加，总得分不超过10分。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①项目人员组成结构合理：优（建设单位项目参与人员构成科学合理）得3分，良（建设单位项目参与人员构成较为合理）得2分，合格（建设单位项目参与人员构成基本合理）得1分；此小项缺失得0分。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项目进度计划合理：优（项目建设的筹建、设计、实施、验收、试运行各阶段的主要工作内容和进度详细科学）得2分，合格（项目建设的筹建、设计、实施、验收、试运行各阶段的主要工作内容和进度基本完整合理）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③项目管理流程合理：优（流程管理详细合理）得2分，合格（流程管理合理）得1分；此小项缺失得0分。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④质量控制措施科学合理：优（质量控制措施完善）得3分，良（质量控制措施基本完善）得2分，合格（质量控制措施不完善）得1分；此小项缺失得0分。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说明建设方的项目组成人员及要求；对本项目建设的筹建、设计、实施、验收、试运行各阶段的主要工作内容和进度安排作详细阐述；资料档案管理安全高效；质量控制到位。</w:t>
            </w:r>
          </w:p>
        </w:tc>
      </w:tr>
      <w:tr>
        <w:tblPrEx>
          <w:tblCellMar>
            <w:top w:w="0" w:type="dxa"/>
            <w:left w:w="0" w:type="dxa"/>
            <w:bottom w:w="0" w:type="dxa"/>
            <w:right w:w="0" w:type="dxa"/>
          </w:tblCellMar>
        </w:tblPrEx>
        <w:trPr>
          <w:trHeight w:val="697" w:hRule="atLeast"/>
        </w:trPr>
        <w:tc>
          <w:tcPr>
            <w:tcW w:w="430" w:type="dxa"/>
            <w:vMerge w:val="continue"/>
            <w:tcBorders>
              <w:top w:val="single" w:color="000000" w:sz="4" w:space="0"/>
              <w:left w:val="single" w:color="000000" w:sz="4" w:space="0"/>
              <w:bottom w:val="single" w:color="auto" w:sz="4" w:space="0"/>
              <w:right w:val="single" w:color="auto" w:sz="4" w:space="0"/>
            </w:tcBorders>
            <w:vAlign w:val="center"/>
          </w:tcPr>
          <w:p>
            <w:pPr>
              <w:snapToGrid w:val="0"/>
              <w:jc w:val="center"/>
              <w:rPr>
                <w:rStyle w:val="33"/>
                <w:rFonts w:ascii="宋体" w:hAnsi="宋体"/>
                <w:color w:val="FF0000"/>
                <w:sz w:val="18"/>
                <w:szCs w:val="18"/>
              </w:rPr>
            </w:pPr>
          </w:p>
        </w:tc>
        <w:tc>
          <w:tcPr>
            <w:tcW w:w="1035" w:type="dxa"/>
            <w:tcBorders>
              <w:top w:val="single" w:color="auto" w:sz="4" w:space="0"/>
              <w:left w:val="single" w:color="auto" w:sz="4" w:space="0"/>
              <w:bottom w:val="single" w:color="auto" w:sz="4" w:space="0"/>
              <w:right w:val="single" w:color="000000" w:sz="4" w:space="0"/>
            </w:tcBorders>
            <w:vAlign w:val="center"/>
          </w:tcPr>
          <w:p>
            <w:pPr>
              <w:snapToGrid w:val="0"/>
              <w:jc w:val="center"/>
              <w:textAlignment w:val="center"/>
              <w:rPr>
                <w:rStyle w:val="33"/>
                <w:rFonts w:ascii="楷体" w:hAnsi="楷体" w:eastAsia="楷体"/>
                <w:sz w:val="18"/>
                <w:szCs w:val="18"/>
              </w:rPr>
            </w:pPr>
            <w:r>
              <w:rPr>
                <w:rStyle w:val="33"/>
                <w:rFonts w:ascii="楷体" w:hAnsi="楷体" w:eastAsia="楷体"/>
                <w:kern w:val="0"/>
                <w:sz w:val="18"/>
                <w:szCs w:val="18"/>
              </w:rPr>
              <w:t>质</w:t>
            </w:r>
            <w:r>
              <w:rPr>
                <w:rStyle w:val="33"/>
                <w:rFonts w:hint="eastAsia" w:ascii="楷体" w:hAnsi="楷体" w:eastAsia="楷体"/>
                <w:kern w:val="0"/>
                <w:sz w:val="18"/>
                <w:szCs w:val="18"/>
              </w:rPr>
              <w:t>保</w:t>
            </w:r>
            <w:r>
              <w:rPr>
                <w:rStyle w:val="33"/>
                <w:rFonts w:ascii="楷体" w:hAnsi="楷体" w:eastAsia="楷体"/>
                <w:kern w:val="0"/>
                <w:sz w:val="18"/>
                <w:szCs w:val="18"/>
              </w:rPr>
              <w:t>体系</w:t>
            </w:r>
            <w:r>
              <w:rPr>
                <w:rStyle w:val="33"/>
                <w:rFonts w:ascii="楷体" w:hAnsi="楷体" w:eastAsia="楷体"/>
                <w:kern w:val="0"/>
                <w:sz w:val="18"/>
                <w:szCs w:val="18"/>
              </w:rPr>
              <w:br w:type="textWrapping"/>
            </w:r>
            <w:r>
              <w:rPr>
                <w:rStyle w:val="33"/>
                <w:rFonts w:ascii="楷体" w:hAnsi="楷体" w:eastAsia="楷体"/>
                <w:kern w:val="0"/>
                <w:sz w:val="18"/>
                <w:szCs w:val="18"/>
              </w:rPr>
              <w:t>（共</w:t>
            </w:r>
            <w:r>
              <w:rPr>
                <w:rStyle w:val="33"/>
                <w:rFonts w:hint="eastAsia" w:ascii="楷体" w:hAnsi="楷体" w:eastAsia="楷体"/>
                <w:kern w:val="0"/>
                <w:sz w:val="18"/>
                <w:szCs w:val="18"/>
              </w:rPr>
              <w:t>15</w:t>
            </w:r>
            <w:r>
              <w:rPr>
                <w:rStyle w:val="33"/>
                <w:rFonts w:ascii="楷体" w:hAnsi="楷体" w:eastAsia="楷体"/>
                <w:kern w:val="0"/>
                <w:sz w:val="18"/>
                <w:szCs w:val="18"/>
              </w:rPr>
              <w:t>分）</w:t>
            </w:r>
          </w:p>
        </w:tc>
        <w:tc>
          <w:tcPr>
            <w:tcW w:w="5990" w:type="dxa"/>
            <w:tcBorders>
              <w:top w:val="single" w:color="auto" w:sz="4" w:space="0"/>
              <w:left w:val="single" w:color="000000" w:sz="4" w:space="0"/>
              <w:bottom w:val="single" w:color="auto" w:sz="4" w:space="0"/>
              <w:right w:val="single" w:color="auto"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质</w:t>
            </w:r>
            <w:r>
              <w:rPr>
                <w:rStyle w:val="33"/>
                <w:rFonts w:hint="eastAsia" w:ascii="楷体" w:hAnsi="楷体" w:eastAsia="楷体"/>
                <w:kern w:val="0"/>
                <w:sz w:val="18"/>
                <w:szCs w:val="18"/>
              </w:rPr>
              <w:t>保</w:t>
            </w:r>
            <w:r>
              <w:rPr>
                <w:rStyle w:val="33"/>
                <w:rFonts w:ascii="楷体" w:hAnsi="楷体" w:eastAsia="楷体"/>
                <w:kern w:val="0"/>
                <w:sz w:val="18"/>
                <w:szCs w:val="18"/>
              </w:rPr>
              <w:t>体系共分五项进行逐项评分，各项得分累加，总得分不超过</w:t>
            </w:r>
            <w:r>
              <w:rPr>
                <w:rStyle w:val="33"/>
                <w:rFonts w:hint="eastAsia" w:ascii="楷体" w:hAnsi="楷体" w:eastAsia="楷体"/>
                <w:kern w:val="0"/>
                <w:sz w:val="18"/>
                <w:szCs w:val="18"/>
              </w:rPr>
              <w:t>15</w:t>
            </w:r>
            <w:r>
              <w:rPr>
                <w:rStyle w:val="33"/>
                <w:rFonts w:ascii="楷体" w:hAnsi="楷体" w:eastAsia="楷体"/>
                <w:kern w:val="0"/>
                <w:sz w:val="18"/>
                <w:szCs w:val="18"/>
              </w:rPr>
              <w:t>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①质</w:t>
            </w:r>
            <w:r>
              <w:rPr>
                <w:rStyle w:val="33"/>
                <w:rFonts w:hint="eastAsia" w:ascii="楷体" w:hAnsi="楷体" w:eastAsia="楷体"/>
                <w:kern w:val="0"/>
                <w:sz w:val="18"/>
                <w:szCs w:val="18"/>
              </w:rPr>
              <w:t>保</w:t>
            </w:r>
            <w:r>
              <w:rPr>
                <w:rStyle w:val="33"/>
                <w:rFonts w:ascii="楷体" w:hAnsi="楷体" w:eastAsia="楷体"/>
                <w:kern w:val="0"/>
                <w:sz w:val="18"/>
                <w:szCs w:val="18"/>
              </w:rPr>
              <w:t>体系文件内容完整：优（</w:t>
            </w:r>
            <w:r>
              <w:rPr>
                <w:rStyle w:val="33"/>
                <w:rFonts w:hint="eastAsia" w:ascii="楷体" w:hAnsi="楷体" w:eastAsia="楷体"/>
                <w:kern w:val="0"/>
                <w:sz w:val="18"/>
                <w:szCs w:val="18"/>
              </w:rPr>
              <w:t>参照</w:t>
            </w:r>
            <w:r>
              <w:rPr>
                <w:rStyle w:val="33"/>
                <w:rFonts w:ascii="楷体" w:hAnsi="楷体" w:eastAsia="楷体"/>
                <w:kern w:val="0"/>
                <w:sz w:val="18"/>
                <w:szCs w:val="18"/>
              </w:rPr>
              <w:t>符合</w:t>
            </w:r>
            <w:r>
              <w:rPr>
                <w:rStyle w:val="33"/>
                <w:rFonts w:hint="eastAsia" w:ascii="楷体" w:hAnsi="楷体" w:eastAsia="楷体"/>
                <w:kern w:val="0"/>
                <w:sz w:val="18"/>
                <w:szCs w:val="18"/>
              </w:rPr>
              <w:t>《特种设备生产和充装单位许可规则》（TSG07-2019）中的</w:t>
            </w:r>
            <w:r>
              <w:rPr>
                <w:rStyle w:val="33"/>
                <w:rFonts w:ascii="楷体" w:hAnsi="楷体" w:eastAsia="楷体"/>
                <w:kern w:val="0"/>
                <w:sz w:val="18"/>
                <w:szCs w:val="18"/>
              </w:rPr>
              <w:t>气瓶充装许可</w:t>
            </w:r>
            <w:r>
              <w:rPr>
                <w:rStyle w:val="33"/>
                <w:rFonts w:hint="eastAsia" w:ascii="楷体" w:hAnsi="楷体" w:eastAsia="楷体"/>
                <w:kern w:val="0"/>
                <w:sz w:val="18"/>
                <w:szCs w:val="18"/>
              </w:rPr>
              <w:t>部分</w:t>
            </w:r>
            <w:r>
              <w:rPr>
                <w:rStyle w:val="33"/>
                <w:rFonts w:ascii="楷体" w:hAnsi="楷体" w:eastAsia="楷体"/>
                <w:kern w:val="0"/>
                <w:sz w:val="18"/>
                <w:szCs w:val="18"/>
              </w:rPr>
              <w:t>钢瓶充装要求，文件格式和内容</w:t>
            </w:r>
            <w:r>
              <w:rPr>
                <w:rStyle w:val="33"/>
                <w:rFonts w:hint="eastAsia" w:ascii="楷体" w:hAnsi="楷体" w:eastAsia="楷体"/>
                <w:kern w:val="0"/>
                <w:sz w:val="18"/>
                <w:szCs w:val="18"/>
              </w:rPr>
              <w:t>完整</w:t>
            </w:r>
            <w:r>
              <w:rPr>
                <w:rStyle w:val="33"/>
                <w:rFonts w:ascii="楷体" w:hAnsi="楷体" w:eastAsia="楷体"/>
                <w:kern w:val="0"/>
                <w:sz w:val="18"/>
                <w:szCs w:val="18"/>
              </w:rPr>
              <w:t>）得</w:t>
            </w:r>
            <w:r>
              <w:rPr>
                <w:rStyle w:val="33"/>
                <w:rFonts w:hint="eastAsia" w:ascii="楷体" w:hAnsi="楷体" w:eastAsia="楷体"/>
                <w:kern w:val="0"/>
                <w:sz w:val="18"/>
                <w:szCs w:val="18"/>
              </w:rPr>
              <w:t>3</w:t>
            </w:r>
            <w:r>
              <w:rPr>
                <w:rStyle w:val="33"/>
                <w:rFonts w:ascii="楷体" w:hAnsi="楷体" w:eastAsia="楷体"/>
                <w:kern w:val="0"/>
                <w:sz w:val="18"/>
                <w:szCs w:val="18"/>
              </w:rPr>
              <w:t>分，良（</w:t>
            </w:r>
            <w:r>
              <w:rPr>
                <w:rStyle w:val="33"/>
                <w:rFonts w:hint="eastAsia" w:ascii="楷体" w:hAnsi="楷体" w:eastAsia="楷体"/>
                <w:kern w:val="0"/>
                <w:sz w:val="18"/>
                <w:szCs w:val="18"/>
              </w:rPr>
              <w:t>参照</w:t>
            </w:r>
            <w:r>
              <w:rPr>
                <w:rStyle w:val="33"/>
                <w:rFonts w:ascii="楷体" w:hAnsi="楷体" w:eastAsia="楷体"/>
                <w:kern w:val="0"/>
                <w:sz w:val="18"/>
                <w:szCs w:val="18"/>
              </w:rPr>
              <w:t>符合</w:t>
            </w:r>
            <w:r>
              <w:rPr>
                <w:rStyle w:val="33"/>
                <w:rFonts w:hint="eastAsia" w:ascii="楷体" w:hAnsi="楷体" w:eastAsia="楷体"/>
                <w:kern w:val="0"/>
                <w:sz w:val="18"/>
                <w:szCs w:val="18"/>
              </w:rPr>
              <w:t>《特种设备生产和充装单位许可规则》（TSG07-2019）中的</w:t>
            </w:r>
            <w:r>
              <w:rPr>
                <w:rStyle w:val="33"/>
                <w:rFonts w:ascii="楷体" w:hAnsi="楷体" w:eastAsia="楷体"/>
                <w:kern w:val="0"/>
                <w:sz w:val="18"/>
                <w:szCs w:val="18"/>
              </w:rPr>
              <w:t>气瓶充装许可</w:t>
            </w:r>
            <w:r>
              <w:rPr>
                <w:rStyle w:val="33"/>
                <w:rFonts w:hint="eastAsia" w:ascii="楷体" w:hAnsi="楷体" w:eastAsia="楷体"/>
                <w:kern w:val="0"/>
                <w:sz w:val="18"/>
                <w:szCs w:val="18"/>
              </w:rPr>
              <w:t>部分</w:t>
            </w:r>
            <w:r>
              <w:rPr>
                <w:rStyle w:val="33"/>
                <w:rFonts w:ascii="楷体" w:hAnsi="楷体" w:eastAsia="楷体"/>
                <w:kern w:val="0"/>
                <w:sz w:val="18"/>
                <w:szCs w:val="18"/>
              </w:rPr>
              <w:t>钢瓶充装要求</w:t>
            </w:r>
            <w:r>
              <w:rPr>
                <w:rStyle w:val="33"/>
                <w:rFonts w:hint="eastAsia" w:ascii="楷体" w:hAnsi="楷体" w:eastAsia="楷体"/>
                <w:kern w:val="0"/>
                <w:sz w:val="18"/>
                <w:szCs w:val="18"/>
              </w:rPr>
              <w:t>，</w:t>
            </w:r>
            <w:r>
              <w:rPr>
                <w:rStyle w:val="33"/>
                <w:rFonts w:ascii="楷体" w:hAnsi="楷体" w:eastAsia="楷体"/>
                <w:kern w:val="0"/>
                <w:sz w:val="18"/>
                <w:szCs w:val="18"/>
              </w:rPr>
              <w:t>文件格式和内容</w:t>
            </w:r>
            <w:r>
              <w:rPr>
                <w:rStyle w:val="33"/>
                <w:rFonts w:hint="eastAsia" w:ascii="楷体" w:hAnsi="楷体" w:eastAsia="楷体"/>
                <w:kern w:val="0"/>
                <w:sz w:val="18"/>
                <w:szCs w:val="18"/>
              </w:rPr>
              <w:t>较完整</w:t>
            </w:r>
            <w:r>
              <w:rPr>
                <w:rStyle w:val="33"/>
                <w:rFonts w:ascii="楷体" w:hAnsi="楷体" w:eastAsia="楷体"/>
                <w:kern w:val="0"/>
                <w:sz w:val="18"/>
                <w:szCs w:val="18"/>
              </w:rPr>
              <w:t>）得</w:t>
            </w:r>
            <w:r>
              <w:rPr>
                <w:rStyle w:val="33"/>
                <w:rFonts w:hint="eastAsia" w:ascii="楷体" w:hAnsi="楷体" w:eastAsia="楷体"/>
                <w:kern w:val="0"/>
                <w:sz w:val="18"/>
                <w:szCs w:val="18"/>
              </w:rPr>
              <w:t>2</w:t>
            </w:r>
            <w:r>
              <w:rPr>
                <w:rStyle w:val="33"/>
                <w:rFonts w:ascii="楷体" w:hAnsi="楷体" w:eastAsia="楷体"/>
                <w:kern w:val="0"/>
                <w:sz w:val="18"/>
                <w:szCs w:val="18"/>
              </w:rPr>
              <w:t>分，合格（</w:t>
            </w:r>
            <w:r>
              <w:rPr>
                <w:rStyle w:val="33"/>
                <w:rFonts w:hint="eastAsia" w:ascii="楷体" w:hAnsi="楷体" w:eastAsia="楷体"/>
                <w:kern w:val="0"/>
                <w:sz w:val="18"/>
                <w:szCs w:val="18"/>
              </w:rPr>
              <w:t>参照</w:t>
            </w:r>
            <w:r>
              <w:rPr>
                <w:rStyle w:val="33"/>
                <w:rFonts w:ascii="楷体" w:hAnsi="楷体" w:eastAsia="楷体"/>
                <w:kern w:val="0"/>
                <w:sz w:val="18"/>
                <w:szCs w:val="18"/>
              </w:rPr>
              <w:t>符合（</w:t>
            </w:r>
            <w:r>
              <w:rPr>
                <w:rStyle w:val="33"/>
                <w:rFonts w:hint="eastAsia" w:ascii="楷体" w:hAnsi="楷体" w:eastAsia="楷体"/>
                <w:kern w:val="0"/>
                <w:sz w:val="18"/>
                <w:szCs w:val="18"/>
              </w:rPr>
              <w:t>参照</w:t>
            </w:r>
            <w:r>
              <w:rPr>
                <w:rStyle w:val="33"/>
                <w:rFonts w:ascii="楷体" w:hAnsi="楷体" w:eastAsia="楷体"/>
                <w:kern w:val="0"/>
                <w:sz w:val="18"/>
                <w:szCs w:val="18"/>
              </w:rPr>
              <w:t>符合</w:t>
            </w:r>
            <w:r>
              <w:rPr>
                <w:rStyle w:val="33"/>
                <w:rFonts w:hint="eastAsia" w:ascii="楷体" w:hAnsi="楷体" w:eastAsia="楷体"/>
                <w:kern w:val="0"/>
                <w:sz w:val="18"/>
                <w:szCs w:val="18"/>
              </w:rPr>
              <w:t>《特种设备生产和充装单位许可规则》（TSG07-2019）中的</w:t>
            </w:r>
            <w:r>
              <w:rPr>
                <w:rStyle w:val="33"/>
                <w:rFonts w:ascii="楷体" w:hAnsi="楷体" w:eastAsia="楷体"/>
                <w:kern w:val="0"/>
                <w:sz w:val="18"/>
                <w:szCs w:val="18"/>
              </w:rPr>
              <w:t>气瓶充装许可</w:t>
            </w:r>
            <w:r>
              <w:rPr>
                <w:rStyle w:val="33"/>
                <w:rFonts w:hint="eastAsia" w:ascii="楷体" w:hAnsi="楷体" w:eastAsia="楷体"/>
                <w:kern w:val="0"/>
                <w:sz w:val="18"/>
                <w:szCs w:val="18"/>
              </w:rPr>
              <w:t>部分</w:t>
            </w:r>
            <w:r>
              <w:rPr>
                <w:rStyle w:val="33"/>
                <w:rFonts w:ascii="楷体" w:hAnsi="楷体" w:eastAsia="楷体"/>
                <w:kern w:val="0"/>
                <w:sz w:val="18"/>
                <w:szCs w:val="18"/>
              </w:rPr>
              <w:t>钢瓶充装要求</w:t>
            </w:r>
            <w:r>
              <w:rPr>
                <w:rStyle w:val="33"/>
                <w:rFonts w:hint="eastAsia" w:ascii="楷体" w:hAnsi="楷体" w:eastAsia="楷体"/>
                <w:kern w:val="0"/>
                <w:sz w:val="18"/>
                <w:szCs w:val="18"/>
              </w:rPr>
              <w:t>，有相关</w:t>
            </w:r>
            <w:r>
              <w:rPr>
                <w:rStyle w:val="33"/>
                <w:rFonts w:ascii="楷体" w:hAnsi="楷体" w:eastAsia="楷体"/>
                <w:kern w:val="0"/>
                <w:sz w:val="18"/>
                <w:szCs w:val="18"/>
              </w:rPr>
              <w:t>内容）得1分；此小项缺失得0分。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②组织机构设置的合理：优（内容完整，描述准确）得3分，良（内容较完整，描述较准确）得2分，合格（内容不完整，描述有较大偏差）得1分；此小项缺失得0分。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③管理文件针对性强：优（钢瓶充装、流转、信息管理全面完整）得</w:t>
            </w:r>
            <w:r>
              <w:rPr>
                <w:rStyle w:val="33"/>
                <w:rFonts w:hint="eastAsia" w:ascii="楷体" w:hAnsi="楷体" w:eastAsia="楷体"/>
                <w:kern w:val="0"/>
                <w:sz w:val="18"/>
                <w:szCs w:val="18"/>
              </w:rPr>
              <w:t>3</w:t>
            </w:r>
            <w:r>
              <w:rPr>
                <w:rStyle w:val="33"/>
                <w:rFonts w:ascii="楷体" w:hAnsi="楷体" w:eastAsia="楷体"/>
                <w:kern w:val="0"/>
                <w:sz w:val="18"/>
                <w:szCs w:val="18"/>
              </w:rPr>
              <w:t>分，良（钢瓶充装、流转、信息管理较全面完整）得</w:t>
            </w:r>
            <w:r>
              <w:rPr>
                <w:rStyle w:val="33"/>
                <w:rFonts w:hint="eastAsia" w:ascii="楷体" w:hAnsi="楷体" w:eastAsia="楷体"/>
                <w:kern w:val="0"/>
                <w:sz w:val="18"/>
                <w:szCs w:val="18"/>
              </w:rPr>
              <w:t>2</w:t>
            </w:r>
            <w:r>
              <w:rPr>
                <w:rStyle w:val="33"/>
                <w:rFonts w:ascii="楷体" w:hAnsi="楷体" w:eastAsia="楷体"/>
                <w:kern w:val="0"/>
                <w:sz w:val="18"/>
                <w:szCs w:val="18"/>
              </w:rPr>
              <w:t>分，合格（钢瓶充装、流转、信息管理）得1分；此小项缺失得0分。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④程序文件内容完整：优（操作流程文件完整规范）得3分，良（操作流程文件聚较完整规范）得2分，合格（操作流程文件基本可行）得1分；此小项缺失得0分。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⑤质量记录的实用性强：优（表格质量记录完备）得</w:t>
            </w:r>
            <w:r>
              <w:rPr>
                <w:rStyle w:val="33"/>
                <w:rFonts w:hint="eastAsia" w:ascii="楷体" w:hAnsi="楷体" w:eastAsia="楷体"/>
                <w:kern w:val="0"/>
                <w:sz w:val="18"/>
                <w:szCs w:val="18"/>
              </w:rPr>
              <w:t>3</w:t>
            </w:r>
            <w:r>
              <w:rPr>
                <w:rStyle w:val="33"/>
                <w:rFonts w:ascii="楷体" w:hAnsi="楷体" w:eastAsia="楷体"/>
                <w:kern w:val="0"/>
                <w:sz w:val="18"/>
                <w:szCs w:val="18"/>
              </w:rPr>
              <w:t>分，良（表格质量记录建较为完备）得2分，合格（表格质量记录较差）得1分。此小项缺失得0分。</w:t>
            </w:r>
          </w:p>
        </w:tc>
        <w:tc>
          <w:tcPr>
            <w:tcW w:w="2790" w:type="dxa"/>
            <w:tcBorders>
              <w:top w:val="single" w:color="000000" w:sz="4" w:space="0"/>
              <w:left w:val="single" w:color="auto"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质</w:t>
            </w:r>
            <w:r>
              <w:rPr>
                <w:rStyle w:val="33"/>
                <w:rFonts w:hint="eastAsia" w:ascii="楷体" w:hAnsi="楷体" w:eastAsia="楷体"/>
                <w:kern w:val="0"/>
                <w:sz w:val="18"/>
                <w:szCs w:val="18"/>
              </w:rPr>
              <w:t>保</w:t>
            </w:r>
            <w:r>
              <w:rPr>
                <w:rStyle w:val="33"/>
                <w:rFonts w:ascii="楷体" w:hAnsi="楷体" w:eastAsia="楷体"/>
                <w:kern w:val="0"/>
                <w:sz w:val="18"/>
                <w:szCs w:val="18"/>
              </w:rPr>
              <w:t>体系文件格式和内容应符合要求，内容要含有</w:t>
            </w:r>
            <w:r>
              <w:rPr>
                <w:rStyle w:val="33"/>
                <w:rFonts w:hint="eastAsia" w:ascii="楷体" w:hAnsi="楷体" w:eastAsia="楷体"/>
                <w:kern w:val="0"/>
                <w:sz w:val="18"/>
                <w:szCs w:val="18"/>
              </w:rPr>
              <w:t>《特种设备生产和充装单位许可规则》（TSG07-2019）</w:t>
            </w:r>
            <w:r>
              <w:rPr>
                <w:rStyle w:val="33"/>
                <w:rFonts w:ascii="楷体" w:hAnsi="楷体" w:eastAsia="楷体"/>
                <w:kern w:val="0"/>
                <w:sz w:val="18"/>
                <w:szCs w:val="18"/>
              </w:rPr>
              <w:t>中对钢瓶充装的相关要求。组织机构的设置应含有钢瓶充装、复检、出入库检查、安全管理等环节相关人员。应针对钢瓶充装、流转、信息管理相关的质量控制环节编制相关文件。针对醇基液体燃料和钢瓶充装编制的操作规程，应包括充装前后、充装、液体质量分析、相关设备操作、应急处置、罐车装卸操作规程。</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针对管理制度和操作规程编制的质量记录表格。</w:t>
            </w:r>
          </w:p>
        </w:tc>
      </w:tr>
      <w:tr>
        <w:tblPrEx>
          <w:tblCellMar>
            <w:top w:w="0" w:type="dxa"/>
            <w:left w:w="0" w:type="dxa"/>
            <w:bottom w:w="0" w:type="dxa"/>
            <w:right w:w="0" w:type="dxa"/>
          </w:tblCellMar>
        </w:tblPrEx>
        <w:trPr>
          <w:trHeight w:val="1252" w:hRule="atLeast"/>
        </w:trPr>
        <w:tc>
          <w:tcPr>
            <w:tcW w:w="430" w:type="dxa"/>
            <w:vMerge w:val="continue"/>
            <w:tcBorders>
              <w:top w:val="single" w:color="auto" w:sz="4" w:space="0"/>
              <w:left w:val="single" w:color="000000" w:sz="4" w:space="0"/>
              <w:bottom w:val="single" w:color="auto" w:sz="4" w:space="0"/>
              <w:right w:val="single" w:color="000000" w:sz="4" w:space="0"/>
            </w:tcBorders>
            <w:vAlign w:val="center"/>
          </w:tcPr>
          <w:p>
            <w:pPr>
              <w:snapToGrid w:val="0"/>
              <w:jc w:val="center"/>
              <w:rPr>
                <w:rStyle w:val="33"/>
                <w:rFonts w:ascii="宋体" w:hAnsi="宋体"/>
                <w:color w:val="FF0000"/>
                <w:sz w:val="18"/>
                <w:szCs w:val="18"/>
              </w:rPr>
            </w:pPr>
          </w:p>
        </w:tc>
        <w:tc>
          <w:tcPr>
            <w:tcW w:w="1035" w:type="dxa"/>
            <w:tcBorders>
              <w:top w:val="single" w:color="auto"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楷体" w:hAnsi="楷体" w:eastAsia="楷体"/>
                <w:sz w:val="18"/>
                <w:szCs w:val="18"/>
              </w:rPr>
            </w:pPr>
            <w:r>
              <w:rPr>
                <w:rStyle w:val="33"/>
                <w:rFonts w:ascii="楷体" w:hAnsi="楷体" w:eastAsia="楷体"/>
                <w:kern w:val="0"/>
                <w:sz w:val="18"/>
                <w:szCs w:val="18"/>
              </w:rPr>
              <w:t>服务体系</w:t>
            </w:r>
            <w:r>
              <w:rPr>
                <w:rStyle w:val="33"/>
                <w:rFonts w:ascii="楷体" w:hAnsi="楷体" w:eastAsia="楷体"/>
                <w:kern w:val="0"/>
                <w:sz w:val="18"/>
                <w:szCs w:val="18"/>
              </w:rPr>
              <w:br w:type="textWrapping"/>
            </w:r>
            <w:r>
              <w:rPr>
                <w:rStyle w:val="33"/>
                <w:rFonts w:ascii="楷体" w:hAnsi="楷体" w:eastAsia="楷体"/>
                <w:kern w:val="0"/>
                <w:sz w:val="18"/>
                <w:szCs w:val="18"/>
              </w:rPr>
              <w:t>（共10分）</w:t>
            </w:r>
          </w:p>
        </w:tc>
        <w:tc>
          <w:tcPr>
            <w:tcW w:w="5990" w:type="dxa"/>
            <w:tcBorders>
              <w:top w:val="single" w:color="auto"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服务体系共分五项进行逐项评分，各项得分累加，总得分不超过10分。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①服务体系相关人员配置：优（人员配备齐全且能力素质高）得3分，良（人员配备基本齐全且能力素质较高）得2分，合格（人员配备不齐全且能力素质一般）得1分；此小项缺失得0分。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②服务设施、设备配备合理：优（配送服务相关的设施、设备齐全）得2分，合格（配送服务相关的设施、设备不齐全）得1分；此小项缺失得0分。</w:t>
            </w:r>
          </w:p>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③服务体系管理文件和程序文件内容完整、针对性强：优（文件规范，内容全面，</w:t>
            </w:r>
            <w:r>
              <w:rPr>
                <w:rStyle w:val="33"/>
                <w:rFonts w:hint="eastAsia" w:ascii="楷体" w:hAnsi="楷体" w:eastAsia="楷体"/>
                <w:kern w:val="0"/>
                <w:sz w:val="18"/>
                <w:szCs w:val="18"/>
              </w:rPr>
              <w:t>针</w:t>
            </w:r>
            <w:r>
              <w:rPr>
                <w:rStyle w:val="33"/>
                <w:rFonts w:ascii="楷体" w:hAnsi="楷体" w:eastAsia="楷体"/>
                <w:kern w:val="0"/>
                <w:sz w:val="18"/>
                <w:szCs w:val="18"/>
              </w:rPr>
              <w:t>对性强）得5分，良（文件较规范，内容较全面，</w:t>
            </w:r>
            <w:r>
              <w:rPr>
                <w:rStyle w:val="33"/>
                <w:rFonts w:hint="eastAsia" w:ascii="楷体" w:hAnsi="楷体" w:eastAsia="楷体"/>
                <w:kern w:val="0"/>
                <w:sz w:val="18"/>
                <w:szCs w:val="18"/>
              </w:rPr>
              <w:t>针</w:t>
            </w:r>
            <w:r>
              <w:rPr>
                <w:rStyle w:val="33"/>
                <w:rFonts w:ascii="楷体" w:hAnsi="楷体" w:eastAsia="楷体"/>
                <w:kern w:val="0"/>
                <w:sz w:val="18"/>
                <w:szCs w:val="18"/>
              </w:rPr>
              <w:t>对性较强）得3分，合格（文件规范性较差，内容有缺失，</w:t>
            </w:r>
            <w:r>
              <w:rPr>
                <w:rStyle w:val="33"/>
                <w:rFonts w:hint="eastAsia" w:ascii="楷体" w:hAnsi="楷体" w:eastAsia="楷体"/>
                <w:kern w:val="0"/>
                <w:sz w:val="18"/>
                <w:szCs w:val="18"/>
              </w:rPr>
              <w:t>针</w:t>
            </w:r>
            <w:r>
              <w:rPr>
                <w:rStyle w:val="33"/>
                <w:rFonts w:ascii="楷体" w:hAnsi="楷体" w:eastAsia="楷体"/>
                <w:kern w:val="0"/>
                <w:sz w:val="18"/>
                <w:szCs w:val="18"/>
              </w:rPr>
              <w:t>对性差）得1分。此小项缺失得0分。</w:t>
            </w:r>
          </w:p>
        </w:tc>
        <w:tc>
          <w:tcPr>
            <w:tcW w:w="2790"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Style w:val="33"/>
                <w:rFonts w:ascii="楷体" w:hAnsi="楷体" w:eastAsia="楷体"/>
                <w:kern w:val="0"/>
                <w:sz w:val="18"/>
                <w:szCs w:val="18"/>
              </w:rPr>
            </w:pPr>
            <w:r>
              <w:rPr>
                <w:rStyle w:val="33"/>
                <w:rFonts w:ascii="楷体" w:hAnsi="楷体" w:eastAsia="楷体"/>
                <w:kern w:val="0"/>
                <w:sz w:val="18"/>
                <w:szCs w:val="18"/>
              </w:rPr>
              <w:t>配备出入库管理、配送、投诉处理、服务质量监督考核、安全管理人员。配送服务相关的设施、设备，应包含应急处置设施。如：危货车、卫星定位监控系统、防护用品、灭火器、灭火毯等。配送服务质量目标、机构设置、流程、服务质量管理文件、服务质量回馈处置和考核、配送服务操作规程及相关记录。</w:t>
            </w:r>
          </w:p>
        </w:tc>
      </w:tr>
    </w:tbl>
    <w:p>
      <w:pPr>
        <w:snapToGrid w:val="0"/>
        <w:spacing w:line="400" w:lineRule="atLeast"/>
        <w:ind w:firstLine="560" w:firstLineChars="200"/>
      </w:pPr>
    </w:p>
    <w:p>
      <w:pPr>
        <w:snapToGrid w:val="0"/>
        <w:textAlignment w:val="center"/>
        <w:rPr>
          <w:rStyle w:val="33"/>
          <w:rFonts w:ascii="楷体" w:hAnsi="楷体" w:eastAsia="微软雅黑"/>
          <w:kern w:val="0"/>
          <w:sz w:val="24"/>
          <w:szCs w:val="24"/>
        </w:rPr>
        <w:sectPr>
          <w:footerReference r:id="rId9" w:type="default"/>
          <w:pgSz w:w="11910" w:h="16840"/>
          <w:pgMar w:top="2098" w:right="1474" w:bottom="1984" w:left="1587" w:header="995" w:footer="1094" w:gutter="0"/>
          <w:pgNumType w:start="10"/>
          <w:cols w:space="425" w:num="1"/>
        </w:sectPr>
      </w:pPr>
      <w:r>
        <w:rPr>
          <w:rStyle w:val="33"/>
          <w:rFonts w:hint="eastAsia" w:ascii="微软雅黑" w:hAnsi="微软雅黑" w:eastAsia="微软雅黑"/>
          <w:sz w:val="21"/>
          <w:szCs w:val="21"/>
        </w:rPr>
        <w:t>注：联合体投标的，人员可以任一单位提供，但联合体主体不能提供全部人员，由联合体另一方提供的，则联合体成员均须具有燃气许可或危化品许可的企业或具有瓶装燃气（二甲醚）充装经营资格。</w:t>
      </w:r>
    </w:p>
    <w:p>
      <w:pPr>
        <w:pStyle w:val="116"/>
        <w:snapToGrid w:val="0"/>
        <w:jc w:val="left"/>
        <w:rPr>
          <w:rStyle w:val="33"/>
          <w:rFonts w:ascii="微软雅黑" w:hAnsi="微软雅黑" w:eastAsia="微软雅黑"/>
          <w:b/>
          <w:color w:val="000000"/>
          <w:sz w:val="21"/>
          <w:szCs w:val="21"/>
        </w:rPr>
      </w:pPr>
      <w:r>
        <w:rPr>
          <w:rStyle w:val="33"/>
          <w:rFonts w:ascii="微软雅黑" w:hAnsi="微软雅黑" w:eastAsia="微软雅黑" w:cs="微软雅黑"/>
          <w:bCs/>
          <w:color w:val="000000"/>
          <w:kern w:val="2"/>
          <w:sz w:val="28"/>
          <w:szCs w:val="28"/>
        </w:rPr>
        <w:t>四、无效投标条款</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投标人或其投标文件出现下列情况之一者，应为无效投标：</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（一）未按照招标文件的规定提交投标保证金的；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（二）投标文件未按招标文件要求签署、盖章的；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（三）不具备招标文件中规定的资格要求的；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（四）未实质性响应招标文件要求的；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（五）投标文件含有招标人不能接受的附加条件的；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（六）投标人串通投标的；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（七）法律、法规和招标文件规定的其他无效情形。</w:t>
      </w:r>
    </w:p>
    <w:p>
      <w:pPr>
        <w:pStyle w:val="25"/>
        <w:spacing w:line="400" w:lineRule="atLeast"/>
        <w:ind w:firstLine="560" w:firstLineChars="200"/>
        <w:jc w:val="left"/>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五、废标条款</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评标委员会评审时出现以下情况之一的，应予废标：</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（一）符合专业条件的投标人或者对招标文件作实质响应的投标人不足三家的（组织二次招标的，按渝经信油气〔2021〕9号文件执行</w:t>
      </w:r>
      <w:r>
        <w:rPr>
          <w:rStyle w:val="33"/>
          <w:rFonts w:hint="eastAsia" w:ascii="微软雅黑" w:hAnsi="微软雅黑" w:eastAsia="微软雅黑"/>
          <w:color w:val="000000"/>
          <w:sz w:val="21"/>
          <w:szCs w:val="21"/>
        </w:rPr>
        <w:t>：在二次招标过程中合格投标人仍然少于3人的按法定程序开标、评标</w:t>
      </w:r>
      <w:r>
        <w:rPr>
          <w:rStyle w:val="33"/>
          <w:rFonts w:ascii="微软雅黑" w:hAnsi="微软雅黑" w:eastAsia="微软雅黑"/>
          <w:color w:val="000000"/>
          <w:sz w:val="21"/>
          <w:szCs w:val="21"/>
        </w:rPr>
        <w:t>）；</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（二）出现影响招标公正的违法、违规行为的；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（三）因重大变故，招标任务取消的。</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废标后，除招标任务取消情形外，应当重新组织招标。</w:t>
      </w:r>
    </w:p>
    <w:p>
      <w:pPr>
        <w:pStyle w:val="25"/>
        <w:spacing w:line="400" w:lineRule="atLeast"/>
        <w:ind w:firstLine="560" w:firstLineChars="200"/>
        <w:jc w:val="left"/>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六、串通投标判定情形</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应当遵循公平竞争的原则，不得恶意串通，不得妨碍其他投标人的竞争行为，不得损害招标人或者其他投标人的合法权益。在评标过程中发现投标人有上述情形的，评标委员会应当认定其投标无效，并书面报告主管部门。</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投标人或其投标文件有下列情形之一的，视为投标人串通投标，其投标无效：</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（一）不同投标人的投标文件由同一单位或者个人编制；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（二）不同投标人委托同一单位或者个人办理投标事宜；</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（三）不同投标人的投标文件载明的项目管理成员或者联系人员为同一人；</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（四）不同投标人的投标文件异常一致；</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（五）不同投标人的投标文件相互混装；</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（六）不同投标人的投标保证金从同一单位或者个人的账户转出。</w:t>
      </w:r>
    </w:p>
    <w:p>
      <w:pPr>
        <w:pStyle w:val="24"/>
        <w:spacing w:before="0" w:after="0" w:line="360" w:lineRule="auto"/>
        <w:rPr>
          <w:rStyle w:val="33"/>
          <w:rFonts w:ascii="宋体" w:hAnsi="宋体" w:eastAsia="宋体"/>
          <w:b/>
          <w:color w:val="000000"/>
          <w:szCs w:val="22"/>
        </w:rPr>
      </w:pPr>
    </w:p>
    <w:p>
      <w:pPr>
        <w:snapToGrid w:val="0"/>
        <w:rPr>
          <w:rStyle w:val="33"/>
          <w:rFonts w:ascii="宋体" w:hAnsi="宋体"/>
          <w:b/>
          <w:color w:val="000000"/>
          <w:szCs w:val="22"/>
        </w:rPr>
      </w:pPr>
    </w:p>
    <w:p>
      <w:pPr>
        <w:pStyle w:val="116"/>
        <w:snapToGrid w:val="0"/>
        <w:rPr>
          <w:rStyle w:val="33"/>
          <w:rFonts w:ascii="宋体" w:hAnsi="宋体"/>
          <w:b/>
          <w:color w:val="000000"/>
          <w:szCs w:val="22"/>
        </w:rPr>
      </w:pPr>
    </w:p>
    <w:p>
      <w:pPr>
        <w:pStyle w:val="116"/>
        <w:snapToGrid w:val="0"/>
        <w:rPr>
          <w:rStyle w:val="33"/>
          <w:rFonts w:ascii="宋体" w:hAnsi="宋体"/>
          <w:b/>
          <w:color w:val="000000"/>
          <w:szCs w:val="22"/>
        </w:rPr>
      </w:pPr>
    </w:p>
    <w:p>
      <w:pPr>
        <w:pStyle w:val="116"/>
        <w:snapToGrid w:val="0"/>
        <w:rPr>
          <w:rStyle w:val="33"/>
        </w:rPr>
      </w:pPr>
    </w:p>
    <w:p>
      <w:pPr>
        <w:pStyle w:val="24"/>
        <w:spacing w:before="0" w:after="0" w:line="360" w:lineRule="auto"/>
        <w:rPr>
          <w:rStyle w:val="33"/>
          <w:rFonts w:ascii="宋体" w:hAnsi="宋体" w:eastAsia="宋体"/>
          <w:b/>
          <w:color w:val="000000"/>
        </w:rPr>
      </w:pPr>
      <w:r>
        <w:rPr>
          <w:rStyle w:val="33"/>
          <w:rFonts w:ascii="宋体" w:hAnsi="宋体" w:eastAsia="宋体"/>
          <w:b/>
          <w:color w:val="000000"/>
          <w:szCs w:val="22"/>
        </w:rPr>
        <w:t xml:space="preserve">第六章 </w:t>
      </w:r>
      <w:r>
        <w:rPr>
          <w:rStyle w:val="33"/>
          <w:rFonts w:ascii="宋体" w:hAnsi="宋体" w:eastAsia="宋体"/>
          <w:b/>
          <w:color w:val="000000"/>
        </w:rPr>
        <w:t xml:space="preserve"> 投标人须知</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一、投标人</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（一）投标人</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投标人是指响应招标参加投标竞争的法人和其他组织。</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（二）合格投标人条件</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合格投标人应完全符合招标文件第中规定的投标人资格条件，并对招标文件作出实质性响应。</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（三）投标人的风险</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投标人没有按照招标文件要求提供全部资料，或者投标人没有对招标文件在各方面作出实质性响应，可能导致投标被拒绝或评定为无效投标。</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（四）法律责任</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投标人违反相关规定，将按规定追究投标人法律责任。</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二、招标文件</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招标文件是投标人编制投标文件的依据，是评标委员会评判依据和标准。招标文件也是招标人与中标人签订合同的基础。</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（一）招标文件由招标公告；项目规模及质量要求；项目商务要求；项目技术要求；投标人须知；评标方法、评标标准、无效投标条款和废标条款；投标文件格式等七部分组成。</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（二）招标人（招标代理机构）对招标文件所作的一切有效的通知、修改及补充，都是招标文件不可分割的部分。</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（三）本项目的招标文件、补遗文件一律在</w:t>
      </w:r>
      <w:r>
        <w:rPr>
          <w:rStyle w:val="33"/>
          <w:rFonts w:hint="eastAsia" w:ascii="微软雅黑" w:hAnsi="微软雅黑" w:eastAsia="微软雅黑"/>
          <w:color w:val="000000"/>
          <w:sz w:val="21"/>
          <w:szCs w:val="21"/>
        </w:rPr>
        <w:t>彭水县</w:t>
      </w:r>
      <w:r>
        <w:rPr>
          <w:rStyle w:val="33"/>
          <w:rFonts w:hint="eastAsia" w:ascii="微软雅黑" w:hAnsi="微软雅黑" w:eastAsia="微软雅黑"/>
          <w:color w:val="000000"/>
          <w:sz w:val="21"/>
          <w:szCs w:val="21"/>
          <w:lang w:eastAsia="zh-CN"/>
        </w:rPr>
        <w:t>人民政府网站</w:t>
      </w:r>
      <w:r>
        <w:rPr>
          <w:rStyle w:val="33"/>
          <w:rFonts w:hint="eastAsia" w:ascii="微软雅黑" w:hAnsi="微软雅黑" w:eastAsia="微软雅黑"/>
          <w:color w:val="000000"/>
          <w:sz w:val="21"/>
          <w:szCs w:val="21"/>
          <w:lang w:val="en-US" w:eastAsia="zh-CN"/>
        </w:rPr>
        <w:t>-</w:t>
      </w:r>
      <w:r>
        <w:rPr>
          <w:rStyle w:val="33"/>
          <w:rFonts w:hint="eastAsia" w:ascii="微软雅黑" w:hAnsi="微软雅黑" w:eastAsia="微软雅黑"/>
          <w:color w:val="000000"/>
          <w:sz w:val="21"/>
          <w:szCs w:val="21"/>
        </w:rPr>
        <w:t>经信委</w:t>
      </w:r>
      <w:r>
        <w:rPr>
          <w:rStyle w:val="33"/>
          <w:rFonts w:hint="eastAsia" w:ascii="微软雅黑" w:hAnsi="微软雅黑" w:eastAsia="微软雅黑"/>
          <w:color w:val="000000"/>
          <w:sz w:val="21"/>
          <w:szCs w:val="21"/>
          <w:lang w:eastAsia="zh-CN"/>
        </w:rPr>
        <w:t>栏</w:t>
      </w:r>
      <w:r>
        <w:rPr>
          <w:rStyle w:val="33"/>
          <w:rFonts w:ascii="微软雅黑" w:hAnsi="微软雅黑" w:eastAsia="微软雅黑"/>
          <w:color w:val="000000"/>
          <w:sz w:val="21"/>
          <w:szCs w:val="21"/>
        </w:rPr>
        <w:t>（http://www.psx.gov.cn）上发布，请各投标人注意下载；无论投标人下载与否，</w:t>
      </w:r>
      <w:r>
        <w:rPr>
          <w:rStyle w:val="118"/>
          <w:rFonts w:ascii="微软雅黑" w:hAnsi="微软雅黑" w:eastAsia="微软雅黑"/>
          <w:color w:val="000000"/>
          <w:sz w:val="21"/>
          <w:szCs w:val="21"/>
        </w:rPr>
        <w:t>均视同投标人已知晓本项目</w:t>
      </w:r>
      <w:r>
        <w:rPr>
          <w:rStyle w:val="33"/>
          <w:rFonts w:ascii="微软雅黑" w:hAnsi="微软雅黑" w:eastAsia="微软雅黑"/>
          <w:color w:val="000000"/>
          <w:sz w:val="21"/>
          <w:szCs w:val="21"/>
        </w:rPr>
        <w:t>招标文件以及补遗文件的内容。</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（四）招标人（招标代理机构）对已发出的招标文件需要进行澄清或修改的，应以书面形式或公告形式通知所有招标文件收受人。该澄清或者修改的内容为招标文件的组成部分。</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三、投标文件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投标人应当按照招标文件的要求编制投标文件，并对招标文件提出的要求和条件作出实质性响应，投标文件原则上采用软面订本，同时应编制完整的目录。</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（一）投标文件组成</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投标文件按“投标文件格式”规定的部分和投标人所作的一切有效补充、修改和承诺等文件组成，投标人应按照“投标文件格式”规定的目录顺序组织编写和装订，否则有可能影响评委对投标文件的评审。</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（二）投标有效期</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投标有效期为投标截止日期后90天。</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（三）投标保证金</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1.投标人应在投标截止时间前，按招标文件规定缴纳投标保证金。</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2.投标保证金为投标的有效约束条件。</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3.投标保证金的有效期限在投标有效期过后三十天内继续有效。</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4.投标保证金币种应与投标报价币种相同。</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5.在《中标通知书》发出后五个工作日内无息退还未中标人的投标保证金；在授权经营合同签订后，五个工作日无息退还中标人的投标保证金。</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6.投标人有下列情形之一的，招标人可以不退还投标保证金：</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6.1投标人在投标有效期内撤回投标文件的；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6.2投标人未按规定提交履约保证金的；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6.3投标人在投标过程中弄虚作假，提供虚假材料的；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6.4中标人（中标单位）无正当理由不与招标人签订授权经营合同的；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6.5中标人（中标单位）将中标项目转让给他人的；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6.6中标人（中标单位）拒绝履行合同义务的；</w:t>
      </w:r>
    </w:p>
    <w:p>
      <w:pPr>
        <w:snapToGrid w:val="0"/>
        <w:spacing w:line="400" w:lineRule="atLeast"/>
        <w:ind w:firstLine="411" w:firstLineChars="196"/>
        <w:jc w:val="left"/>
        <w:rPr>
          <w:rStyle w:val="33"/>
          <w:rFonts w:ascii="微软雅黑" w:hAnsi="微软雅黑" w:eastAsia="微软雅黑"/>
          <w:color w:val="000000"/>
          <w:sz w:val="21"/>
          <w:szCs w:val="21"/>
        </w:rPr>
      </w:pPr>
      <w:r>
        <w:rPr>
          <w:rStyle w:val="33"/>
          <w:rFonts w:hint="eastAsia" w:ascii="微软雅黑" w:hAnsi="微软雅黑" w:eastAsia="微软雅黑"/>
          <w:color w:val="000000"/>
          <w:sz w:val="21"/>
          <w:szCs w:val="21"/>
        </w:rPr>
        <w:t>6.7其他严重扰乱招投标程序的。</w:t>
      </w:r>
    </w:p>
    <w:p>
      <w:pPr>
        <w:snapToGrid w:val="0"/>
        <w:spacing w:line="400" w:lineRule="atLeast"/>
        <w:ind w:firstLine="411" w:firstLineChars="196"/>
        <w:jc w:val="left"/>
        <w:rPr>
          <w:rStyle w:val="33"/>
          <w:rFonts w:ascii="微软雅黑" w:hAnsi="微软雅黑" w:eastAsia="微软雅黑" w:cs="微软雅黑"/>
          <w:bCs/>
          <w:color w:val="000000"/>
          <w:sz w:val="21"/>
          <w:szCs w:val="21"/>
        </w:rPr>
      </w:pPr>
      <w:r>
        <w:rPr>
          <w:rStyle w:val="33"/>
          <w:rFonts w:ascii="微软雅黑" w:hAnsi="微软雅黑" w:eastAsia="微软雅黑" w:cs="微软雅黑"/>
          <w:bCs/>
          <w:color w:val="000000"/>
          <w:sz w:val="21"/>
          <w:szCs w:val="21"/>
        </w:rPr>
        <w:t>（四）投</w:t>
      </w:r>
      <w:r>
        <w:rPr>
          <w:rStyle w:val="33"/>
          <w:rFonts w:ascii="微软雅黑" w:hAnsi="微软雅黑" w:eastAsia="微软雅黑"/>
          <w:color w:val="000000"/>
          <w:sz w:val="21"/>
          <w:szCs w:val="21"/>
        </w:rPr>
        <w:t>标文件的份数和签署</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1.投标文件包括资格审查文件</w:t>
      </w:r>
      <w:r>
        <w:rPr>
          <w:rStyle w:val="33"/>
          <w:rFonts w:ascii="微软雅黑" w:hAnsi="微软雅黑" w:eastAsia="微软雅黑"/>
          <w:color w:val="0000FF"/>
          <w:sz w:val="21"/>
          <w:szCs w:val="21"/>
        </w:rPr>
        <w:t>、</w:t>
      </w:r>
      <w:r>
        <w:rPr>
          <w:rStyle w:val="33"/>
          <w:rFonts w:ascii="微软雅黑" w:hAnsi="微软雅黑" w:eastAsia="微软雅黑"/>
          <w:color w:val="000000"/>
          <w:sz w:val="21"/>
          <w:szCs w:val="21"/>
        </w:rPr>
        <w:t>商务文件和技术文件。资格审查文件单独装订并密封，为正本一份，副本两份，投标人在资格审查时，须同时提供原件备查。商务</w:t>
      </w:r>
      <w:r>
        <w:rPr>
          <w:rStyle w:val="33"/>
          <w:rFonts w:hint="eastAsia" w:ascii="微软雅黑" w:hAnsi="微软雅黑" w:eastAsia="微软雅黑"/>
          <w:color w:val="000000"/>
          <w:sz w:val="21"/>
          <w:szCs w:val="21"/>
        </w:rPr>
        <w:t>、</w:t>
      </w:r>
      <w:r>
        <w:rPr>
          <w:rStyle w:val="33"/>
          <w:rFonts w:ascii="微软雅黑" w:hAnsi="微软雅黑" w:eastAsia="微软雅黑"/>
          <w:color w:val="000000"/>
          <w:sz w:val="21"/>
          <w:szCs w:val="21"/>
        </w:rPr>
        <w:t>技术文件正本一份，副本两份。</w:t>
      </w:r>
      <w:r>
        <w:rPr>
          <w:rStyle w:val="33"/>
          <w:rFonts w:ascii="微软雅黑" w:hAnsi="微软雅黑" w:eastAsia="微软雅黑"/>
          <w:b/>
          <w:color w:val="000000"/>
          <w:sz w:val="21"/>
          <w:szCs w:val="21"/>
        </w:rPr>
        <w:t>在封面清楚地标明“项目名称”、“投标人名称”、“正本（或副本）”、“商务</w:t>
      </w:r>
      <w:r>
        <w:rPr>
          <w:rStyle w:val="33"/>
          <w:rFonts w:hint="eastAsia" w:ascii="微软雅黑" w:hAnsi="微软雅黑" w:eastAsia="微软雅黑"/>
          <w:b/>
          <w:color w:val="000000"/>
          <w:sz w:val="21"/>
          <w:szCs w:val="21"/>
        </w:rPr>
        <w:t>、技术</w:t>
      </w:r>
      <w:r>
        <w:rPr>
          <w:rStyle w:val="33"/>
          <w:rFonts w:ascii="微软雅黑" w:hAnsi="微软雅黑" w:eastAsia="微软雅黑"/>
          <w:b/>
          <w:color w:val="000000"/>
          <w:sz w:val="21"/>
          <w:szCs w:val="21"/>
        </w:rPr>
        <w:t>文件（或</w:t>
      </w:r>
      <w:r>
        <w:rPr>
          <w:rStyle w:val="33"/>
          <w:rFonts w:hint="eastAsia" w:ascii="微软雅黑" w:hAnsi="微软雅黑" w:eastAsia="微软雅黑"/>
          <w:b/>
          <w:color w:val="000000"/>
          <w:sz w:val="21"/>
          <w:szCs w:val="21"/>
        </w:rPr>
        <w:t>资格审查文件</w:t>
      </w:r>
      <w:r>
        <w:rPr>
          <w:rStyle w:val="33"/>
          <w:rFonts w:ascii="微软雅黑" w:hAnsi="微软雅黑" w:eastAsia="微软雅黑"/>
          <w:b/>
          <w:color w:val="000000"/>
          <w:sz w:val="21"/>
          <w:szCs w:val="21"/>
        </w:rPr>
        <w:t>）”。</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2.在投标文件正本中，招标文件投标文件格式中规定签字、盖章的地方必须按其规定签字、盖章。</w:t>
      </w:r>
    </w:p>
    <w:p>
      <w:pPr>
        <w:tabs>
          <w:tab w:val="left" w:pos="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3.若投标人对投标文件的错处作必要修改，则应在修改处加盖投标人公章或由法定代表人或法定代表人授权代表签字确认。</w:t>
      </w:r>
    </w:p>
    <w:p>
      <w:pPr>
        <w:snapToGrid w:val="0"/>
        <w:spacing w:line="400" w:lineRule="atLeast"/>
        <w:ind w:firstLine="411" w:firstLineChars="196"/>
        <w:jc w:val="left"/>
        <w:rPr>
          <w:rStyle w:val="33"/>
          <w:rFonts w:ascii="微软雅黑" w:hAnsi="微软雅黑" w:eastAsia="微软雅黑" w:cs="微软雅黑"/>
          <w:bCs/>
          <w:color w:val="000000"/>
          <w:sz w:val="21"/>
          <w:szCs w:val="21"/>
        </w:rPr>
      </w:pPr>
      <w:r>
        <w:rPr>
          <w:rStyle w:val="33"/>
          <w:rFonts w:ascii="微软雅黑" w:hAnsi="微软雅黑" w:eastAsia="微软雅黑"/>
          <w:color w:val="000000"/>
          <w:sz w:val="21"/>
          <w:szCs w:val="21"/>
        </w:rPr>
        <w:t>4.电报、电话、传真、邮寄形式的投标文件概不接受。</w:t>
      </w:r>
    </w:p>
    <w:p>
      <w:pPr>
        <w:pStyle w:val="70"/>
        <w:spacing w:line="400" w:lineRule="atLeas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（五）投标文件的递交</w:t>
      </w:r>
    </w:p>
    <w:p>
      <w:pPr>
        <w:pStyle w:val="70"/>
        <w:spacing w:line="400" w:lineRule="atLeast"/>
        <w:ind w:firstLine="420" w:firstLineChars="200"/>
        <w:rPr>
          <w:rStyle w:val="33"/>
          <w:rFonts w:ascii="微软雅黑" w:hAnsi="微软雅黑" w:eastAsia="微软雅黑"/>
          <w:b/>
          <w:color w:val="000000"/>
          <w:szCs w:val="21"/>
        </w:rPr>
      </w:pPr>
      <w:r>
        <w:rPr>
          <w:rStyle w:val="33"/>
          <w:rFonts w:ascii="微软雅黑" w:hAnsi="微软雅黑" w:eastAsia="微软雅黑"/>
          <w:b/>
          <w:color w:val="000000"/>
          <w:szCs w:val="21"/>
        </w:rPr>
        <w:t>1.投标文件的密封与标记</w:t>
      </w:r>
    </w:p>
    <w:p>
      <w:pPr>
        <w:pStyle w:val="70"/>
        <w:spacing w:line="400" w:lineRule="atLeast"/>
        <w:ind w:firstLine="420" w:firstLineChars="200"/>
        <w:rPr>
          <w:rStyle w:val="33"/>
          <w:rFonts w:ascii="微软雅黑" w:hAnsi="微软雅黑" w:eastAsia="微软雅黑"/>
          <w:b/>
          <w:color w:val="000000"/>
          <w:szCs w:val="21"/>
        </w:rPr>
      </w:pPr>
      <w:r>
        <w:rPr>
          <w:rStyle w:val="33"/>
          <w:rFonts w:ascii="微软雅黑" w:hAnsi="微软雅黑" w:eastAsia="微软雅黑"/>
          <w:b/>
          <w:color w:val="000000"/>
          <w:szCs w:val="21"/>
        </w:rPr>
        <w:t>投标文件的正本、副本均应密封送达投标地点，封套上应注明项目名称（若项目实行分包招标，还须注明分包号和分包名称）、投标人名称。若正本、副本分别进行密封的，还应在封套上注明“正本”、“副本”字样。</w:t>
      </w:r>
    </w:p>
    <w:p>
      <w:pPr>
        <w:pStyle w:val="70"/>
        <w:spacing w:line="380" w:lineRule="exact"/>
        <w:ind w:firstLine="420" w:firstLineChars="200"/>
        <w:rPr>
          <w:rStyle w:val="33"/>
          <w:rFonts w:ascii="微软雅黑" w:hAnsi="微软雅黑" w:eastAsia="微软雅黑"/>
          <w:b/>
          <w:color w:val="000000"/>
          <w:szCs w:val="21"/>
        </w:rPr>
      </w:pPr>
      <w:r>
        <w:rPr>
          <w:rStyle w:val="33"/>
          <w:rFonts w:ascii="微软雅黑" w:hAnsi="微软雅黑" w:eastAsia="微软雅黑"/>
          <w:b/>
          <w:color w:val="000000"/>
          <w:szCs w:val="21"/>
        </w:rPr>
        <w:t>2.如果投标文件未按上述规定进行密封或标记，招标代理机构对将现场退还其投标文件。</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四、开标</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（一）开标应当在招标文件中“招标公告”确定的时间和地点公开进行。</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（二）招标人（招标代理机构）可视招标具体情况，延长投标截止时间和开标时间，但至少在招标文件要求提交投标文件的截止三日前，将变更时间通知所有招标文件收受人。</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（三）开标由招标人主持，投标人和有关监督部门</w:t>
      </w:r>
      <w:r>
        <w:rPr>
          <w:rStyle w:val="33"/>
          <w:rFonts w:hint="eastAsia" w:ascii="微软雅黑" w:hAnsi="微软雅黑" w:eastAsia="微软雅黑"/>
          <w:color w:val="000000"/>
          <w:szCs w:val="21"/>
          <w:lang w:eastAsia="zh-CN"/>
        </w:rPr>
        <w:t>可派</w:t>
      </w:r>
      <w:r>
        <w:rPr>
          <w:rStyle w:val="33"/>
          <w:rFonts w:ascii="微软雅黑" w:hAnsi="微软雅黑" w:eastAsia="微软雅黑"/>
          <w:color w:val="000000"/>
          <w:szCs w:val="21"/>
        </w:rPr>
        <w:t>代表参加,有关监督部门可视情况派员现场监督。</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四）开标时，由投标人或者其推选的代表检查投标文件的密封情况；经确认无误后，由招标人或者招标代理机构工作人员当众拆封，宣布投标人名称和需要宣布的其他内容。投标人不足三家的，不得开标（组织二次招标的，按渝经信油气〔2021〕9号文件执行。）。</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（五）开标过程应由招标人或招标代理机构指定专人负责记录，并存档备查。</w:t>
      </w:r>
    </w:p>
    <w:p>
      <w:pPr>
        <w:pStyle w:val="70"/>
        <w:spacing w:line="380" w:lineRule="exact"/>
        <w:ind w:firstLine="420" w:firstLineChars="200"/>
        <w:rPr>
          <w:rStyle w:val="33"/>
          <w:rFonts w:ascii="微软雅黑" w:hAnsi="微软雅黑" w:eastAsia="微软雅黑"/>
          <w:color w:val="000000"/>
          <w:szCs w:val="21"/>
        </w:rPr>
      </w:pPr>
      <w:r>
        <w:rPr>
          <w:rStyle w:val="33"/>
          <w:rFonts w:ascii="微软雅黑" w:hAnsi="微软雅黑" w:eastAsia="微软雅黑"/>
          <w:color w:val="000000"/>
          <w:szCs w:val="21"/>
        </w:rPr>
        <w:t>（六）投标人未参加开标的，视同认可开标结果。</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五、评标</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见“评标”内容。</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六、定标</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（一）定标原则</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招标人或其授权的评标委员会应按照评标委员会</w:t>
      </w:r>
      <w:r>
        <w:rPr>
          <w:rStyle w:val="33"/>
          <w:rFonts w:hint="eastAsia" w:ascii="微软雅黑" w:hAnsi="微软雅黑" w:eastAsia="微软雅黑"/>
          <w:color w:val="000000"/>
          <w:sz w:val="21"/>
          <w:szCs w:val="21"/>
          <w:lang w:eastAsia="zh-CN"/>
        </w:rPr>
        <w:t>评选</w:t>
      </w:r>
      <w:r>
        <w:rPr>
          <w:rStyle w:val="33"/>
          <w:rFonts w:ascii="微软雅黑" w:hAnsi="微软雅黑" w:eastAsia="微软雅黑"/>
          <w:color w:val="000000"/>
          <w:sz w:val="21"/>
          <w:szCs w:val="21"/>
        </w:rPr>
        <w:t>的中标候选人排名顺序，确定中标人。</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（二）定标程序</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1.招标代理机构应当在评标结束后2个工作日内将评标报告送招标人。</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2.招标人应当自收到评标报告之日起3个工作日内，在评标委员会按照第五章第二节中的评标方法确定中标人。中标候选人并列的，由招标人或者招标人委托评标委员会按照招标文件规定的方式确定中标人。</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3.招标代理机构应当自中标人确定之日起2个工作日内，在</w:t>
      </w:r>
      <w:r>
        <w:rPr>
          <w:rStyle w:val="33"/>
          <w:rFonts w:hint="eastAsia" w:ascii="微软雅黑" w:hAnsi="微软雅黑" w:eastAsia="微软雅黑"/>
          <w:color w:val="000000"/>
          <w:sz w:val="21"/>
          <w:szCs w:val="21"/>
        </w:rPr>
        <w:t>彭水县</w:t>
      </w:r>
      <w:r>
        <w:rPr>
          <w:rStyle w:val="33"/>
          <w:rFonts w:hint="eastAsia" w:ascii="微软雅黑" w:hAnsi="微软雅黑" w:eastAsia="微软雅黑"/>
          <w:color w:val="000000"/>
          <w:sz w:val="21"/>
          <w:szCs w:val="21"/>
          <w:lang w:eastAsia="zh-CN"/>
        </w:rPr>
        <w:t>人民政府网站</w:t>
      </w:r>
      <w:r>
        <w:rPr>
          <w:rStyle w:val="33"/>
          <w:rFonts w:hint="eastAsia" w:ascii="微软雅黑" w:hAnsi="微软雅黑" w:eastAsia="微软雅黑"/>
          <w:color w:val="000000"/>
          <w:sz w:val="21"/>
          <w:szCs w:val="21"/>
          <w:lang w:val="en-US" w:eastAsia="zh-CN"/>
        </w:rPr>
        <w:t>-</w:t>
      </w:r>
      <w:r>
        <w:rPr>
          <w:rStyle w:val="33"/>
          <w:rFonts w:hint="eastAsia" w:ascii="微软雅黑" w:hAnsi="微软雅黑" w:eastAsia="微软雅黑"/>
          <w:color w:val="000000"/>
          <w:sz w:val="21"/>
          <w:szCs w:val="21"/>
        </w:rPr>
        <w:t>经信委</w:t>
      </w:r>
      <w:r>
        <w:rPr>
          <w:rStyle w:val="33"/>
          <w:rFonts w:hint="eastAsia" w:ascii="微软雅黑" w:hAnsi="微软雅黑" w:eastAsia="微软雅黑"/>
          <w:color w:val="000000"/>
          <w:sz w:val="21"/>
          <w:szCs w:val="21"/>
          <w:lang w:eastAsia="zh-CN"/>
        </w:rPr>
        <w:t>栏</w:t>
      </w:r>
      <w:r>
        <w:rPr>
          <w:rStyle w:val="33"/>
          <w:rFonts w:ascii="微软雅黑" w:hAnsi="微软雅黑" w:eastAsia="微软雅黑"/>
          <w:color w:val="000000"/>
          <w:sz w:val="21"/>
          <w:szCs w:val="21"/>
        </w:rPr>
        <w:t>（http://www.psx.gov.cn）上公告中标结果。中标公告期限为2个工作日。</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4.中标人（中标单位）单位变更</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中标人拒绝与招标人签订合同的，招标人可以按照评标报告推荐的中标候选人顺序，确定排名下一位的候选人为中标人，也可报县经济信息委后重新开展议标（按照得分排序再综合确定中标人）。</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七、中标通知书</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（一）招标人依法确定中标人后，招标人（招标代理机构）以书面形式发出中标通知书。</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（二）中标通知书发出后，招标人改变中标结果，或者中标人放弃中标，应当承担相应的法律责任。</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八、询问、质疑</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（一）询问</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在递交投标文件前务必认真阅读本招标文件所述条款及内容，投标人对招标项目要求如有疑问，可以依法向招标人或者招标代理机构提出询问，招标人或者招标代理机构应当在3个工作日内对投标人依法提出的询问作出答复。投标人询问以书面形式。</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（二）质疑</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1.质疑内容、时限</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1.1招标文件期限为招标公告发出之日起五个工作日，投标人对招标文件提出质疑的，应在招标文件公告期限内以书面形式向招标人提出，并附相关证明材料。</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1.2 中标结果公告期限为中标结果公告发出之日起3个工作日，投标人对中标结果如有异议的，应当在中标结果公示期限内以书面形式向招标人或招标代理机构提出质疑，并附相关证明材料。</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2.质疑答复</w:t>
      </w:r>
    </w:p>
    <w:p>
      <w:pPr>
        <w:snapToGrid w:val="0"/>
        <w:spacing w:line="38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招标人、招标代理机构应当在收到投标人的书面质疑后七个工作日内作出答复，并以书面形式通知质疑投标人和其他有关投标人。</w:t>
      </w:r>
    </w:p>
    <w:p>
      <w:pPr>
        <w:pStyle w:val="25"/>
        <w:spacing w:line="400" w:lineRule="atLeast"/>
        <w:ind w:firstLine="700" w:firstLineChars="25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十、招标代理服务费</w:t>
      </w:r>
    </w:p>
    <w:p>
      <w:pPr>
        <w:snapToGrid w:val="0"/>
        <w:spacing w:line="400" w:lineRule="atLeast"/>
        <w:ind w:firstLine="420" w:firstLineChars="200"/>
        <w:rPr>
          <w:rStyle w:val="118"/>
          <w:rFonts w:ascii="微软雅黑" w:hAnsi="微软雅黑" w:eastAsia="微软雅黑"/>
          <w:color w:val="000000"/>
          <w:sz w:val="21"/>
          <w:szCs w:val="21"/>
        </w:rPr>
      </w:pPr>
      <w:r>
        <w:rPr>
          <w:rStyle w:val="118"/>
          <w:rFonts w:ascii="微软雅黑" w:hAnsi="微软雅黑" w:eastAsia="微软雅黑"/>
          <w:color w:val="000000"/>
          <w:sz w:val="21"/>
          <w:szCs w:val="21"/>
        </w:rPr>
        <w:t>中标人成交后在领取成交通知书时向代理机构缴纳代理服务费，代理服务费为包干价人民币2</w:t>
      </w:r>
      <w:r>
        <w:rPr>
          <w:rStyle w:val="118"/>
          <w:rFonts w:hint="eastAsia" w:ascii="微软雅黑" w:hAnsi="微软雅黑" w:eastAsia="微软雅黑"/>
          <w:color w:val="000000"/>
          <w:sz w:val="21"/>
          <w:szCs w:val="21"/>
          <w:lang w:val="en-US" w:eastAsia="zh-CN"/>
        </w:rPr>
        <w:t>.5</w:t>
      </w:r>
      <w:r>
        <w:rPr>
          <w:rStyle w:val="118"/>
          <w:rFonts w:ascii="微软雅黑" w:hAnsi="微软雅黑" w:eastAsia="微软雅黑"/>
          <w:color w:val="000000"/>
          <w:sz w:val="21"/>
          <w:szCs w:val="21"/>
        </w:rPr>
        <w:t>万元整（大写：</w:t>
      </w:r>
      <w:r>
        <w:rPr>
          <w:rStyle w:val="118"/>
          <w:rFonts w:hint="eastAsia" w:ascii="微软雅黑" w:hAnsi="微软雅黑" w:eastAsia="微软雅黑"/>
          <w:color w:val="000000"/>
          <w:sz w:val="21"/>
          <w:szCs w:val="21"/>
          <w:lang w:val="en-US" w:eastAsia="zh-CN"/>
        </w:rPr>
        <w:t>贰万伍仟</w:t>
      </w:r>
      <w:r>
        <w:rPr>
          <w:rStyle w:val="118"/>
          <w:rFonts w:ascii="微软雅黑" w:hAnsi="微软雅黑" w:eastAsia="微软雅黑"/>
          <w:color w:val="000000"/>
          <w:sz w:val="21"/>
          <w:szCs w:val="21"/>
        </w:rPr>
        <w:t>元整），由中标人在领取中标通知书时一次性支付给招标代理机构。</w:t>
      </w:r>
    </w:p>
    <w:p>
      <w:pPr>
        <w:snapToGrid w:val="0"/>
        <w:spacing w:line="400" w:lineRule="atLeast"/>
        <w:ind w:firstLine="480" w:firstLineChars="200"/>
        <w:rPr>
          <w:rStyle w:val="33"/>
          <w:rFonts w:ascii="宋体" w:hAnsi="宋体"/>
          <w:color w:val="000000"/>
          <w:sz w:val="24"/>
          <w:szCs w:val="24"/>
        </w:rPr>
      </w:pPr>
    </w:p>
    <w:p>
      <w:pPr>
        <w:pStyle w:val="24"/>
        <w:spacing w:before="0" w:after="0" w:line="360" w:lineRule="auto"/>
        <w:rPr>
          <w:rStyle w:val="33"/>
          <w:rFonts w:ascii="宋体" w:hAnsi="宋体" w:eastAsia="宋体"/>
          <w:b/>
          <w:color w:val="000000"/>
        </w:rPr>
      </w:pPr>
    </w:p>
    <w:p>
      <w:pPr>
        <w:snapToGrid w:val="0"/>
        <w:rPr>
          <w:rStyle w:val="33"/>
          <w:rFonts w:ascii="宋体" w:hAnsi="宋体"/>
          <w:b/>
          <w:color w:val="000000"/>
        </w:rPr>
      </w:pPr>
    </w:p>
    <w:p>
      <w:pPr>
        <w:pStyle w:val="10"/>
        <w:rPr>
          <w:rStyle w:val="33"/>
        </w:rPr>
      </w:pPr>
    </w:p>
    <w:p>
      <w:pPr>
        <w:pStyle w:val="10"/>
        <w:rPr>
          <w:rStyle w:val="33"/>
        </w:rPr>
      </w:pPr>
    </w:p>
    <w:p>
      <w:pPr>
        <w:pStyle w:val="24"/>
        <w:spacing w:before="0" w:after="0" w:line="360" w:lineRule="auto"/>
        <w:rPr>
          <w:rStyle w:val="33"/>
          <w:rFonts w:ascii="宋体" w:hAnsi="宋体" w:eastAsia="宋体"/>
          <w:b/>
          <w:color w:val="000000"/>
        </w:rPr>
      </w:pPr>
    </w:p>
    <w:p>
      <w:pPr>
        <w:pStyle w:val="24"/>
        <w:spacing w:before="0" w:after="0" w:line="360" w:lineRule="auto"/>
        <w:rPr>
          <w:rStyle w:val="33"/>
          <w:rFonts w:ascii="宋体" w:hAnsi="宋体" w:eastAsia="宋体"/>
          <w:b/>
          <w:color w:val="000000"/>
        </w:rPr>
      </w:pPr>
    </w:p>
    <w:p>
      <w:pPr>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116"/>
        <w:snapToGrid w:val="0"/>
        <w:rPr>
          <w:rStyle w:val="33"/>
          <w:rFonts w:ascii="宋体" w:hAnsi="宋体"/>
          <w:b/>
          <w:color w:val="000000"/>
        </w:rPr>
      </w:pPr>
    </w:p>
    <w:p>
      <w:pPr>
        <w:pStyle w:val="24"/>
        <w:spacing w:before="0" w:after="0" w:line="360" w:lineRule="auto"/>
        <w:rPr>
          <w:rStyle w:val="33"/>
          <w:rFonts w:ascii="宋体" w:hAnsi="宋体" w:eastAsia="宋体"/>
          <w:b/>
          <w:color w:val="000000"/>
        </w:rPr>
      </w:pPr>
      <w:r>
        <w:rPr>
          <w:rStyle w:val="33"/>
          <w:rFonts w:ascii="宋体" w:hAnsi="宋体" w:eastAsia="宋体"/>
          <w:b/>
          <w:color w:val="000000"/>
        </w:rPr>
        <w:t>第</w:t>
      </w:r>
      <w:r>
        <w:rPr>
          <w:rStyle w:val="33"/>
          <w:rFonts w:ascii="宋体" w:hAnsi="宋体" w:eastAsia="宋体"/>
          <w:b/>
          <w:color w:val="000000"/>
          <w:szCs w:val="22"/>
        </w:rPr>
        <w:t xml:space="preserve">七章 </w:t>
      </w:r>
      <w:r>
        <w:rPr>
          <w:rStyle w:val="33"/>
          <w:rFonts w:ascii="宋体" w:hAnsi="宋体" w:eastAsia="宋体"/>
          <w:b/>
          <w:color w:val="000000"/>
        </w:rPr>
        <w:t xml:space="preserve"> 投标文件格式</w:t>
      </w:r>
    </w:p>
    <w:p>
      <w:pPr>
        <w:snapToGrid w:val="0"/>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一、商务文件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（一）投标函（格式）</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（二）商务说明</w:t>
      </w:r>
    </w:p>
    <w:p>
      <w:pPr>
        <w:pStyle w:val="197"/>
        <w:snapToGrid w:val="0"/>
        <w:ind w:firstLine="420" w:firstLineChars="200"/>
        <w:rPr>
          <w:rStyle w:val="33"/>
          <w:rFonts w:ascii="微软雅黑" w:hAnsi="微软雅黑" w:eastAsia="微软雅黑"/>
          <w:sz w:val="21"/>
          <w:szCs w:val="21"/>
        </w:rPr>
      </w:pPr>
      <w:r>
        <w:rPr>
          <w:rStyle w:val="33"/>
          <w:rFonts w:ascii="微软雅黑" w:hAnsi="微软雅黑" w:eastAsia="微软雅黑"/>
          <w:sz w:val="21"/>
          <w:szCs w:val="21"/>
        </w:rPr>
        <w:t>（三）证明文件</w:t>
      </w:r>
    </w:p>
    <w:p>
      <w:pPr>
        <w:snapToGrid w:val="0"/>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二、技术文件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（一）项目实施条件相关文件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（二）项目建设方案</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（三）项目组织实施方案</w:t>
      </w:r>
    </w:p>
    <w:p>
      <w:pPr>
        <w:pStyle w:val="197"/>
        <w:snapToGrid w:val="0"/>
        <w:ind w:firstLine="48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（四）质量保证体系文件</w:t>
      </w:r>
    </w:p>
    <w:p>
      <w:pPr>
        <w:pStyle w:val="197"/>
        <w:snapToGrid w:val="0"/>
        <w:rPr>
          <w:rStyle w:val="33"/>
          <w:rFonts w:ascii="微软雅黑" w:hAnsi="微软雅黑" w:eastAsia="微软雅黑"/>
          <w:b/>
          <w:color w:val="000000"/>
          <w:sz w:val="21"/>
          <w:szCs w:val="21"/>
        </w:rPr>
      </w:pPr>
      <w:r>
        <w:rPr>
          <w:rStyle w:val="33"/>
          <w:rFonts w:ascii="微软雅黑" w:hAnsi="微软雅黑" w:eastAsia="微软雅黑"/>
          <w:sz w:val="21"/>
          <w:szCs w:val="21"/>
        </w:rPr>
        <w:t xml:space="preserve">    （五）服务体系文件</w:t>
      </w:r>
    </w:p>
    <w:p>
      <w:pPr>
        <w:snapToGrid w:val="0"/>
        <w:spacing w:line="400" w:lineRule="atLeast"/>
        <w:ind w:firstLine="560" w:firstLineChars="200"/>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三、资格审查文件（单独密封）</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（一）（联合投标协议书）</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（二）营业执照（副本）或事业单位法人证书（副本）复印件</w:t>
      </w:r>
    </w:p>
    <w:p>
      <w:pPr>
        <w:pStyle w:val="12"/>
      </w:pPr>
      <w:r>
        <w:rPr>
          <w:rStyle w:val="33"/>
          <w:rFonts w:hint="eastAsia" w:ascii="微软雅黑" w:hAnsi="微软雅黑" w:eastAsia="微软雅黑"/>
          <w:caps w:val="0"/>
          <w:color w:val="000000"/>
          <w:sz w:val="21"/>
          <w:szCs w:val="21"/>
        </w:rPr>
        <w:t xml:space="preserve">   </w:t>
      </w:r>
      <w:r>
        <w:rPr>
          <w:rStyle w:val="33"/>
          <w:rFonts w:hint="eastAsia" w:ascii="微软雅黑" w:hAnsi="微软雅黑" w:eastAsia="微软雅黑"/>
          <w:caps w:val="0"/>
          <w:sz w:val="21"/>
          <w:szCs w:val="21"/>
        </w:rPr>
        <w:t xml:space="preserve"> （三）危险化学品经营许可证复印件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四</w:t>
      </w:r>
      <w:r>
        <w:rPr>
          <w:rStyle w:val="33"/>
          <w:rFonts w:ascii="微软雅黑" w:hAnsi="微软雅黑" w:eastAsia="微软雅黑"/>
          <w:color w:val="000000"/>
          <w:sz w:val="21"/>
          <w:szCs w:val="21"/>
        </w:rPr>
        <w:t>）法定代表人身份证明书（格式）</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五</w:t>
      </w:r>
      <w:r>
        <w:rPr>
          <w:rStyle w:val="33"/>
          <w:rFonts w:ascii="微软雅黑" w:hAnsi="微软雅黑" w:eastAsia="微软雅黑"/>
          <w:color w:val="000000"/>
          <w:sz w:val="21"/>
          <w:szCs w:val="21"/>
        </w:rPr>
        <w:t>）法定代表人授权委托书（格式）</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六</w:t>
      </w:r>
      <w:r>
        <w:rPr>
          <w:rStyle w:val="33"/>
          <w:rFonts w:ascii="微软雅黑" w:hAnsi="微软雅黑" w:eastAsia="微软雅黑"/>
          <w:color w:val="000000"/>
          <w:sz w:val="21"/>
          <w:szCs w:val="21"/>
        </w:rPr>
        <w:t>）书面声明（格式）</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七</w:t>
      </w:r>
      <w:r>
        <w:rPr>
          <w:rStyle w:val="33"/>
          <w:rFonts w:ascii="微软雅黑" w:hAnsi="微软雅黑" w:eastAsia="微软雅黑"/>
          <w:color w:val="000000"/>
          <w:sz w:val="21"/>
          <w:szCs w:val="21"/>
        </w:rPr>
        <w:t>）税务登记证（副本）复印件</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八</w:t>
      </w:r>
      <w:r>
        <w:rPr>
          <w:rStyle w:val="33"/>
          <w:rFonts w:ascii="微软雅黑" w:hAnsi="微软雅黑" w:eastAsia="微软雅黑"/>
          <w:color w:val="000000"/>
          <w:sz w:val="21"/>
          <w:szCs w:val="21"/>
        </w:rPr>
        <w:t>）投标保证金缴纳证明资料</w:t>
      </w:r>
    </w:p>
    <w:p>
      <w:pPr>
        <w:snapToGrid w:val="0"/>
        <w:rPr>
          <w:rStyle w:val="33"/>
        </w:rPr>
      </w:pPr>
    </w:p>
    <w:p>
      <w:pPr>
        <w:tabs>
          <w:tab w:val="left" w:pos="3487"/>
        </w:tabs>
        <w:snapToGrid w:val="0"/>
        <w:jc w:val="left"/>
        <w:rPr>
          <w:rStyle w:val="33"/>
        </w:rPr>
      </w:pPr>
    </w:p>
    <w:p>
      <w:pPr>
        <w:snapToGrid w:val="0"/>
        <w:rPr>
          <w:rStyle w:val="33"/>
        </w:rPr>
      </w:pPr>
    </w:p>
    <w:p>
      <w:pPr>
        <w:tabs>
          <w:tab w:val="left" w:pos="1665"/>
        </w:tabs>
        <w:snapToGrid w:val="0"/>
        <w:jc w:val="left"/>
        <w:rPr>
          <w:rStyle w:val="33"/>
        </w:rPr>
      </w:pPr>
    </w:p>
    <w:p>
      <w:pPr>
        <w:pStyle w:val="14"/>
        <w:snapToGrid w:val="0"/>
        <w:spacing w:line="1200" w:lineRule="exact"/>
        <w:jc w:val="both"/>
        <w:rPr>
          <w:rStyle w:val="33"/>
          <w:rFonts w:ascii="方正仿宋_GBK" w:hAnsi="方正仿宋_GBK" w:eastAsia="方正仿宋_GBK"/>
          <w:sz w:val="32"/>
          <w:szCs w:val="32"/>
          <w:lang w:eastAsia="zh-CN"/>
        </w:rPr>
      </w:pPr>
    </w:p>
    <w:p>
      <w:pPr>
        <w:pStyle w:val="2"/>
        <w:numPr>
          <w:numId w:val="0"/>
        </w:numPr>
        <w:ind w:leftChars="0"/>
        <w:rPr>
          <w:lang w:eastAsia="zh-CN"/>
        </w:rPr>
      </w:pPr>
    </w:p>
    <w:p>
      <w:pPr>
        <w:jc w:val="center"/>
        <w:rPr>
          <w:lang w:eastAsia="zh-CN"/>
        </w:rPr>
      </w:pPr>
    </w:p>
    <w:p>
      <w:pPr>
        <w:pStyle w:val="14"/>
        <w:snapToGrid w:val="0"/>
        <w:spacing w:line="1200" w:lineRule="exact"/>
        <w:jc w:val="center"/>
        <w:rPr>
          <w:rStyle w:val="33"/>
          <w:rFonts w:ascii="方正仿宋_GBK" w:hAnsi="方正仿宋_GBK" w:eastAsia="方正仿宋_GBK"/>
          <w:sz w:val="32"/>
          <w:szCs w:val="32"/>
          <w:lang w:eastAsia="zh-CN"/>
        </w:rPr>
      </w:pPr>
      <w:r>
        <w:rPr>
          <w:rStyle w:val="33"/>
          <w:rFonts w:ascii="方正仿宋_GBK" w:hAnsi="方正仿宋_GBK" w:eastAsia="方正仿宋_GBK"/>
          <w:sz w:val="32"/>
          <w:szCs w:val="32"/>
          <w:lang w:eastAsia="zh-CN"/>
        </w:rPr>
        <w:t>封面格式</w:t>
      </w:r>
    </w:p>
    <w:p>
      <w:pPr>
        <w:snapToGrid w:val="0"/>
        <w:ind w:firstLine="1120" w:firstLineChars="400"/>
        <w:rPr>
          <w:rStyle w:val="33"/>
          <w:rFonts w:ascii="方正仿宋_GBK" w:hAnsi="方正仿宋_GBK" w:eastAsia="方正仿宋_GBK"/>
        </w:rPr>
      </w:pPr>
    </w:p>
    <w:p>
      <w:pPr>
        <w:snapToGrid w:val="0"/>
        <w:ind w:firstLine="1280" w:firstLineChars="400"/>
        <w:rPr>
          <w:rStyle w:val="33"/>
          <w:rFonts w:ascii="微软雅黑" w:hAnsi="微软雅黑" w:eastAsia="微软雅黑"/>
          <w:sz w:val="32"/>
          <w:szCs w:val="32"/>
        </w:rPr>
      </w:pPr>
      <w:r>
        <w:rPr>
          <w:rStyle w:val="33"/>
          <w:rFonts w:hint="eastAsia" w:ascii="微软雅黑" w:hAnsi="微软雅黑" w:eastAsia="微软雅黑"/>
          <w:sz w:val="32"/>
          <w:szCs w:val="32"/>
          <w:lang w:eastAsia="zh-CN"/>
        </w:rPr>
        <w:t>彭水自治县民用醇基液体燃料分装站经营权（第二次）</w:t>
      </w:r>
      <w:r>
        <w:rPr>
          <w:rStyle w:val="33"/>
          <w:rFonts w:ascii="微软雅黑" w:hAnsi="微软雅黑" w:eastAsia="微软雅黑"/>
          <w:sz w:val="32"/>
          <w:szCs w:val="32"/>
        </w:rPr>
        <w:t>投标文件</w:t>
      </w:r>
    </w:p>
    <w:p>
      <w:pPr>
        <w:pStyle w:val="62"/>
        <w:snapToGrid w:val="0"/>
        <w:spacing w:line="520" w:lineRule="exact"/>
        <w:ind w:left="420"/>
        <w:jc w:val="center"/>
        <w:rPr>
          <w:rStyle w:val="33"/>
          <w:rFonts w:ascii="微软雅黑" w:hAnsi="微软雅黑" w:eastAsia="微软雅黑"/>
          <w:sz w:val="32"/>
        </w:rPr>
      </w:pPr>
    </w:p>
    <w:p>
      <w:pPr>
        <w:snapToGrid w:val="0"/>
        <w:jc w:val="center"/>
        <w:rPr>
          <w:rStyle w:val="33"/>
          <w:rFonts w:ascii="微软雅黑" w:hAnsi="微软雅黑" w:eastAsia="微软雅黑"/>
        </w:rPr>
      </w:pPr>
      <w:r>
        <w:rPr>
          <w:rStyle w:val="33"/>
          <w:rFonts w:ascii="微软雅黑" w:hAnsi="微软雅黑" w:eastAsia="微软雅黑"/>
        </w:rPr>
        <w:t>（资格/商务</w:t>
      </w:r>
      <w:r>
        <w:rPr>
          <w:rStyle w:val="33"/>
          <w:rFonts w:hint="eastAsia" w:ascii="微软雅黑" w:hAnsi="微软雅黑" w:eastAsia="微软雅黑"/>
        </w:rPr>
        <w:t>、</w:t>
      </w:r>
      <w:r>
        <w:rPr>
          <w:rStyle w:val="33"/>
          <w:rFonts w:ascii="微软雅黑" w:hAnsi="微软雅黑" w:eastAsia="微软雅黑"/>
        </w:rPr>
        <w:t>技术）</w:t>
      </w:r>
    </w:p>
    <w:p>
      <w:pPr>
        <w:snapToGrid w:val="0"/>
        <w:rPr>
          <w:rStyle w:val="33"/>
          <w:rFonts w:ascii="微软雅黑" w:hAnsi="微软雅黑" w:eastAsia="微软雅黑"/>
        </w:rPr>
      </w:pPr>
    </w:p>
    <w:p>
      <w:pPr>
        <w:pStyle w:val="35"/>
        <w:snapToGrid w:val="0"/>
        <w:rPr>
          <w:rStyle w:val="33"/>
          <w:rFonts w:ascii="微软雅黑" w:hAnsi="微软雅黑" w:eastAsia="微软雅黑"/>
        </w:rPr>
      </w:pPr>
    </w:p>
    <w:p>
      <w:pPr>
        <w:snapToGrid w:val="0"/>
        <w:rPr>
          <w:rStyle w:val="33"/>
          <w:rFonts w:ascii="微软雅黑" w:hAnsi="微软雅黑" w:eastAsia="微软雅黑"/>
        </w:rPr>
      </w:pPr>
    </w:p>
    <w:p>
      <w:pPr>
        <w:pStyle w:val="35"/>
        <w:snapToGrid w:val="0"/>
        <w:rPr>
          <w:rStyle w:val="33"/>
          <w:rFonts w:ascii="微软雅黑" w:hAnsi="微软雅黑" w:eastAsia="微软雅黑"/>
        </w:rPr>
      </w:pPr>
    </w:p>
    <w:p>
      <w:pPr>
        <w:snapToGrid w:val="0"/>
        <w:rPr>
          <w:rStyle w:val="33"/>
          <w:rFonts w:ascii="微软雅黑" w:hAnsi="微软雅黑" w:eastAsia="微软雅黑"/>
        </w:rPr>
      </w:pPr>
    </w:p>
    <w:p>
      <w:pPr>
        <w:pStyle w:val="35"/>
        <w:snapToGrid w:val="0"/>
        <w:rPr>
          <w:rStyle w:val="33"/>
          <w:rFonts w:ascii="微软雅黑" w:hAnsi="微软雅黑" w:eastAsia="微软雅黑"/>
        </w:rPr>
      </w:pPr>
    </w:p>
    <w:p>
      <w:pPr>
        <w:snapToGrid w:val="0"/>
        <w:rPr>
          <w:rStyle w:val="33"/>
          <w:rFonts w:ascii="微软雅黑" w:hAnsi="微软雅黑" w:eastAsia="微软雅黑"/>
        </w:rPr>
      </w:pPr>
    </w:p>
    <w:p>
      <w:pPr>
        <w:pStyle w:val="35"/>
        <w:snapToGrid w:val="0"/>
        <w:rPr>
          <w:rStyle w:val="33"/>
          <w:rFonts w:ascii="微软雅黑" w:hAnsi="微软雅黑" w:eastAsia="微软雅黑"/>
        </w:rPr>
      </w:pPr>
    </w:p>
    <w:p>
      <w:pPr>
        <w:snapToGrid w:val="0"/>
        <w:rPr>
          <w:rStyle w:val="33"/>
          <w:rFonts w:ascii="微软雅黑" w:hAnsi="微软雅黑" w:eastAsia="微软雅黑"/>
        </w:rPr>
      </w:pPr>
    </w:p>
    <w:p>
      <w:pPr>
        <w:snapToGrid w:val="0"/>
        <w:ind w:firstLine="560" w:firstLineChars="200"/>
        <w:rPr>
          <w:rStyle w:val="33"/>
          <w:rFonts w:ascii="微软雅黑" w:hAnsi="微软雅黑" w:eastAsia="微软雅黑"/>
        </w:rPr>
      </w:pPr>
      <w:r>
        <w:rPr>
          <w:rStyle w:val="33"/>
          <w:rFonts w:ascii="微软雅黑" w:hAnsi="微软雅黑" w:eastAsia="微软雅黑"/>
        </w:rPr>
        <w:t>项目编号：</w:t>
      </w:r>
    </w:p>
    <w:p>
      <w:pPr>
        <w:snapToGrid w:val="0"/>
        <w:rPr>
          <w:rStyle w:val="33"/>
          <w:rFonts w:ascii="微软雅黑" w:hAnsi="微软雅黑" w:eastAsia="微软雅黑"/>
        </w:rPr>
      </w:pPr>
    </w:p>
    <w:p>
      <w:pPr>
        <w:snapToGrid w:val="0"/>
        <w:ind w:firstLine="560" w:firstLineChars="200"/>
        <w:rPr>
          <w:rStyle w:val="33"/>
          <w:rFonts w:ascii="微软雅黑" w:hAnsi="微软雅黑" w:eastAsia="微软雅黑"/>
        </w:rPr>
      </w:pPr>
      <w:r>
        <w:rPr>
          <w:rStyle w:val="33"/>
          <w:rFonts w:ascii="微软雅黑" w:hAnsi="微软雅黑" w:eastAsia="微软雅黑"/>
        </w:rPr>
        <w:t>投标人名称：</w:t>
      </w:r>
    </w:p>
    <w:p>
      <w:pPr>
        <w:snapToGrid w:val="0"/>
        <w:rPr>
          <w:rStyle w:val="33"/>
          <w:rFonts w:ascii="微软雅黑" w:hAnsi="微软雅黑" w:eastAsia="微软雅黑"/>
        </w:rPr>
      </w:pPr>
    </w:p>
    <w:p>
      <w:pPr>
        <w:snapToGrid w:val="0"/>
        <w:ind w:firstLine="560" w:firstLineChars="200"/>
        <w:rPr>
          <w:rStyle w:val="33"/>
          <w:rFonts w:ascii="微软雅黑" w:hAnsi="微软雅黑" w:eastAsia="微软雅黑"/>
        </w:rPr>
      </w:pPr>
      <w:r>
        <w:rPr>
          <w:rStyle w:val="33"/>
          <w:rFonts w:ascii="微软雅黑" w:hAnsi="微软雅黑" w:eastAsia="微软雅黑"/>
        </w:rPr>
        <w:t>投标人地址：</w:t>
      </w:r>
    </w:p>
    <w:p>
      <w:pPr>
        <w:snapToGrid w:val="0"/>
        <w:rPr>
          <w:rStyle w:val="33"/>
          <w:rFonts w:ascii="微软雅黑" w:hAnsi="微软雅黑" w:eastAsia="微软雅黑"/>
        </w:rPr>
      </w:pPr>
    </w:p>
    <w:p>
      <w:pPr>
        <w:snapToGrid w:val="0"/>
        <w:ind w:firstLine="560" w:firstLineChars="200"/>
        <w:rPr>
          <w:rStyle w:val="33"/>
          <w:rFonts w:ascii="微软雅黑" w:hAnsi="微软雅黑" w:eastAsia="微软雅黑"/>
        </w:rPr>
      </w:pPr>
      <w:r>
        <w:rPr>
          <w:rStyle w:val="33"/>
          <w:rFonts w:ascii="微软雅黑" w:hAnsi="微软雅黑" w:eastAsia="微软雅黑"/>
        </w:rPr>
        <w:t>投标人联系方式：</w:t>
      </w:r>
    </w:p>
    <w:p>
      <w:pPr>
        <w:snapToGrid w:val="0"/>
        <w:rPr>
          <w:rStyle w:val="33"/>
          <w:rFonts w:ascii="微软雅黑" w:hAnsi="微软雅黑" w:eastAsia="微软雅黑"/>
          <w:sz w:val="32"/>
          <w:szCs w:val="32"/>
        </w:rPr>
      </w:pPr>
    </w:p>
    <w:p>
      <w:pPr>
        <w:snapToGrid w:val="0"/>
        <w:jc w:val="center"/>
        <w:rPr>
          <w:rStyle w:val="33"/>
          <w:rFonts w:ascii="微软雅黑" w:hAnsi="微软雅黑" w:eastAsia="微软雅黑"/>
          <w:sz w:val="32"/>
        </w:rPr>
      </w:pPr>
      <w:r>
        <w:rPr>
          <w:rStyle w:val="33"/>
          <w:rFonts w:ascii="微软雅黑" w:hAnsi="微软雅黑" w:eastAsia="微软雅黑"/>
          <w:sz w:val="32"/>
        </w:rPr>
        <w:t>二0二</w:t>
      </w:r>
      <w:r>
        <w:rPr>
          <w:rStyle w:val="33"/>
          <w:rFonts w:hint="eastAsia" w:ascii="微软雅黑" w:hAnsi="微软雅黑" w:eastAsia="微软雅黑"/>
          <w:sz w:val="32"/>
          <w:lang w:val="en-US" w:eastAsia="zh-CN"/>
        </w:rPr>
        <w:t>三</w:t>
      </w:r>
      <w:r>
        <w:rPr>
          <w:rStyle w:val="33"/>
          <w:rFonts w:ascii="微软雅黑" w:hAnsi="微软雅黑" w:eastAsia="微软雅黑"/>
          <w:sz w:val="32"/>
        </w:rPr>
        <w:t>年  月</w:t>
      </w:r>
    </w:p>
    <w:p>
      <w:pPr>
        <w:pStyle w:val="25"/>
        <w:pageBreakBefore/>
        <w:spacing w:line="400" w:lineRule="atLeast"/>
        <w:ind w:firstLine="200"/>
        <w:rPr>
          <w:rStyle w:val="33"/>
          <w:color w:val="000000"/>
          <w:szCs w:val="28"/>
        </w:rPr>
      </w:pPr>
      <w:r>
        <w:rPr>
          <w:rStyle w:val="33"/>
          <w:b/>
          <w:color w:val="000000"/>
          <w:szCs w:val="28"/>
        </w:rPr>
        <w:t>商务文件：</w:t>
      </w:r>
    </w:p>
    <w:p>
      <w:pPr>
        <w:snapToGrid w:val="0"/>
        <w:spacing w:line="400" w:lineRule="atLeast"/>
        <w:ind w:firstLine="200"/>
        <w:jc w:val="center"/>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（一）投标函（格式）</w:t>
      </w:r>
    </w:p>
    <w:p>
      <w:pPr>
        <w:snapToGrid w:val="0"/>
        <w:spacing w:line="400" w:lineRule="atLeast"/>
        <w:ind w:firstLine="200"/>
        <w:rPr>
          <w:rStyle w:val="33"/>
          <w:rFonts w:ascii="微软雅黑" w:hAnsi="微软雅黑" w:eastAsia="微软雅黑"/>
          <w:color w:val="000000"/>
          <w:sz w:val="21"/>
          <w:szCs w:val="21"/>
        </w:rPr>
      </w:pPr>
    </w:p>
    <w:p>
      <w:pPr>
        <w:snapToGrid w:val="0"/>
        <w:spacing w:line="400" w:lineRule="atLeast"/>
        <w:rPr>
          <w:rStyle w:val="33"/>
          <w:rFonts w:ascii="微软雅黑" w:hAnsi="微软雅黑" w:eastAsia="微软雅黑"/>
          <w:color w:val="000000"/>
          <w:sz w:val="21"/>
          <w:szCs w:val="21"/>
          <w:u w:val="single" w:color="000000"/>
        </w:rPr>
      </w:pPr>
      <w:r>
        <w:rPr>
          <w:rStyle w:val="33"/>
          <w:rFonts w:ascii="微软雅黑" w:hAnsi="微软雅黑" w:eastAsia="微软雅黑"/>
          <w:color w:val="000000"/>
          <w:sz w:val="21"/>
          <w:szCs w:val="21"/>
        </w:rPr>
        <w:t>招标项目名称：</w:t>
      </w:r>
      <w:r>
        <w:rPr>
          <w:rStyle w:val="33"/>
          <w:rFonts w:ascii="微软雅黑" w:hAnsi="微软雅黑" w:eastAsia="微软雅黑"/>
          <w:color w:val="000000"/>
          <w:sz w:val="21"/>
          <w:szCs w:val="21"/>
          <w:u w:val="single" w:color="000000"/>
        </w:rPr>
        <w:t xml:space="preserve">                                     </w:t>
      </w:r>
    </w:p>
    <w:p>
      <w:pPr>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致：</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（招标人名称）：</w:t>
      </w:r>
    </w:p>
    <w:p>
      <w:pPr>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（投标人名称）系中华人民共和国合法企业，注册地址：</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。我方就参加本次投标有关事项郑重声明如下：</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一、我方完全理解并接受该项目招标文件所有要求。</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二、我方提交的所有投标文件、资料都是准确和真实的，如有虚假或隐瞒，我方愿意承担一切法律责任。</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三、我方承诺按照招标文件要求，招标项目。</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四、我方按招标文件要求提交的投标文件为：投标文件正本1份，副本</w:t>
      </w:r>
      <w:r>
        <w:rPr>
          <w:rStyle w:val="33"/>
          <w:rFonts w:hint="eastAsia" w:ascii="微软雅黑" w:hAnsi="微软雅黑" w:eastAsia="微软雅黑"/>
          <w:color w:val="000000"/>
          <w:sz w:val="21"/>
          <w:szCs w:val="21"/>
          <w:lang w:val="en-US" w:eastAsia="zh-CN"/>
        </w:rPr>
        <w:t>2</w:t>
      </w:r>
      <w:r>
        <w:rPr>
          <w:rStyle w:val="33"/>
          <w:rFonts w:ascii="微软雅黑" w:hAnsi="微软雅黑" w:eastAsia="微软雅黑"/>
          <w:color w:val="000000"/>
          <w:sz w:val="21"/>
          <w:szCs w:val="21"/>
        </w:rPr>
        <w:t>份。</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五、我方承诺：本次投标的投标有效期为90天。</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六、如果我方中标，我方将履行招标文件中规定的各项要求以及我方投标文件的各项承诺，按《民法典》第三编合同及合同约定条款承担我方责任。</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七、我方同意按有关规定及招标文件要求，缴纳足额投标保证金。</w:t>
      </w:r>
    </w:p>
    <w:p>
      <w:pPr>
        <w:tabs>
          <w:tab w:val="left" w:pos="6300"/>
        </w:tabs>
        <w:snapToGrid w:val="0"/>
        <w:spacing w:line="500" w:lineRule="exac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八、若我方中标，愿意按有关规定及招标文件要求缴纳招标代理服务费。</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4777" w:firstLineChars="2275"/>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（投标人公章）</w:t>
      </w:r>
    </w:p>
    <w:p>
      <w:pPr>
        <w:tabs>
          <w:tab w:val="left" w:pos="6300"/>
        </w:tabs>
        <w:snapToGrid w:val="0"/>
        <w:spacing w:line="400" w:lineRule="atLeast"/>
        <w:jc w:val="righ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年    月   日</w:t>
      </w:r>
    </w:p>
    <w:p>
      <w:pPr>
        <w:pStyle w:val="116"/>
        <w:snapToGrid w:val="0"/>
        <w:rPr>
          <w:rStyle w:val="33"/>
          <w:rFonts w:ascii="微软雅黑" w:hAnsi="微软雅黑" w:eastAsia="微软雅黑"/>
          <w:sz w:val="21"/>
          <w:szCs w:val="21"/>
        </w:rPr>
      </w:pPr>
    </w:p>
    <w:p>
      <w:pPr>
        <w:snapToGrid w:val="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（二）商务说明：</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3.</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 xml:space="preserve">。 </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p>
    <w:p>
      <w:pPr>
        <w:pStyle w:val="25"/>
        <w:pageBreakBefore/>
        <w:spacing w:line="400" w:lineRule="atLeast"/>
        <w:ind w:firstLine="758" w:firstLineChars="271"/>
        <w:rPr>
          <w:rStyle w:val="33"/>
          <w:rFonts w:ascii="微软雅黑" w:hAnsi="微软雅黑" w:eastAsia="微软雅黑" w:cs="微软雅黑"/>
          <w:bCs/>
          <w:color w:val="000000"/>
          <w:szCs w:val="28"/>
        </w:rPr>
      </w:pPr>
      <w:r>
        <w:rPr>
          <w:rStyle w:val="33"/>
          <w:rFonts w:ascii="微软雅黑" w:hAnsi="微软雅黑" w:eastAsia="微软雅黑" w:cs="微软雅黑"/>
          <w:bCs/>
          <w:color w:val="000000"/>
          <w:szCs w:val="28"/>
        </w:rPr>
        <w:t>技术文件：</w:t>
      </w:r>
    </w:p>
    <w:p>
      <w:pPr>
        <w:tabs>
          <w:tab w:val="left" w:pos="6300"/>
        </w:tabs>
        <w:snapToGrid w:val="0"/>
        <w:spacing w:line="500" w:lineRule="exact"/>
        <w:ind w:firstLine="964" w:firstLineChars="402"/>
        <w:rPr>
          <w:rStyle w:val="33"/>
          <w:rFonts w:ascii="微软雅黑" w:hAnsi="微软雅黑" w:eastAsia="微软雅黑"/>
          <w:b/>
          <w:color w:val="000000"/>
          <w:sz w:val="24"/>
          <w:szCs w:val="24"/>
        </w:rPr>
      </w:pPr>
      <w:r>
        <w:rPr>
          <w:rStyle w:val="33"/>
          <w:rFonts w:ascii="微软雅黑" w:hAnsi="微软雅黑" w:eastAsia="微软雅黑"/>
          <w:color w:val="000000"/>
          <w:sz w:val="24"/>
          <w:szCs w:val="24"/>
        </w:rPr>
        <w:t>项目内容及要求（格式自定）。</w:t>
      </w:r>
    </w:p>
    <w:p>
      <w:pPr>
        <w:snapToGrid w:val="0"/>
        <w:rPr>
          <w:rStyle w:val="33"/>
        </w:rPr>
      </w:pPr>
    </w:p>
    <w:p>
      <w:pPr>
        <w:tabs>
          <w:tab w:val="left" w:pos="636"/>
        </w:tabs>
        <w:snapToGrid w:val="0"/>
        <w:jc w:val="left"/>
        <w:rPr>
          <w:rStyle w:val="33"/>
        </w:rPr>
        <w:sectPr>
          <w:headerReference r:id="rId10" w:type="default"/>
          <w:footerReference r:id="rId11" w:type="default"/>
          <w:pgSz w:w="11907" w:h="16840"/>
          <w:pgMar w:top="1134" w:right="1191" w:bottom="1134" w:left="1304" w:header="964" w:footer="992" w:gutter="0"/>
          <w:cols w:space="425" w:num="1"/>
          <w:docGrid w:linePitch="380" w:charSpace="-5735"/>
        </w:sectPr>
      </w:pPr>
      <w:r>
        <w:rPr>
          <w:rStyle w:val="33"/>
        </w:rPr>
        <w:tab/>
      </w:r>
    </w:p>
    <w:p>
      <w:pPr>
        <w:pageBreakBefore/>
        <w:tabs>
          <w:tab w:val="left" w:pos="636"/>
        </w:tabs>
        <w:snapToGrid w:val="0"/>
        <w:spacing w:line="400" w:lineRule="atLeast"/>
        <w:ind w:firstLine="200"/>
        <w:jc w:val="left"/>
        <w:rPr>
          <w:rStyle w:val="33"/>
          <w:rFonts w:ascii="宋体" w:hAnsi="宋体"/>
          <w:color w:val="000000"/>
          <w:szCs w:val="28"/>
        </w:rPr>
      </w:pPr>
      <w:r>
        <w:rPr>
          <w:rStyle w:val="33"/>
          <w:b/>
          <w:color w:val="000000"/>
          <w:szCs w:val="28"/>
        </w:rPr>
        <w:t>资格审查文件（单独装订）：</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（一）营业执照（副本）或事业单位法人证书（副本）复印件</w:t>
      </w:r>
    </w:p>
    <w:p>
      <w:pPr>
        <w:snapToGrid w:val="0"/>
        <w:spacing w:line="400" w:lineRule="atLeast"/>
        <w:ind w:firstLine="210" w:firstLineChars="10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（二）法定代表人身份证明书（格式）</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招标项目名称：</w:t>
      </w:r>
      <w:r>
        <w:rPr>
          <w:rStyle w:val="33"/>
          <w:rFonts w:ascii="微软雅黑" w:hAnsi="微软雅黑" w:eastAsia="微软雅黑"/>
          <w:color w:val="000000"/>
          <w:sz w:val="21"/>
          <w:szCs w:val="21"/>
          <w:u w:val="single" w:color="000000"/>
        </w:rPr>
        <w:t xml:space="preserve">                                            </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致：</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（招标人或招标代理机构名称）：</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（法定代表人姓名）在</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（投标人名称）任</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（职务名称）职务，是（投标人名称）</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的法定代表人。</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特此证明。</w:t>
      </w:r>
    </w:p>
    <w:p>
      <w:pPr>
        <w:tabs>
          <w:tab w:val="left" w:pos="6300"/>
        </w:tabs>
        <w:snapToGrid w:val="0"/>
        <w:spacing w:line="400" w:lineRule="atLeast"/>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                                             （投标人公章）</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                                             年   月   日</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（附：法定代表人身份证正反面复印件）</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三</w:t>
      </w:r>
      <w:r>
        <w:rPr>
          <w:rStyle w:val="33"/>
          <w:rFonts w:ascii="微软雅黑" w:hAnsi="微软雅黑" w:eastAsia="微软雅黑"/>
          <w:color w:val="000000"/>
          <w:sz w:val="21"/>
          <w:szCs w:val="21"/>
        </w:rPr>
        <w:t>）法定代表人授权委托书（格式）</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    </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招标项目名称：</w:t>
      </w:r>
      <w:r>
        <w:rPr>
          <w:rStyle w:val="33"/>
          <w:rFonts w:ascii="微软雅黑" w:hAnsi="微软雅黑" w:eastAsia="微软雅黑"/>
          <w:color w:val="000000"/>
          <w:sz w:val="21"/>
          <w:szCs w:val="21"/>
          <w:u w:val="single" w:color="000000"/>
        </w:rPr>
        <w:t xml:space="preserve">                                            </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致：</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（招标人或招标代理机构名称）：</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（投标人法定代表人名称）是</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（投标人名称）的法定代表人，特授权</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（被授权人姓名及身份证代码）代表我单位全权办理上述项目的投标、谈判、签约等具体工作，并签署全部有关文件、协议及合同。</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我单位对被授权人的签字负全部责任。</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在撤销授权的书面通知以前，本授权书一直有效。被授权人在授权书有效期内签署的所有文件不因授权的撤销而失效。</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被授权人：                                 投标人法定代表人：</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（签字或盖章）                                （签字或盖章）</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（附：被授权人身份证正反面复印件）</w:t>
      </w:r>
    </w:p>
    <w:p>
      <w:pPr>
        <w:tabs>
          <w:tab w:val="left" w:pos="6300"/>
        </w:tabs>
        <w:snapToGrid w:val="0"/>
        <w:spacing w:line="400" w:lineRule="atLeast"/>
        <w:ind w:firstLine="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 xml:space="preserve">                                          </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jc w:val="righ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（投标人公章）</w:t>
      </w:r>
    </w:p>
    <w:p>
      <w:pPr>
        <w:tabs>
          <w:tab w:val="left" w:pos="6300"/>
        </w:tabs>
        <w:snapToGrid w:val="0"/>
        <w:spacing w:line="400" w:lineRule="atLeast"/>
        <w:ind w:firstLine="200"/>
        <w:jc w:val="righ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年   月   日</w:t>
      </w:r>
    </w:p>
    <w:p>
      <w:pPr>
        <w:tabs>
          <w:tab w:val="left" w:pos="6300"/>
        </w:tabs>
        <w:snapToGrid w:val="0"/>
        <w:spacing w:line="400" w:lineRule="atLeast"/>
        <w:ind w:firstLine="200"/>
        <w:jc w:val="righ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注：</w:t>
      </w:r>
    </w:p>
    <w:p>
      <w:pPr>
        <w:tabs>
          <w:tab w:val="left" w:pos="6300"/>
        </w:tabs>
        <w:snapToGrid w:val="0"/>
        <w:spacing w:line="400" w:lineRule="atLeast"/>
        <w:ind w:firstLine="20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1.若为法定代表人办理并签署投标文件的，不提供此文件。</w:t>
      </w:r>
    </w:p>
    <w:p>
      <w:pPr>
        <w:tabs>
          <w:tab w:val="left" w:pos="6300"/>
        </w:tabs>
        <w:snapToGrid w:val="0"/>
        <w:spacing w:line="400" w:lineRule="atLeast"/>
        <w:ind w:firstLine="20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2.若为联合体投标的，法定代表人授权委托书由联合体主办方</w:t>
      </w:r>
      <w:r>
        <w:rPr>
          <w:rStyle w:val="33"/>
          <w:rFonts w:ascii="微软雅黑" w:hAnsi="微软雅黑" w:eastAsia="微软雅黑"/>
          <w:color w:val="000000"/>
          <w:kern w:val="0"/>
          <w:sz w:val="21"/>
          <w:szCs w:val="21"/>
        </w:rPr>
        <w:t>（主体）</w:t>
      </w:r>
      <w:r>
        <w:rPr>
          <w:rStyle w:val="33"/>
          <w:rFonts w:ascii="微软雅黑" w:hAnsi="微软雅黑" w:eastAsia="微软雅黑"/>
          <w:color w:val="000000"/>
          <w:sz w:val="21"/>
          <w:szCs w:val="21"/>
        </w:rPr>
        <w:t>出具。</w:t>
      </w: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p>
    <w:p>
      <w:pPr>
        <w:tabs>
          <w:tab w:val="left" w:pos="6300"/>
        </w:tabs>
        <w:snapToGrid w:val="0"/>
        <w:spacing w:line="400" w:lineRule="atLeast"/>
        <w:ind w:firstLine="200"/>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四</w:t>
      </w:r>
      <w:r>
        <w:rPr>
          <w:rStyle w:val="33"/>
          <w:rFonts w:ascii="微软雅黑" w:hAnsi="微软雅黑" w:eastAsia="微软雅黑"/>
          <w:color w:val="000000"/>
          <w:sz w:val="21"/>
          <w:szCs w:val="21"/>
        </w:rPr>
        <w:t>）书面声明</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招标项目名称：</w:t>
      </w:r>
      <w:r>
        <w:rPr>
          <w:rStyle w:val="33"/>
          <w:rFonts w:ascii="微软雅黑" w:hAnsi="微软雅黑" w:eastAsia="微软雅黑"/>
          <w:color w:val="000000"/>
          <w:sz w:val="21"/>
          <w:szCs w:val="21"/>
          <w:u w:val="single" w:color="000000"/>
        </w:rPr>
        <w:t xml:space="preserve">                                                </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致：</w:t>
      </w: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（招标人或招标代理机构名称）：</w:t>
      </w:r>
    </w:p>
    <w:p>
      <w:pPr>
        <w:tabs>
          <w:tab w:val="left" w:pos="6300"/>
        </w:tabs>
        <w:snapToGrid w:val="0"/>
        <w:spacing w:line="400" w:lineRule="atLeast"/>
        <w:ind w:firstLine="630" w:firstLineChars="300"/>
        <w:rPr>
          <w:rStyle w:val="33"/>
          <w:rFonts w:ascii="微软雅黑" w:hAnsi="微软雅黑" w:eastAsia="微软雅黑"/>
          <w:color w:val="000000"/>
          <w:sz w:val="21"/>
          <w:szCs w:val="21"/>
        </w:rPr>
      </w:pPr>
      <w:r>
        <w:rPr>
          <w:rStyle w:val="33"/>
          <w:rFonts w:ascii="微软雅黑" w:hAnsi="微软雅黑" w:eastAsia="微软雅黑"/>
          <w:color w:val="000000"/>
          <w:sz w:val="21"/>
          <w:szCs w:val="21"/>
          <w:u w:val="single" w:color="000000"/>
        </w:rPr>
        <w:t xml:space="preserve">                      </w:t>
      </w:r>
      <w:r>
        <w:rPr>
          <w:rStyle w:val="33"/>
          <w:rFonts w:ascii="微软雅黑" w:hAnsi="微软雅黑" w:eastAsia="微软雅黑"/>
          <w:color w:val="000000"/>
          <w:sz w:val="21"/>
          <w:szCs w:val="21"/>
        </w:rPr>
        <w:t>（投标人名称）郑重声明，我公司具有良好的商业信誉，具有履行合同所必需的和专业技术能力，参加本项目招标活动前三年内无重大违法活动记录，在合同签订前后随时愿意提供相关证明材料；我公司还同时声明未列入在信用中国网站（www.creditchina.gov.cn）“失信被执行人”中，并随时接受招标人、招标代理机构的检查验证，符合规定的投标人资格条件。我方对以上声明负全部法律责任。</w:t>
      </w: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p>
    <w:p>
      <w:pPr>
        <w:tabs>
          <w:tab w:val="left" w:pos="6300"/>
        </w:tabs>
        <w:snapToGrid w:val="0"/>
        <w:spacing w:line="400" w:lineRule="atLeast"/>
        <w:ind w:firstLine="420" w:firstLineChars="200"/>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特此声明。</w:t>
      </w:r>
    </w:p>
    <w:p>
      <w:pPr>
        <w:tabs>
          <w:tab w:val="left" w:pos="6300"/>
        </w:tabs>
        <w:snapToGrid w:val="0"/>
        <w:spacing w:line="400" w:lineRule="atLeast"/>
        <w:ind w:firstLine="200"/>
        <w:rPr>
          <w:rStyle w:val="33"/>
          <w:rFonts w:ascii="微软雅黑" w:hAnsi="微软雅黑" w:eastAsia="微软雅黑"/>
          <w:color w:val="000000"/>
          <w:sz w:val="21"/>
          <w:szCs w:val="21"/>
        </w:rPr>
      </w:pPr>
    </w:p>
    <w:p>
      <w:pPr>
        <w:tabs>
          <w:tab w:val="left" w:pos="6300"/>
        </w:tabs>
        <w:snapToGrid w:val="0"/>
        <w:spacing w:line="400" w:lineRule="atLeast"/>
        <w:ind w:firstLine="200"/>
        <w:jc w:val="righ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（投标人公章）</w:t>
      </w:r>
    </w:p>
    <w:p>
      <w:pPr>
        <w:tabs>
          <w:tab w:val="left" w:pos="6300"/>
        </w:tabs>
        <w:snapToGrid w:val="0"/>
        <w:spacing w:line="400" w:lineRule="atLeast"/>
        <w:ind w:firstLine="200"/>
        <w:jc w:val="righ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年   月   日</w:t>
      </w:r>
    </w:p>
    <w:p>
      <w:pPr>
        <w:snapToGrid w:val="0"/>
        <w:spacing w:line="400" w:lineRule="atLeast"/>
        <w:ind w:firstLine="420" w:firstLineChars="200"/>
        <w:rPr>
          <w:rStyle w:val="33"/>
          <w:rFonts w:ascii="微软雅黑" w:hAnsi="微软雅黑" w:eastAsia="微软雅黑"/>
          <w:color w:val="000000"/>
          <w:sz w:val="21"/>
          <w:szCs w:val="21"/>
        </w:rPr>
      </w:pPr>
    </w:p>
    <w:p>
      <w:pPr>
        <w:tabs>
          <w:tab w:val="left" w:pos="6300"/>
        </w:tabs>
        <w:snapToGrid w:val="0"/>
        <w:spacing w:line="400" w:lineRule="atLeas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w:t>
      </w:r>
      <w:r>
        <w:rPr>
          <w:rStyle w:val="33"/>
          <w:rFonts w:hint="eastAsia" w:ascii="微软雅黑" w:hAnsi="微软雅黑" w:eastAsia="微软雅黑"/>
          <w:color w:val="000000"/>
          <w:sz w:val="21"/>
          <w:szCs w:val="21"/>
        </w:rPr>
        <w:t>五</w:t>
      </w:r>
      <w:r>
        <w:rPr>
          <w:rStyle w:val="33"/>
          <w:rFonts w:ascii="微软雅黑" w:hAnsi="微软雅黑" w:eastAsia="微软雅黑"/>
          <w:color w:val="000000"/>
          <w:sz w:val="21"/>
          <w:szCs w:val="21"/>
        </w:rPr>
        <w:t>）税务登记证（副本）复印件</w:t>
      </w:r>
    </w:p>
    <w:p>
      <w:pPr>
        <w:tabs>
          <w:tab w:val="left" w:pos="6300"/>
        </w:tabs>
        <w:snapToGrid w:val="0"/>
        <w:spacing w:line="400" w:lineRule="atLeast"/>
        <w:jc w:val="left"/>
        <w:rPr>
          <w:rStyle w:val="33"/>
          <w:rFonts w:ascii="微软雅黑" w:hAnsi="微软雅黑" w:eastAsia="微软雅黑"/>
          <w:color w:val="000000"/>
          <w:sz w:val="21"/>
          <w:szCs w:val="21"/>
        </w:rPr>
      </w:pPr>
      <w:r>
        <w:rPr>
          <w:rStyle w:val="33"/>
          <w:rFonts w:ascii="微软雅黑" w:hAnsi="微软雅黑" w:eastAsia="微软雅黑"/>
          <w:color w:val="000000"/>
          <w:sz w:val="21"/>
          <w:szCs w:val="21"/>
        </w:rPr>
        <w:t>（六）投标保证金缴纳证明资料（采用招标代理机构的适用）</w:t>
      </w:r>
    </w:p>
    <w:p>
      <w:pPr>
        <w:tabs>
          <w:tab w:val="left" w:pos="6300"/>
        </w:tabs>
        <w:snapToGrid w:val="0"/>
        <w:spacing w:line="400" w:lineRule="atLeast"/>
        <w:ind w:firstLine="420" w:firstLineChars="200"/>
        <w:rPr>
          <w:rStyle w:val="33"/>
          <w:rFonts w:ascii="微软雅黑" w:hAnsi="微软雅黑" w:eastAsia="微软雅黑"/>
          <w:b/>
          <w:color w:val="000000"/>
          <w:sz w:val="21"/>
          <w:szCs w:val="21"/>
        </w:rPr>
      </w:pPr>
      <w:r>
        <w:rPr>
          <w:rStyle w:val="33"/>
          <w:rFonts w:ascii="微软雅黑" w:hAnsi="微软雅黑" w:eastAsia="微软雅黑"/>
          <w:color w:val="000000"/>
          <w:sz w:val="21"/>
          <w:szCs w:val="21"/>
        </w:rPr>
        <w:t>仅限采用网银转账方式缴纳保证金的投标人提供。</w:t>
      </w:r>
    </w:p>
    <w:p>
      <w:pPr>
        <w:tabs>
          <w:tab w:val="left" w:pos="6300"/>
        </w:tabs>
        <w:snapToGrid w:val="0"/>
        <w:spacing w:line="400" w:lineRule="atLeast"/>
        <w:ind w:firstLine="420" w:firstLineChars="200"/>
        <w:rPr>
          <w:rStyle w:val="33"/>
          <w:rFonts w:ascii="微软雅黑" w:hAnsi="微软雅黑" w:eastAsia="微软雅黑"/>
          <w:b/>
          <w:color w:val="000000"/>
          <w:sz w:val="21"/>
          <w:szCs w:val="21"/>
        </w:rPr>
      </w:pPr>
      <w:r>
        <w:rPr>
          <w:rStyle w:val="33"/>
          <w:rFonts w:ascii="微软雅黑" w:hAnsi="微软雅黑" w:eastAsia="微软雅黑"/>
          <w:b/>
          <w:color w:val="000000"/>
          <w:sz w:val="21"/>
          <w:szCs w:val="21"/>
        </w:rPr>
        <w:t>说明：投标人按“多证合一”登记制度办理营业执照的，</w:t>
      </w:r>
      <w:r>
        <w:rPr>
          <w:rStyle w:val="33"/>
          <w:rFonts w:ascii="微软雅黑" w:hAnsi="微软雅黑" w:eastAsia="微软雅黑"/>
          <w:b/>
          <w:color w:val="000000"/>
          <w:kern w:val="0"/>
          <w:sz w:val="21"/>
          <w:szCs w:val="21"/>
        </w:rPr>
        <w:t>组织机构代码证、税务登记证（副本）和社会保险登记证</w:t>
      </w:r>
      <w:r>
        <w:rPr>
          <w:rStyle w:val="33"/>
          <w:rFonts w:ascii="微软雅黑" w:hAnsi="微软雅黑" w:eastAsia="微软雅黑"/>
          <w:b/>
          <w:color w:val="000000"/>
          <w:sz w:val="21"/>
          <w:szCs w:val="21"/>
        </w:rPr>
        <w:t>以投标人所提供的营业执照（副本）复印件为准。</w:t>
      </w:r>
    </w:p>
    <w:p>
      <w:pPr>
        <w:pStyle w:val="197"/>
        <w:snapToGrid w:val="0"/>
        <w:ind w:firstLine="3572" w:firstLineChars="1700"/>
        <w:rPr>
          <w:rStyle w:val="33"/>
          <w:rFonts w:ascii="微软雅黑" w:hAnsi="微软雅黑" w:eastAsia="微软雅黑"/>
          <w:b/>
          <w:color w:val="000000"/>
          <w:sz w:val="21"/>
          <w:szCs w:val="21"/>
        </w:rPr>
      </w:pPr>
      <w:r>
        <w:rPr>
          <w:rStyle w:val="33"/>
          <w:rFonts w:ascii="微软雅黑" w:hAnsi="微软雅黑" w:eastAsia="微软雅黑"/>
          <w:b/>
          <w:color w:val="000000"/>
          <w:sz w:val="21"/>
          <w:szCs w:val="21"/>
        </w:rPr>
        <w:t>（结束）</w:t>
      </w: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p>
    <w:p>
      <w:pPr>
        <w:snapToGrid w:val="0"/>
        <w:ind w:firstLine="482"/>
        <w:jc w:val="center"/>
        <w:rPr>
          <w:rStyle w:val="33"/>
        </w:rPr>
      </w:pPr>
      <w:r>
        <w:rPr>
          <w:rStyle w:val="33"/>
          <w:rFonts w:ascii="宋体" w:hAnsi="宋体" w:cs="宋体"/>
          <w:b/>
          <w:bCs/>
          <w:smallCaps/>
        </w:rPr>
        <w:t>文件发售登记表</w:t>
      </w:r>
    </w:p>
    <w:tbl>
      <w:tblPr>
        <w:tblStyle w:val="18"/>
        <w:tblW w:w="9239"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2391"/>
        <w:gridCol w:w="1051"/>
        <w:gridCol w:w="396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520" w:hRule="atLeast"/>
          <w:jc w:val="center"/>
        </w:trPr>
        <w:tc>
          <w:tcPr>
            <w:tcW w:w="1832" w:type="dxa"/>
            <w:tcBorders>
              <w:top w:val="doub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项目号</w:t>
            </w:r>
          </w:p>
        </w:tc>
        <w:tc>
          <w:tcPr>
            <w:tcW w:w="7407" w:type="dxa"/>
            <w:gridSpan w:val="3"/>
            <w:tcBorders>
              <w:top w:val="doub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832" w:type="dxa"/>
            <w:tcBorders>
              <w:top w:val="sing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项目名称</w:t>
            </w:r>
          </w:p>
        </w:tc>
        <w:tc>
          <w:tcPr>
            <w:tcW w:w="7407" w:type="dxa"/>
            <w:gridSpan w:val="3"/>
            <w:tcBorders>
              <w:top w:val="sing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32" w:type="dxa"/>
            <w:tcBorders>
              <w:top w:val="sing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供应商名称</w:t>
            </w:r>
          </w:p>
        </w:tc>
        <w:tc>
          <w:tcPr>
            <w:tcW w:w="7407" w:type="dxa"/>
            <w:gridSpan w:val="3"/>
            <w:tcBorders>
              <w:top w:val="sing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 xml:space="preserve">   （供应商公章）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832" w:type="dxa"/>
            <w:tcBorders>
              <w:top w:val="sing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联系人</w:t>
            </w:r>
          </w:p>
        </w:tc>
        <w:tc>
          <w:tcPr>
            <w:tcW w:w="23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手机</w:t>
            </w:r>
          </w:p>
        </w:tc>
        <w:tc>
          <w:tcPr>
            <w:tcW w:w="3965" w:type="dxa"/>
            <w:tcBorders>
              <w:top w:val="sing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577" w:hRule="atLeast"/>
          <w:jc w:val="center"/>
        </w:trPr>
        <w:tc>
          <w:tcPr>
            <w:tcW w:w="1832" w:type="dxa"/>
            <w:tcBorders>
              <w:top w:val="sing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办公电话</w:t>
            </w:r>
          </w:p>
        </w:tc>
        <w:tc>
          <w:tcPr>
            <w:tcW w:w="23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传真</w:t>
            </w:r>
          </w:p>
        </w:tc>
        <w:tc>
          <w:tcPr>
            <w:tcW w:w="3965" w:type="dxa"/>
            <w:tcBorders>
              <w:top w:val="sing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556" w:hRule="atLeast"/>
          <w:jc w:val="center"/>
        </w:trPr>
        <w:tc>
          <w:tcPr>
            <w:tcW w:w="1832" w:type="dxa"/>
            <w:tcBorders>
              <w:top w:val="single" w:color="000000" w:sz="4" w:space="0"/>
              <w:left w:val="double" w:color="000000" w:sz="4" w:space="0"/>
              <w:bottom w:val="sing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E-mail</w:t>
            </w:r>
          </w:p>
        </w:tc>
        <w:tc>
          <w:tcPr>
            <w:tcW w:w="7407" w:type="dxa"/>
            <w:gridSpan w:val="3"/>
            <w:tcBorders>
              <w:top w:val="single" w:color="000000" w:sz="4" w:space="0"/>
              <w:left w:val="single" w:color="000000" w:sz="4" w:space="0"/>
              <w:bottom w:val="single" w:color="000000" w:sz="4" w:space="0"/>
              <w:right w:val="double" w:color="000000" w:sz="4" w:space="0"/>
            </w:tcBorders>
            <w:vAlign w:val="center"/>
          </w:tcPr>
          <w:p>
            <w:pPr>
              <w:snapToGrid w:val="0"/>
              <w:jc w:val="center"/>
              <w:rPr>
                <w:rStyle w:val="33"/>
                <w:rFonts w:ascii="宋体" w:hAnsi="宋体" w:cs="Times New Roman"/>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689" w:hRule="atLeast"/>
          <w:jc w:val="center"/>
        </w:trPr>
        <w:tc>
          <w:tcPr>
            <w:tcW w:w="1832" w:type="dxa"/>
            <w:tcBorders>
              <w:top w:val="single" w:color="000000" w:sz="4" w:space="0"/>
              <w:left w:val="double" w:color="000000" w:sz="4" w:space="0"/>
              <w:bottom w:val="double" w:color="000000" w:sz="4" w:space="0"/>
              <w:right w:val="single" w:color="000000" w:sz="4" w:space="0"/>
            </w:tcBorders>
            <w:vAlign w:val="center"/>
          </w:tcPr>
          <w:p>
            <w:pPr>
              <w:snapToGrid w:val="0"/>
              <w:jc w:val="center"/>
              <w:rPr>
                <w:rStyle w:val="33"/>
                <w:rFonts w:ascii="宋体" w:hAnsi="宋体" w:cs="Times New Roman"/>
                <w:szCs w:val="21"/>
              </w:rPr>
            </w:pPr>
            <w:r>
              <w:rPr>
                <w:rStyle w:val="33"/>
                <w:rFonts w:ascii="宋体" w:hAnsi="宋体" w:cs="Times New Roman"/>
                <w:szCs w:val="21"/>
              </w:rPr>
              <w:t>单位地址</w:t>
            </w:r>
          </w:p>
        </w:tc>
        <w:tc>
          <w:tcPr>
            <w:tcW w:w="7407" w:type="dxa"/>
            <w:gridSpan w:val="3"/>
            <w:tcBorders>
              <w:top w:val="single" w:color="000000" w:sz="4" w:space="0"/>
              <w:left w:val="single" w:color="000000" w:sz="4" w:space="0"/>
              <w:bottom w:val="double" w:color="000000" w:sz="4" w:space="0"/>
              <w:right w:val="double" w:color="000000" w:sz="4" w:space="0"/>
            </w:tcBorders>
            <w:vAlign w:val="center"/>
          </w:tcPr>
          <w:p>
            <w:pPr>
              <w:snapToGrid w:val="0"/>
              <w:jc w:val="center"/>
              <w:rPr>
                <w:rStyle w:val="33"/>
                <w:rFonts w:ascii="宋体" w:hAnsi="宋体" w:cs="Times New Roman"/>
                <w:szCs w:val="21"/>
              </w:rPr>
            </w:pPr>
          </w:p>
        </w:tc>
      </w:tr>
    </w:tbl>
    <w:p>
      <w:pPr>
        <w:pStyle w:val="51"/>
        <w:ind w:right="-280"/>
        <w:jc w:val="left"/>
        <w:rPr>
          <w:rStyle w:val="33"/>
        </w:rPr>
      </w:pPr>
      <w:r>
        <w:rPr>
          <w:rStyle w:val="33"/>
          <w:rFonts w:ascii="宋体" w:hAnsi="宋体"/>
        </w:rPr>
        <w:t>招标文件售价：1000元/份         发售人：泾清项目管理有限公司彭水县分公司</w:t>
      </w:r>
    </w:p>
    <w:p>
      <w:pPr>
        <w:pStyle w:val="197"/>
        <w:snapToGrid w:val="0"/>
        <w:ind w:firstLine="3572" w:firstLineChars="1700"/>
        <w:rPr>
          <w:rStyle w:val="33"/>
          <w:rFonts w:ascii="微软雅黑" w:hAnsi="微软雅黑" w:eastAsia="微软雅黑"/>
          <w:b/>
          <w:color w:val="000000"/>
          <w:sz w:val="21"/>
          <w:szCs w:val="21"/>
        </w:rPr>
      </w:pPr>
    </w:p>
    <w:p>
      <w:pPr>
        <w:pStyle w:val="197"/>
        <w:snapToGrid w:val="0"/>
        <w:ind w:firstLine="3572" w:firstLineChars="1700"/>
        <w:rPr>
          <w:rStyle w:val="33"/>
          <w:rFonts w:ascii="微软雅黑" w:hAnsi="微软雅黑" w:eastAsia="微软雅黑"/>
          <w:b/>
          <w:color w:val="000000"/>
          <w:sz w:val="21"/>
          <w:szCs w:val="21"/>
        </w:rPr>
      </w:pPr>
      <w:bookmarkStart w:id="0" w:name="_GoBack"/>
      <w:bookmarkEnd w:id="0"/>
    </w:p>
    <w:sectPr>
      <w:pgSz w:w="11907" w:h="16840"/>
      <w:pgMar w:top="1134" w:right="1191" w:bottom="1134" w:left="1304" w:header="964" w:footer="992" w:gutter="0"/>
      <w:cols w:space="425"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_x000b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wis721 BT">
    <w:altName w:val="Segoe Print"/>
    <w:panose1 w:val="00000000000000000000"/>
    <w:charset w:val="00"/>
    <w:family w:val="swiss"/>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33"/>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center" w:y="1"/>
      <w:rPr>
        <w:rStyle w:val="105"/>
      </w:rPr>
    </w:pPr>
  </w:p>
  <w:p>
    <w:pPr>
      <w:pStyle w:val="10"/>
      <w:rPr>
        <w:rStyle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rStyle w:val="33"/>
        <w:sz w:val="20"/>
      </w:rPr>
    </w:pPr>
    <w:r>
      <w:rPr>
        <w:rStyle w:val="33"/>
      </w:rPr>
      <w:pict>
        <v:shape id="_x0000_s2049" o:spid="_x0000_s2049" o:spt="202" type="#_x0000_t202" style="position:absolute;left:0pt;margin-left:294pt;margin-top:773.5pt;height:12pt;width:13.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jc w:val="left"/>
                  <w:rPr>
                    <w:rStyle w:val="33"/>
                    <w:sz w:val="18"/>
                  </w:rPr>
                </w:pPr>
              </w:p>
              <w:p>
                <w:pPr>
                  <w:rPr>
                    <w:rStyle w:val="33"/>
                    <w:strike/>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33"/>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4" w:space="1"/>
      </w:pBdr>
      <w:jc w:val="both"/>
      <w:rPr>
        <w:rStyle w:val="33"/>
        <w:rFonts w:ascii="宋体" w:hAnsi="宋体"/>
        <w:sz w:val="21"/>
        <w:szCs w:val="24"/>
      </w:rPr>
    </w:pPr>
    <w:r>
      <w:rPr>
        <w:rStyle w:val="33"/>
        <w:rFonts w:hint="eastAsia" w:ascii="宋体" w:hAnsi="宋体" w:eastAsia="方正仿宋_GBK"/>
        <w:sz w:val="21"/>
        <w:szCs w:val="24"/>
        <w:lang w:eastAsia="zh-CN"/>
      </w:rPr>
      <w:t>彭水自治县民用醇基液体燃料分装站经营权（第二次）</w:t>
    </w:r>
    <w:r>
      <w:rPr>
        <w:rStyle w:val="33"/>
        <w:rFonts w:ascii="方正仿宋_GBK" w:eastAsia="方正仿宋_GBK"/>
        <w:sz w:val="21"/>
        <w:szCs w:val="24"/>
      </w:rPr>
      <w:t xml:space="preserve">                                </w:t>
    </w:r>
    <w:r>
      <w:rPr>
        <w:rStyle w:val="33"/>
        <w:rFonts w:ascii="宋体" w:hAnsi="宋体"/>
        <w:sz w:val="21"/>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3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4" w:space="1"/>
      </w:pBdr>
      <w:jc w:val="both"/>
      <w:rPr>
        <w:rStyle w:val="33"/>
        <w:rFonts w:ascii="方正仿宋_GBK" w:eastAsia="方正仿宋_GBK"/>
        <w:sz w:val="21"/>
        <w:szCs w:val="24"/>
      </w:rPr>
    </w:pPr>
    <w:r>
      <w:rPr>
        <w:rStyle w:val="33"/>
        <w:rFonts w:hint="eastAsia" w:ascii="方正仿宋_GBK" w:eastAsia="方正仿宋_GBK"/>
        <w:sz w:val="21"/>
        <w:szCs w:val="24"/>
        <w:lang w:eastAsia="zh-CN"/>
      </w:rPr>
      <w:t>彭水自治县民用醇基液体燃料分装站经营权（第二次）</w:t>
    </w:r>
    <w:r>
      <w:rPr>
        <w:rStyle w:val="33"/>
        <w:rFonts w:hint="eastAsia" w:ascii="方正仿宋_GBK" w:eastAsia="方正仿宋_GBK"/>
        <w:sz w:val="21"/>
        <w:szCs w:val="24"/>
        <w:lang w:val="en-US" w:eastAsia="zh-CN"/>
      </w:rPr>
      <w:t xml:space="preserve">                </w:t>
    </w:r>
    <w:r>
      <w:rPr>
        <w:rStyle w:val="33"/>
        <w:rFonts w:ascii="方正仿宋_GBK" w:eastAsia="方正仿宋_GBK"/>
        <w:sz w:val="21"/>
        <w:szCs w:val="24"/>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Style w:val="33"/>
        <w:rFonts w:ascii="方正仿宋_GBK" w:eastAsia="方正仿宋_GBK"/>
        <w:sz w:val="21"/>
        <w:szCs w:val="24"/>
      </w:rPr>
    </w:pPr>
    <w:r>
      <w:rPr>
        <w:rStyle w:val="33"/>
        <w:rFonts w:hint="eastAsia" w:ascii="宋体" w:hAnsi="宋体" w:eastAsia="方正仿宋_GBK"/>
        <w:sz w:val="21"/>
        <w:szCs w:val="24"/>
        <w:lang w:eastAsia="zh-CN"/>
      </w:rPr>
      <w:t>彭水自治县民用醇基液体燃料分装站经营权（第二次）</w:t>
    </w:r>
    <w:r>
      <w:rPr>
        <w:rStyle w:val="33"/>
        <w:rFonts w:ascii="方正仿宋_GBK" w:eastAsia="方正仿宋_GBK"/>
        <w:sz w:val="21"/>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79B94"/>
    <w:multiLevelType w:val="singleLevel"/>
    <w:tmpl w:val="8B079B94"/>
    <w:lvl w:ilvl="0" w:tentative="0">
      <w:start w:val="1"/>
      <w:numFmt w:val="decimal"/>
      <w:suff w:val="nothing"/>
      <w:lvlText w:val="%1．"/>
      <w:lvlJc w:val="left"/>
      <w:pPr>
        <w:widowControl/>
        <w:ind w:left="0" w:firstLine="400"/>
        <w:textAlignment w:val="baseline"/>
      </w:pPr>
    </w:lvl>
  </w:abstractNum>
  <w:abstractNum w:abstractNumId="1">
    <w:nsid w:val="BB3866C9"/>
    <w:multiLevelType w:val="singleLevel"/>
    <w:tmpl w:val="BB3866C9"/>
    <w:lvl w:ilvl="0" w:tentative="0">
      <w:start w:val="1"/>
      <w:numFmt w:val="decimal"/>
      <w:lvlText w:val="%1."/>
      <w:lvlJc w:val="left"/>
      <w:pPr>
        <w:tabs>
          <w:tab w:val="left" w:pos="312"/>
        </w:tabs>
      </w:pPr>
    </w:lvl>
  </w:abstractNum>
  <w:abstractNum w:abstractNumId="2">
    <w:nsid w:val="D30EAA6A"/>
    <w:multiLevelType w:val="multilevel"/>
    <w:tmpl w:val="D30EAA6A"/>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3"/>
    <w:multiLevelType w:val="singleLevel"/>
    <w:tmpl w:val="00000003"/>
    <w:lvl w:ilvl="0" w:tentative="0">
      <w:start w:val="1"/>
      <w:numFmt w:val="decimal"/>
      <w:pStyle w:val="49"/>
      <w:lvlText w:val="%1."/>
      <w:lvlJc w:val="left"/>
      <w:pPr>
        <w:widowControl/>
        <w:tabs>
          <w:tab w:val="left" w:pos="780"/>
        </w:tabs>
        <w:ind w:left="780" w:hanging="360"/>
        <w:textAlignment w:val="baseline"/>
      </w:pPr>
    </w:lvl>
  </w:abstractNum>
  <w:abstractNum w:abstractNumId="4">
    <w:nsid w:val="00000005"/>
    <w:multiLevelType w:val="multilevel"/>
    <w:tmpl w:val="00000005"/>
    <w:lvl w:ilvl="0" w:tentative="0">
      <w:start w:val="1"/>
      <w:numFmt w:val="bullet"/>
      <w:pStyle w:val="456"/>
      <w:lvlText w:val=""/>
      <w:lvlJc w:val="left"/>
      <w:pPr>
        <w:widowControl/>
        <w:tabs>
          <w:tab w:val="left" w:pos="980"/>
        </w:tabs>
        <w:ind w:left="980" w:hanging="360"/>
        <w:textAlignment w:val="baseline"/>
      </w:pPr>
      <w:rPr>
        <w:rFonts w:ascii="Wingdings" w:hAnsi="Wingdings"/>
      </w:rPr>
    </w:lvl>
    <w:lvl w:ilvl="1" w:tentative="0">
      <w:start w:val="1"/>
      <w:numFmt w:val="bullet"/>
      <w:lvlText w:val=""/>
      <w:lvlJc w:val="left"/>
      <w:pPr>
        <w:widowControl/>
        <w:tabs>
          <w:tab w:val="left" w:pos="1040"/>
        </w:tabs>
        <w:ind w:left="1040" w:hanging="420"/>
        <w:textAlignment w:val="baseline"/>
      </w:pPr>
      <w:rPr>
        <w:rFonts w:ascii="Wingdings" w:hAnsi="Wingdings"/>
      </w:rPr>
    </w:lvl>
    <w:lvl w:ilvl="2" w:tentative="0">
      <w:start w:val="1"/>
      <w:numFmt w:val="bullet"/>
      <w:lvlText w:val=""/>
      <w:lvlJc w:val="left"/>
      <w:pPr>
        <w:widowControl/>
        <w:tabs>
          <w:tab w:val="left" w:pos="1460"/>
        </w:tabs>
        <w:ind w:left="1460" w:hanging="420"/>
        <w:textAlignment w:val="baseline"/>
      </w:pPr>
      <w:rPr>
        <w:rFonts w:ascii="Wingdings" w:hAnsi="Wingdings"/>
      </w:rPr>
    </w:lvl>
    <w:lvl w:ilvl="3" w:tentative="0">
      <w:start w:val="1"/>
      <w:numFmt w:val="bullet"/>
      <w:lvlText w:val=""/>
      <w:lvlJc w:val="left"/>
      <w:pPr>
        <w:widowControl/>
        <w:tabs>
          <w:tab w:val="left" w:pos="1880"/>
        </w:tabs>
        <w:ind w:left="1880" w:hanging="420"/>
        <w:textAlignment w:val="baseline"/>
      </w:pPr>
      <w:rPr>
        <w:rFonts w:ascii="Wingdings" w:hAnsi="Wingdings"/>
      </w:rPr>
    </w:lvl>
    <w:lvl w:ilvl="4" w:tentative="0">
      <w:start w:val="1"/>
      <w:numFmt w:val="bullet"/>
      <w:lvlText w:val=""/>
      <w:lvlJc w:val="left"/>
      <w:pPr>
        <w:widowControl/>
        <w:tabs>
          <w:tab w:val="left" w:pos="2300"/>
        </w:tabs>
        <w:ind w:left="2300" w:hanging="420"/>
        <w:textAlignment w:val="baseline"/>
      </w:pPr>
      <w:rPr>
        <w:rFonts w:ascii="Wingdings" w:hAnsi="Wingdings"/>
      </w:rPr>
    </w:lvl>
    <w:lvl w:ilvl="5" w:tentative="0">
      <w:start w:val="1"/>
      <w:numFmt w:val="bullet"/>
      <w:lvlText w:val=""/>
      <w:lvlJc w:val="left"/>
      <w:pPr>
        <w:widowControl/>
        <w:tabs>
          <w:tab w:val="left" w:pos="2720"/>
        </w:tabs>
        <w:ind w:left="2720" w:hanging="420"/>
        <w:textAlignment w:val="baseline"/>
      </w:pPr>
      <w:rPr>
        <w:rFonts w:ascii="Wingdings" w:hAnsi="Wingdings"/>
      </w:rPr>
    </w:lvl>
    <w:lvl w:ilvl="6" w:tentative="0">
      <w:start w:val="1"/>
      <w:numFmt w:val="bullet"/>
      <w:lvlText w:val=""/>
      <w:lvlJc w:val="left"/>
      <w:pPr>
        <w:widowControl/>
        <w:tabs>
          <w:tab w:val="left" w:pos="3140"/>
        </w:tabs>
        <w:ind w:left="3140" w:hanging="420"/>
        <w:textAlignment w:val="baseline"/>
      </w:pPr>
      <w:rPr>
        <w:rFonts w:ascii="Wingdings" w:hAnsi="Wingdings"/>
      </w:rPr>
    </w:lvl>
    <w:lvl w:ilvl="7" w:tentative="0">
      <w:start w:val="1"/>
      <w:numFmt w:val="bullet"/>
      <w:lvlText w:val=""/>
      <w:lvlJc w:val="left"/>
      <w:pPr>
        <w:widowControl/>
        <w:tabs>
          <w:tab w:val="left" w:pos="3560"/>
        </w:tabs>
        <w:ind w:left="3560" w:hanging="420"/>
        <w:textAlignment w:val="baseline"/>
      </w:pPr>
      <w:rPr>
        <w:rFonts w:ascii="Wingdings" w:hAnsi="Wingdings"/>
      </w:rPr>
    </w:lvl>
    <w:lvl w:ilvl="8" w:tentative="0">
      <w:start w:val="1"/>
      <w:numFmt w:val="bullet"/>
      <w:lvlText w:val=""/>
      <w:lvlJc w:val="left"/>
      <w:pPr>
        <w:widowControl/>
        <w:tabs>
          <w:tab w:val="left" w:pos="3980"/>
        </w:tabs>
        <w:ind w:left="3980" w:hanging="420"/>
        <w:textAlignment w:val="baseline"/>
      </w:pPr>
      <w:rPr>
        <w:rFonts w:ascii="Wingdings" w:hAnsi="Wingdings"/>
      </w:rPr>
    </w:lvl>
  </w:abstractNum>
  <w:abstractNum w:abstractNumId="5">
    <w:nsid w:val="00000006"/>
    <w:multiLevelType w:val="singleLevel"/>
    <w:tmpl w:val="00000006"/>
    <w:lvl w:ilvl="0" w:tentative="0">
      <w:start w:val="1"/>
      <w:numFmt w:val="bullet"/>
      <w:pStyle w:val="50"/>
      <w:lvlText w:val=""/>
      <w:lvlJc w:val="left"/>
      <w:pPr>
        <w:widowControl/>
        <w:tabs>
          <w:tab w:val="left" w:pos="1620"/>
        </w:tabs>
        <w:ind w:left="1620" w:hanging="360"/>
        <w:textAlignment w:val="baseline"/>
      </w:pPr>
      <w:rPr>
        <w:rFonts w:ascii="Wingdings" w:hAnsi="Wingdings"/>
      </w:rPr>
    </w:lvl>
  </w:abstractNum>
  <w:abstractNum w:abstractNumId="6">
    <w:nsid w:val="00000007"/>
    <w:multiLevelType w:val="multilevel"/>
    <w:tmpl w:val="00000007"/>
    <w:lvl w:ilvl="0" w:tentative="0">
      <w:start w:val="1"/>
      <w:numFmt w:val="bullet"/>
      <w:pStyle w:val="224"/>
      <w:lvlText w:val=""/>
      <w:lvlJc w:val="left"/>
      <w:pPr>
        <w:widowControl/>
        <w:tabs>
          <w:tab w:val="left" w:pos="987"/>
        </w:tabs>
        <w:ind w:left="987" w:hanging="420"/>
        <w:textAlignment w:val="baseline"/>
      </w:pPr>
      <w:rPr>
        <w:rFonts w:ascii="Wingdings" w:hAnsi="Wingdings"/>
      </w:rPr>
    </w:lvl>
    <w:lvl w:ilvl="1" w:tentative="0">
      <w:start w:val="1"/>
      <w:numFmt w:val="lowerLetter"/>
      <w:lvlText w:val="%1)"/>
      <w:lvlJc w:val="left"/>
      <w:pPr>
        <w:widowControl/>
        <w:tabs>
          <w:tab w:val="left" w:pos="840"/>
        </w:tabs>
        <w:ind w:left="840" w:hanging="420"/>
        <w:textAlignment w:val="baseline"/>
      </w:pPr>
    </w:lvl>
    <w:lvl w:ilvl="2" w:tentative="0">
      <w:start w:val="1"/>
      <w:numFmt w:val="decimal"/>
      <w:lvlText w:val="%1、"/>
      <w:lvlJc w:val="left"/>
      <w:pPr>
        <w:widowControl/>
        <w:tabs>
          <w:tab w:val="left" w:pos="1200"/>
        </w:tabs>
        <w:ind w:left="1200" w:hanging="360"/>
        <w:textAlignment w:val="baseline"/>
      </w:pPr>
    </w:lvl>
    <w:lvl w:ilvl="3" w:tentative="0">
      <w:start w:val="1"/>
      <w:numFmt w:val="bullet"/>
      <w:lvlText w:val=""/>
      <w:lvlJc w:val="left"/>
      <w:pPr>
        <w:widowControl/>
        <w:tabs>
          <w:tab w:val="left" w:pos="1680"/>
        </w:tabs>
        <w:ind w:left="1680" w:hanging="420"/>
        <w:textAlignment w:val="baseline"/>
      </w:pPr>
      <w:rPr>
        <w:rFonts w:ascii="Wingdings" w:hAnsi="Wingdings"/>
      </w:r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7">
    <w:nsid w:val="00000008"/>
    <w:multiLevelType w:val="multilevel"/>
    <w:tmpl w:val="00000008"/>
    <w:lvl w:ilvl="0" w:tentative="0">
      <w:start w:val="1"/>
      <w:numFmt w:val="chineseCountingThousand"/>
      <w:pStyle w:val="27"/>
      <w:lvlText w:val="%1、"/>
      <w:lvlJc w:val="left"/>
      <w:pPr>
        <w:widowControl/>
        <w:tabs>
          <w:tab w:val="left" w:pos="720"/>
        </w:tabs>
        <w:ind w:left="42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8">
    <w:nsid w:val="00000009"/>
    <w:multiLevelType w:val="multilevel"/>
    <w:tmpl w:val="00000009"/>
    <w:lvl w:ilvl="0" w:tentative="0">
      <w:start w:val="1"/>
      <w:numFmt w:val="upperLetter"/>
      <w:suff w:val="nothing"/>
      <w:lvlText w:val="附　录　%1"/>
      <w:lvlJc w:val="left"/>
      <w:pPr>
        <w:widowControl/>
        <w:ind w:left="0" w:firstLine="0"/>
        <w:textAlignment w:val="baseline"/>
      </w:pPr>
      <w:rPr>
        <w:rFonts w:ascii="黑体" w:hAnsi="Times New Roman" w:eastAsia="黑体"/>
        <w:b w:val="0"/>
        <w:i w:val="0"/>
        <w:sz w:val="21"/>
      </w:rPr>
    </w:lvl>
    <w:lvl w:ilvl="1" w:tentative="0">
      <w:start w:val="1"/>
      <w:numFmt w:val="decimal"/>
      <w:pStyle w:val="371"/>
      <w:suff w:val="nothing"/>
      <w:lvlText w:val="%1.%2　"/>
      <w:lvlJc w:val="left"/>
      <w:pPr>
        <w:widowControl/>
        <w:ind w:left="210" w:firstLine="0"/>
        <w:textAlignment w:val="baseline"/>
      </w:pPr>
      <w:rPr>
        <w:rFonts w:ascii="黑体" w:hAnsi="Times New Roman" w:eastAsia="黑体"/>
        <w:b w:val="0"/>
        <w:i w:val="0"/>
        <w:kern w:val="21"/>
        <w:sz w:val="21"/>
      </w:rPr>
    </w:lvl>
    <w:lvl w:ilvl="2" w:tentative="0">
      <w:start w:val="1"/>
      <w:numFmt w:val="decimal"/>
      <w:suff w:val="nothing"/>
      <w:lvlText w:val="%1.%2.%3　"/>
      <w:lvlJc w:val="left"/>
      <w:pPr>
        <w:widowControl/>
        <w:ind w:left="0" w:firstLine="0"/>
        <w:textAlignment w:val="baseline"/>
      </w:pPr>
      <w:rPr>
        <w:rFonts w:ascii="黑体" w:hAnsi="Times New Roman" w:eastAsia="黑体"/>
        <w:b w:val="0"/>
        <w:i w:val="0"/>
        <w:sz w:val="21"/>
      </w:rPr>
    </w:lvl>
    <w:lvl w:ilvl="3" w:tentative="0">
      <w:start w:val="1"/>
      <w:numFmt w:val="decimal"/>
      <w:suff w:val="nothing"/>
      <w:lvlText w:val="%1.%2.%3.%4　"/>
      <w:lvlJc w:val="left"/>
      <w:pPr>
        <w:widowControl/>
        <w:ind w:left="0" w:firstLine="0"/>
        <w:textAlignment w:val="baseline"/>
      </w:pPr>
      <w:rPr>
        <w:rFonts w:ascii="黑体" w:hAnsi="Times New Roman" w:eastAsia="黑体"/>
        <w:b w:val="0"/>
        <w:i w:val="0"/>
        <w:sz w:val="21"/>
      </w:rPr>
    </w:lvl>
    <w:lvl w:ilvl="4" w:tentative="0">
      <w:start w:val="1"/>
      <w:numFmt w:val="decimal"/>
      <w:suff w:val="nothing"/>
      <w:lvlText w:val="%1.%2.%3.%4.%5　"/>
      <w:lvlJc w:val="left"/>
      <w:pPr>
        <w:widowControl/>
        <w:ind w:left="0" w:firstLine="0"/>
        <w:textAlignment w:val="baseline"/>
      </w:pPr>
      <w:rPr>
        <w:rFonts w:ascii="黑体" w:hAnsi="Times New Roman" w:eastAsia="黑体"/>
        <w:b w:val="0"/>
        <w:i w:val="0"/>
        <w:sz w:val="21"/>
      </w:rPr>
    </w:lvl>
    <w:lvl w:ilvl="5" w:tentative="0">
      <w:start w:val="1"/>
      <w:numFmt w:val="decimal"/>
      <w:suff w:val="nothing"/>
      <w:lvlText w:val="%1.%2.%3.%4.%5.%6　"/>
      <w:lvlJc w:val="left"/>
      <w:pPr>
        <w:widowControl/>
        <w:ind w:left="0" w:firstLine="0"/>
        <w:textAlignment w:val="baseline"/>
      </w:pPr>
      <w:rPr>
        <w:rFonts w:ascii="黑体" w:hAnsi="Times New Roman" w:eastAsia="黑体"/>
        <w:b w:val="0"/>
        <w:i w:val="0"/>
        <w:sz w:val="21"/>
      </w:rPr>
    </w:lvl>
    <w:lvl w:ilvl="6" w:tentative="0">
      <w:start w:val="1"/>
      <w:numFmt w:val="decimal"/>
      <w:suff w:val="nothing"/>
      <w:lvlText w:val="%1.%2.%3.%4.%5.%6.%7　"/>
      <w:lvlJc w:val="left"/>
      <w:pPr>
        <w:widowControl/>
        <w:ind w:left="0" w:firstLine="0"/>
        <w:textAlignment w:val="baseline"/>
      </w:pPr>
      <w:rPr>
        <w:rFonts w:ascii="黑体" w:hAnsi="Times New Roman" w:eastAsia="黑体"/>
        <w:b w:val="0"/>
        <w:i w:val="0"/>
        <w:sz w:val="21"/>
      </w:rPr>
    </w:lvl>
    <w:lvl w:ilvl="7" w:tentative="0">
      <w:start w:val="1"/>
      <w:numFmt w:val="decimal"/>
      <w:lvlText w:val="%1.%2.%3.%4.%5.%6.%7.%8"/>
      <w:lvlJc w:val="left"/>
      <w:pPr>
        <w:widowControl/>
        <w:tabs>
          <w:tab w:val="left" w:pos="4394"/>
        </w:tabs>
        <w:ind w:left="4394" w:hanging="1418"/>
        <w:textAlignment w:val="baseline"/>
      </w:pPr>
    </w:lvl>
    <w:lvl w:ilvl="8" w:tentative="0">
      <w:start w:val="1"/>
      <w:numFmt w:val="decimal"/>
      <w:lvlText w:val="%1.%2.%3.%4.%5.%6.%7.%8.%9"/>
      <w:lvlJc w:val="left"/>
      <w:pPr>
        <w:widowControl/>
        <w:tabs>
          <w:tab w:val="left" w:pos="5102"/>
        </w:tabs>
        <w:ind w:left="5102" w:hanging="1700"/>
        <w:textAlignment w:val="baseline"/>
      </w:pPr>
    </w:lvl>
  </w:abstractNum>
  <w:abstractNum w:abstractNumId="9">
    <w:nsid w:val="0000000A"/>
    <w:multiLevelType w:val="multilevel"/>
    <w:tmpl w:val="0000000A"/>
    <w:lvl w:ilvl="0" w:tentative="0">
      <w:start w:val="8"/>
      <w:numFmt w:val="decimal"/>
      <w:pStyle w:val="269"/>
      <w:lvlText w:val="%1."/>
      <w:lvlJc w:val="left"/>
      <w:pPr>
        <w:widowControl/>
        <w:tabs>
          <w:tab w:val="left" w:pos="425"/>
        </w:tabs>
        <w:ind w:left="425" w:hanging="425"/>
        <w:textAlignment w:val="baseline"/>
      </w:pPr>
    </w:lvl>
    <w:lvl w:ilvl="1" w:tentative="0">
      <w:start w:val="1"/>
      <w:numFmt w:val="decimal"/>
      <w:lvlText w:val="%1.%2."/>
      <w:lvlJc w:val="left"/>
      <w:pPr>
        <w:widowControl/>
        <w:tabs>
          <w:tab w:val="left" w:pos="747"/>
        </w:tabs>
        <w:ind w:left="747" w:hanging="567"/>
        <w:textAlignment w:val="baseline"/>
      </w:pPr>
    </w:lvl>
    <w:lvl w:ilvl="2" w:tentative="0">
      <w:start w:val="1"/>
      <w:numFmt w:val="decimal"/>
      <w:pStyle w:val="451"/>
      <w:lvlText w:val="%1.%2.%3."/>
      <w:lvlJc w:val="left"/>
      <w:pPr>
        <w:widowControl/>
        <w:tabs>
          <w:tab w:val="left" w:pos="709"/>
        </w:tabs>
        <w:ind w:left="709" w:hanging="709"/>
        <w:textAlignment w:val="baseline"/>
      </w:pPr>
    </w:lvl>
    <w:lvl w:ilvl="3" w:tentative="0">
      <w:start w:val="1"/>
      <w:numFmt w:val="decimal"/>
      <w:lvlText w:val="%1.%2.%3.%4."/>
      <w:lvlJc w:val="left"/>
      <w:pPr>
        <w:widowControl/>
        <w:tabs>
          <w:tab w:val="left" w:pos="851"/>
        </w:tabs>
        <w:ind w:left="851" w:hanging="851"/>
        <w:textAlignment w:val="baseline"/>
      </w:pPr>
    </w:lvl>
    <w:lvl w:ilvl="4" w:tentative="0">
      <w:start w:val="1"/>
      <w:numFmt w:val="decimal"/>
      <w:lvlText w:val="%1.%2.%3.%4.%5."/>
      <w:lvlJc w:val="left"/>
      <w:pPr>
        <w:widowControl/>
        <w:tabs>
          <w:tab w:val="left" w:pos="992"/>
        </w:tabs>
        <w:ind w:left="992" w:hanging="992"/>
        <w:textAlignment w:val="baseline"/>
      </w:pPr>
    </w:lvl>
    <w:lvl w:ilvl="5" w:tentative="0">
      <w:start w:val="1"/>
      <w:numFmt w:val="decimal"/>
      <w:lvlText w:val="%1.%2.%3.%4.%5.%6."/>
      <w:lvlJc w:val="left"/>
      <w:pPr>
        <w:widowControl/>
        <w:tabs>
          <w:tab w:val="left" w:pos="1134"/>
        </w:tabs>
        <w:ind w:left="1134" w:hanging="1134"/>
        <w:textAlignment w:val="baseline"/>
      </w:pPr>
    </w:lvl>
    <w:lvl w:ilvl="6" w:tentative="0">
      <w:start w:val="1"/>
      <w:numFmt w:val="decimal"/>
      <w:lvlText w:val="%1.%2.%3.%4.%5.%6.%7."/>
      <w:lvlJc w:val="left"/>
      <w:pPr>
        <w:widowControl/>
        <w:tabs>
          <w:tab w:val="left" w:pos="1276"/>
        </w:tabs>
        <w:ind w:left="1276" w:hanging="1276"/>
        <w:textAlignment w:val="baseline"/>
      </w:pPr>
    </w:lvl>
    <w:lvl w:ilvl="7" w:tentative="0">
      <w:start w:val="1"/>
      <w:numFmt w:val="decimal"/>
      <w:lvlText w:val="%1.%2.%3.%4.%5.%6.%7.%8."/>
      <w:lvlJc w:val="left"/>
      <w:pPr>
        <w:widowControl/>
        <w:tabs>
          <w:tab w:val="left" w:pos="1418"/>
        </w:tabs>
        <w:ind w:left="1418" w:hanging="1418"/>
        <w:textAlignment w:val="baseline"/>
      </w:pPr>
    </w:lvl>
    <w:lvl w:ilvl="8" w:tentative="0">
      <w:start w:val="1"/>
      <w:numFmt w:val="decimal"/>
      <w:lvlText w:val="%1.%2.%3.%4.%5.%6.%7.%8.%9."/>
      <w:lvlJc w:val="left"/>
      <w:pPr>
        <w:widowControl/>
        <w:tabs>
          <w:tab w:val="left" w:pos="1559"/>
        </w:tabs>
        <w:ind w:left="1559" w:hanging="1559"/>
        <w:textAlignment w:val="baseline"/>
      </w:pPr>
    </w:lvl>
  </w:abstractNum>
  <w:abstractNum w:abstractNumId="10">
    <w:nsid w:val="00000012"/>
    <w:multiLevelType w:val="singleLevel"/>
    <w:tmpl w:val="00000012"/>
    <w:lvl w:ilvl="0" w:tentative="0">
      <w:start w:val="1"/>
      <w:numFmt w:val="bullet"/>
      <w:pStyle w:val="67"/>
      <w:lvlText w:val=""/>
      <w:lvlJc w:val="left"/>
      <w:pPr>
        <w:widowControl/>
        <w:tabs>
          <w:tab w:val="left" w:pos="780"/>
        </w:tabs>
        <w:ind w:left="780" w:hanging="360"/>
        <w:textAlignment w:val="baseline"/>
      </w:pPr>
      <w:rPr>
        <w:rFonts w:ascii="Wingdings" w:hAnsi="Wingdings"/>
      </w:rPr>
    </w:lvl>
  </w:abstractNum>
  <w:abstractNum w:abstractNumId="11">
    <w:nsid w:val="00000013"/>
    <w:multiLevelType w:val="multilevel"/>
    <w:tmpl w:val="00000013"/>
    <w:lvl w:ilvl="0" w:tentative="0">
      <w:start w:val="1"/>
      <w:numFmt w:val="bullet"/>
      <w:pStyle w:val="433"/>
      <w:lvlText w:val=""/>
      <w:lvlJc w:val="left"/>
      <w:pPr>
        <w:widowControl/>
        <w:tabs>
          <w:tab w:val="left" w:pos="1644"/>
        </w:tabs>
        <w:ind w:left="1644" w:hanging="510"/>
        <w:textAlignment w:val="baseline"/>
      </w:pPr>
      <w:rPr>
        <w:rFonts w:ascii="Wingdings" w:hAnsi="Wingdings"/>
        <w:color w:val="000000"/>
        <w:sz w:val="13"/>
      </w:rPr>
    </w:lvl>
    <w:lvl w:ilvl="1" w:tentative="0">
      <w:start w:val="1"/>
      <w:numFmt w:val="bullet"/>
      <w:lvlText w:val=""/>
      <w:lvlJc w:val="left"/>
      <w:pPr>
        <w:widowControl/>
        <w:tabs>
          <w:tab w:val="left" w:pos="840"/>
        </w:tabs>
        <w:ind w:left="840" w:hanging="420"/>
        <w:textAlignment w:val="baseline"/>
      </w:pPr>
      <w:rPr>
        <w:rFonts w:ascii="Wingdings" w:hAnsi="Wingdings"/>
        <w:color w:val="000000"/>
        <w:sz w:val="13"/>
      </w:rPr>
    </w:lvl>
    <w:lvl w:ilvl="2" w:tentative="0">
      <w:start w:val="1"/>
      <w:numFmt w:val="bullet"/>
      <w:lvlText w:val=""/>
      <w:lvlJc w:val="left"/>
      <w:pPr>
        <w:widowControl/>
        <w:tabs>
          <w:tab w:val="left" w:pos="1260"/>
        </w:tabs>
        <w:ind w:left="1260" w:hanging="420"/>
        <w:textAlignment w:val="baseline"/>
      </w:pPr>
      <w:rPr>
        <w:rFonts w:ascii="Wingdings" w:hAnsi="Wingdings"/>
      </w:rPr>
    </w:lvl>
    <w:lvl w:ilvl="3" w:tentative="0">
      <w:start w:val="1"/>
      <w:numFmt w:val="bullet"/>
      <w:lvlText w:val=""/>
      <w:lvlJc w:val="left"/>
      <w:pPr>
        <w:widowControl/>
        <w:tabs>
          <w:tab w:val="left" w:pos="1680"/>
        </w:tabs>
        <w:ind w:left="1680" w:hanging="420"/>
        <w:textAlignment w:val="baseline"/>
      </w:pPr>
      <w:rPr>
        <w:rFonts w:ascii="Wingdings" w:hAnsi="Wingdings"/>
      </w:rPr>
    </w:lvl>
    <w:lvl w:ilvl="4" w:tentative="0">
      <w:start w:val="1"/>
      <w:numFmt w:val="bullet"/>
      <w:lvlText w:val=""/>
      <w:lvlJc w:val="left"/>
      <w:pPr>
        <w:widowControl/>
        <w:tabs>
          <w:tab w:val="left" w:pos="2100"/>
        </w:tabs>
        <w:ind w:left="2100" w:hanging="420"/>
        <w:textAlignment w:val="baseline"/>
      </w:pPr>
      <w:rPr>
        <w:rFonts w:ascii="Wingdings" w:hAnsi="Wingdings"/>
      </w:rPr>
    </w:lvl>
    <w:lvl w:ilvl="5" w:tentative="0">
      <w:start w:val="1"/>
      <w:numFmt w:val="bullet"/>
      <w:lvlText w:val=""/>
      <w:lvlJc w:val="left"/>
      <w:pPr>
        <w:widowControl/>
        <w:tabs>
          <w:tab w:val="left" w:pos="2520"/>
        </w:tabs>
        <w:ind w:left="2520" w:hanging="420"/>
        <w:textAlignment w:val="baseline"/>
      </w:pPr>
      <w:rPr>
        <w:rFonts w:ascii="Wingdings" w:hAnsi="Wingdings"/>
      </w:rPr>
    </w:lvl>
    <w:lvl w:ilvl="6" w:tentative="0">
      <w:start w:val="1"/>
      <w:numFmt w:val="bullet"/>
      <w:lvlText w:val=""/>
      <w:lvlJc w:val="left"/>
      <w:pPr>
        <w:widowControl/>
        <w:tabs>
          <w:tab w:val="left" w:pos="2940"/>
        </w:tabs>
        <w:ind w:left="2940" w:hanging="420"/>
        <w:textAlignment w:val="baseline"/>
      </w:pPr>
      <w:rPr>
        <w:rFonts w:ascii="Wingdings" w:hAnsi="Wingdings"/>
      </w:rPr>
    </w:lvl>
    <w:lvl w:ilvl="7" w:tentative="0">
      <w:start w:val="1"/>
      <w:numFmt w:val="bullet"/>
      <w:lvlText w:val=""/>
      <w:lvlJc w:val="left"/>
      <w:pPr>
        <w:widowControl/>
        <w:tabs>
          <w:tab w:val="left" w:pos="3360"/>
        </w:tabs>
        <w:ind w:left="3360" w:hanging="420"/>
        <w:textAlignment w:val="baseline"/>
      </w:pPr>
      <w:rPr>
        <w:rFonts w:ascii="Wingdings" w:hAnsi="Wingdings"/>
      </w:rPr>
    </w:lvl>
    <w:lvl w:ilvl="8" w:tentative="0">
      <w:start w:val="1"/>
      <w:numFmt w:val="bullet"/>
      <w:lvlText w:val=""/>
      <w:lvlJc w:val="left"/>
      <w:pPr>
        <w:widowControl/>
        <w:tabs>
          <w:tab w:val="left" w:pos="3780"/>
        </w:tabs>
        <w:ind w:left="3780" w:hanging="420"/>
        <w:textAlignment w:val="baseline"/>
      </w:pPr>
      <w:rPr>
        <w:rFonts w:ascii="Wingdings" w:hAnsi="Wingdings"/>
      </w:rPr>
    </w:lvl>
  </w:abstractNum>
  <w:abstractNum w:abstractNumId="12">
    <w:nsid w:val="00000015"/>
    <w:multiLevelType w:val="multilevel"/>
    <w:tmpl w:val="00000015"/>
    <w:lvl w:ilvl="0" w:tentative="0">
      <w:start w:val="1"/>
      <w:numFmt w:val="decimal"/>
      <w:pStyle w:val="239"/>
      <w:lvlText w:val="(%1)"/>
      <w:lvlJc w:val="left"/>
      <w:pPr>
        <w:widowControl/>
        <w:tabs>
          <w:tab w:val="left" w:pos="397"/>
        </w:tabs>
        <w:ind w:left="397" w:hanging="397"/>
        <w:textAlignment w:val="baseline"/>
      </w:pPr>
      <w:rPr>
        <w:rFonts w:ascii="Arial" w:hAnsi="Arial" w:eastAsia="宋体"/>
        <w:b w:val="0"/>
        <w:i w:val="0"/>
        <w:color w:val="000000"/>
        <w:sz w:val="18"/>
      </w:r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3">
    <w:nsid w:val="00000016"/>
    <w:multiLevelType w:val="singleLevel"/>
    <w:tmpl w:val="00000016"/>
    <w:lvl w:ilvl="0" w:tentative="0">
      <w:start w:val="1"/>
      <w:numFmt w:val="bullet"/>
      <w:pStyle w:val="249"/>
      <w:lvlText w:val=""/>
      <w:lvlJc w:val="left"/>
      <w:pPr>
        <w:widowControl/>
        <w:tabs>
          <w:tab w:val="left" w:pos="360"/>
        </w:tabs>
        <w:ind w:left="360" w:hanging="360"/>
        <w:textAlignment w:val="baseline"/>
      </w:pPr>
      <w:rPr>
        <w:rFonts w:ascii="Wingdings" w:hAnsi="Wingdings"/>
      </w:rPr>
    </w:lvl>
  </w:abstractNum>
  <w:abstractNum w:abstractNumId="14">
    <w:nsid w:val="00000017"/>
    <w:multiLevelType w:val="singleLevel"/>
    <w:tmpl w:val="00000017"/>
    <w:lvl w:ilvl="0" w:tentative="0">
      <w:start w:val="1"/>
      <w:numFmt w:val="bullet"/>
      <w:pStyle w:val="61"/>
      <w:lvlText w:val=""/>
      <w:lvlJc w:val="left"/>
      <w:pPr>
        <w:widowControl/>
        <w:tabs>
          <w:tab w:val="left" w:pos="1200"/>
        </w:tabs>
        <w:ind w:left="1200" w:hanging="360"/>
        <w:textAlignment w:val="baseline"/>
      </w:pPr>
      <w:rPr>
        <w:rFonts w:ascii="Wingdings" w:hAnsi="Wingdings"/>
      </w:rPr>
    </w:lvl>
  </w:abstractNum>
  <w:abstractNum w:abstractNumId="15">
    <w:nsid w:val="00000019"/>
    <w:multiLevelType w:val="singleLevel"/>
    <w:tmpl w:val="00000019"/>
    <w:lvl w:ilvl="0" w:tentative="0">
      <w:start w:val="1"/>
      <w:numFmt w:val="decimal"/>
      <w:pStyle w:val="426"/>
      <w:lvlText w:val="%1)"/>
      <w:lvlJc w:val="left"/>
      <w:pPr>
        <w:widowControl/>
        <w:tabs>
          <w:tab w:val="left" w:pos="425"/>
        </w:tabs>
        <w:ind w:left="425" w:hanging="425"/>
        <w:textAlignment w:val="baseline"/>
      </w:pPr>
    </w:lvl>
  </w:abstractNum>
  <w:abstractNum w:abstractNumId="16">
    <w:nsid w:val="0000001A"/>
    <w:multiLevelType w:val="multilevel"/>
    <w:tmpl w:val="0000001A"/>
    <w:lvl w:ilvl="0" w:tentative="0">
      <w:start w:val="1"/>
      <w:numFmt w:val="decimal"/>
      <w:pStyle w:val="209"/>
      <w:lvlText w:val="（%1）"/>
      <w:lvlJc w:val="left"/>
      <w:pPr>
        <w:widowControl/>
        <w:tabs>
          <w:tab w:val="left" w:pos="1230"/>
        </w:tabs>
        <w:ind w:left="0" w:firstLine="510"/>
        <w:textAlignment w:val="baseline"/>
      </w:pPr>
      <w:rPr>
        <w:rFonts w:ascii="Arial" w:hAnsi="Arial"/>
        <w:b w:val="0"/>
        <w:i w:val="0"/>
        <w:sz w:val="24"/>
      </w:r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7">
    <w:nsid w:val="0000001D"/>
    <w:multiLevelType w:val="multilevel"/>
    <w:tmpl w:val="0000001D"/>
    <w:lvl w:ilvl="0" w:tentative="0">
      <w:start w:val="1"/>
      <w:numFmt w:val="chineseCountingThousand"/>
      <w:pStyle w:val="264"/>
      <w:lvlText w:val="%1、"/>
      <w:lvlJc w:val="left"/>
      <w:pPr>
        <w:widowControl/>
        <w:tabs>
          <w:tab w:val="left" w:pos="720"/>
        </w:tabs>
        <w:ind w:left="42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8">
    <w:nsid w:val="1A0C8D59"/>
    <w:multiLevelType w:val="singleLevel"/>
    <w:tmpl w:val="1A0C8D59"/>
    <w:lvl w:ilvl="0" w:tentative="0">
      <w:start w:val="1"/>
      <w:numFmt w:val="decimal"/>
      <w:lvlText w:val="%1."/>
      <w:lvlJc w:val="left"/>
      <w:pPr>
        <w:widowControl/>
        <w:ind w:left="425" w:hanging="425"/>
        <w:textAlignment w:val="baseline"/>
      </w:pPr>
    </w:lvl>
  </w:abstractNum>
  <w:num w:numId="1">
    <w:abstractNumId w:val="2"/>
  </w:num>
  <w:num w:numId="2">
    <w:abstractNumId w:val="7"/>
  </w:num>
  <w:num w:numId="3">
    <w:abstractNumId w:val="3"/>
  </w:num>
  <w:num w:numId="4">
    <w:abstractNumId w:val="5"/>
  </w:num>
  <w:num w:numId="5">
    <w:abstractNumId w:val="14"/>
  </w:num>
  <w:num w:numId="6">
    <w:abstractNumId w:val="10"/>
  </w:num>
  <w:num w:numId="7">
    <w:abstractNumId w:val="16"/>
  </w:num>
  <w:num w:numId="8">
    <w:abstractNumId w:val="6"/>
  </w:num>
  <w:num w:numId="9">
    <w:abstractNumId w:val="12"/>
  </w:num>
  <w:num w:numId="10">
    <w:abstractNumId w:val="13"/>
  </w:num>
  <w:num w:numId="11">
    <w:abstractNumId w:val="17"/>
  </w:num>
  <w:num w:numId="12">
    <w:abstractNumId w:val="9"/>
  </w:num>
  <w:num w:numId="13">
    <w:abstractNumId w:val="8"/>
  </w:num>
  <w:num w:numId="14">
    <w:abstractNumId w:val="15"/>
  </w:num>
  <w:num w:numId="15">
    <w:abstractNumId w:val="11"/>
  </w:num>
  <w:num w:numId="16">
    <w:abstractNumId w:val="4"/>
  </w:num>
  <w:num w:numId="17">
    <w:abstractNumId w:val="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kwZGQwZGJiZWE4NzE3OWYxZTBlZWM5MDRkYTk2NmEifQ=="/>
  </w:docVars>
  <w:rsids>
    <w:rsidRoot w:val="00000000"/>
    <w:rsid w:val="05216546"/>
    <w:rsid w:val="0AF52A50"/>
    <w:rsid w:val="0C687DF1"/>
    <w:rsid w:val="0D185A20"/>
    <w:rsid w:val="1C706DE1"/>
    <w:rsid w:val="1F446D63"/>
    <w:rsid w:val="20A543F4"/>
    <w:rsid w:val="20A774A8"/>
    <w:rsid w:val="21723F5A"/>
    <w:rsid w:val="224C05A4"/>
    <w:rsid w:val="236E7899"/>
    <w:rsid w:val="25BF1D59"/>
    <w:rsid w:val="287C29F4"/>
    <w:rsid w:val="2D394446"/>
    <w:rsid w:val="2EC612D6"/>
    <w:rsid w:val="333741EB"/>
    <w:rsid w:val="3E653363"/>
    <w:rsid w:val="3F9B2DCE"/>
    <w:rsid w:val="42FB6DBC"/>
    <w:rsid w:val="430F2C57"/>
    <w:rsid w:val="46626268"/>
    <w:rsid w:val="4844364C"/>
    <w:rsid w:val="4B3D772B"/>
    <w:rsid w:val="4DBC0187"/>
    <w:rsid w:val="50C66799"/>
    <w:rsid w:val="51DC4954"/>
    <w:rsid w:val="53A4599C"/>
    <w:rsid w:val="624D3A32"/>
    <w:rsid w:val="661B74FF"/>
    <w:rsid w:val="66C719A1"/>
    <w:rsid w:val="68550B65"/>
    <w:rsid w:val="6A9D3135"/>
    <w:rsid w:val="6D922C09"/>
    <w:rsid w:val="742359C8"/>
    <w:rsid w:val="7613461F"/>
    <w:rsid w:val="79A71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8"/>
      <w:lang w:val="en-US" w:eastAsia="zh-CN" w:bidi="ar-SA"/>
    </w:rPr>
  </w:style>
  <w:style w:type="paragraph" w:styleId="2">
    <w:name w:val="heading 1"/>
    <w:basedOn w:val="1"/>
    <w:next w:val="3"/>
    <w:qFormat/>
    <w:uiPriority w:val="0"/>
    <w:pPr>
      <w:keepNext/>
      <w:keepLines/>
      <w:numPr>
        <w:ilvl w:val="0"/>
        <w:numId w:val="1"/>
      </w:numPr>
      <w:spacing w:before="340" w:after="330" w:line="576" w:lineRule="auto"/>
      <w:outlineLvl w:val="0"/>
    </w:pPr>
    <w:rPr>
      <w:b/>
      <w:kern w:val="44"/>
      <w:sz w:val="44"/>
    </w:rPr>
  </w:style>
  <w:style w:type="paragraph" w:styleId="4">
    <w:name w:val="heading 3"/>
    <w:basedOn w:val="1"/>
    <w:next w:val="1"/>
    <w:unhideWhenUsed/>
    <w:qFormat/>
    <w:uiPriority w:val="0"/>
    <w:pPr>
      <w:autoSpaceDE w:val="0"/>
      <w:autoSpaceDN w:val="0"/>
      <w:adjustRightInd w:val="0"/>
      <w:spacing w:before="16"/>
      <w:jc w:val="left"/>
      <w:outlineLvl w:val="2"/>
    </w:pPr>
    <w:rPr>
      <w:rFonts w:ascii="仿宋_GB2312" w:eastAsia="仿宋_GB2312" w:cs="宋体"/>
      <w:b/>
      <w:kern w:val="0"/>
      <w:sz w:val="24"/>
      <w:szCs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index 1"/>
    <w:basedOn w:val="1"/>
    <w:next w:val="1"/>
    <w:qFormat/>
    <w:uiPriority w:val="0"/>
  </w:style>
  <w:style w:type="paragraph" w:styleId="5">
    <w:name w:val="caption"/>
    <w:basedOn w:val="1"/>
    <w:next w:val="1"/>
    <w:qFormat/>
    <w:uiPriority w:val="0"/>
    <w:pPr>
      <w:tabs>
        <w:tab w:val="left" w:pos="1134"/>
      </w:tabs>
      <w:snapToGrid w:val="0"/>
      <w:spacing w:line="280" w:lineRule="atLeast"/>
      <w:jc w:val="left"/>
    </w:pPr>
    <w:rPr>
      <w:rFonts w:eastAsia="PMingLiU"/>
      <w:b/>
      <w:kern w:val="0"/>
      <w:sz w:val="24"/>
      <w:lang w:eastAsia="zh-TW"/>
    </w:rPr>
  </w:style>
  <w:style w:type="paragraph" w:styleId="6">
    <w:name w:val="Salutation"/>
    <w:basedOn w:val="1"/>
    <w:next w:val="1"/>
    <w:link w:val="58"/>
    <w:qFormat/>
    <w:uiPriority w:val="0"/>
    <w:rPr>
      <w:szCs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rFonts w:cs="Times New Roman"/>
      <w:sz w:val="44"/>
    </w:rPr>
  </w:style>
  <w:style w:type="paragraph" w:styleId="9">
    <w:name w:val="Date"/>
    <w:basedOn w:val="1"/>
    <w:next w:val="1"/>
    <w:link w:val="73"/>
    <w:qFormat/>
    <w:uiPriority w:val="0"/>
  </w:style>
  <w:style w:type="paragraph" w:styleId="10">
    <w:name w:val="footer"/>
    <w:basedOn w:val="1"/>
    <w:link w:val="78"/>
    <w:qFormat/>
    <w:uiPriority w:val="0"/>
    <w:pPr>
      <w:tabs>
        <w:tab w:val="center" w:pos="4153"/>
        <w:tab w:val="right" w:pos="8306"/>
      </w:tabs>
      <w:snapToGrid w:val="0"/>
      <w:jc w:val="left"/>
    </w:pPr>
    <w:rPr>
      <w:sz w:val="18"/>
    </w:rPr>
  </w:style>
  <w:style w:type="paragraph" w:styleId="11">
    <w:name w:val="header"/>
    <w:basedOn w:val="1"/>
    <w:link w:val="79"/>
    <w:qFormat/>
    <w:uiPriority w:val="0"/>
    <w:pPr>
      <w:pBdr>
        <w:bottom w:val="single" w:color="000000" w:sz="6" w:space="1"/>
      </w:pBdr>
      <w:tabs>
        <w:tab w:val="center" w:pos="4153"/>
        <w:tab w:val="right" w:pos="8306"/>
      </w:tabs>
      <w:snapToGrid w:val="0"/>
      <w:jc w:val="center"/>
    </w:pPr>
    <w:rPr>
      <w:sz w:val="18"/>
    </w:rPr>
  </w:style>
  <w:style w:type="paragraph" w:styleId="12">
    <w:name w:val="toc 1"/>
    <w:basedOn w:val="1"/>
    <w:next w:val="1"/>
    <w:qFormat/>
    <w:uiPriority w:val="0"/>
    <w:pPr>
      <w:spacing w:before="120" w:after="120"/>
      <w:jc w:val="left"/>
    </w:pPr>
    <w:rPr>
      <w:caps/>
      <w:sz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5"/>
    <w:next w:val="1"/>
    <w:link w:val="99"/>
    <w:qFormat/>
    <w:uiPriority w:val="0"/>
    <w:pPr>
      <w:spacing w:after="240" w:line="360" w:lineRule="auto"/>
      <w:jc w:val="center"/>
    </w:pPr>
    <w:rPr>
      <w:rFonts w:ascii="Arial" w:hAnsi="Arial"/>
      <w:b/>
      <w:smallCaps/>
      <w:kern w:val="28"/>
      <w:sz w:val="36"/>
      <w:lang w:eastAsia="en-US"/>
    </w:rPr>
  </w:style>
  <w:style w:type="paragraph" w:customStyle="1" w:styleId="15">
    <w:name w:val="BodyText"/>
    <w:basedOn w:val="1"/>
    <w:next w:val="1"/>
    <w:link w:val="36"/>
    <w:qFormat/>
    <w:uiPriority w:val="0"/>
    <w:rPr>
      <w:rFonts w:ascii="仿宋_GB2312" w:eastAsia="仿宋_GB2312"/>
      <w:sz w:val="32"/>
    </w:rPr>
  </w:style>
  <w:style w:type="paragraph" w:styleId="16">
    <w:name w:val="Body Text First Indent"/>
    <w:basedOn w:val="7"/>
    <w:next w:val="1"/>
    <w:qFormat/>
    <w:uiPriority w:val="0"/>
    <w:pPr>
      <w:spacing w:line="360" w:lineRule="auto"/>
      <w:ind w:firstLine="420"/>
    </w:pPr>
    <w:rPr>
      <w:rFonts w:ascii="宋体" w:hAnsi="宋体"/>
      <w:sz w:val="24"/>
    </w:rPr>
  </w:style>
  <w:style w:type="paragraph" w:styleId="17">
    <w:name w:val="Body Text First Indent 2"/>
    <w:basedOn w:val="8"/>
    <w:next w:val="1"/>
    <w:qFormat/>
    <w:uiPriority w:val="0"/>
    <w:pPr>
      <w:spacing w:line="240" w:lineRule="auto"/>
      <w:ind w:left="420" w:leftChars="200" w:firstLine="420" w:firstLineChars="200"/>
    </w:pPr>
    <w:rPr>
      <w:sz w:val="21"/>
    </w:rPr>
  </w:style>
  <w:style w:type="character" w:styleId="20">
    <w:name w:val="Strong"/>
    <w:qFormat/>
    <w:uiPriority w:val="0"/>
    <w:rPr>
      <w:b/>
    </w:rPr>
  </w:style>
  <w:style w:type="character" w:styleId="21">
    <w:name w:val="FollowedHyperlink"/>
    <w:qFormat/>
    <w:uiPriority w:val="0"/>
    <w:rPr>
      <w:color w:val="800080"/>
    </w:rPr>
  </w:style>
  <w:style w:type="character" w:styleId="22">
    <w:name w:val="Emphasis"/>
    <w:qFormat/>
    <w:uiPriority w:val="0"/>
    <w:rPr>
      <w:i/>
    </w:rPr>
  </w:style>
  <w:style w:type="character" w:styleId="23">
    <w:name w:val="Hyperlink"/>
    <w:qFormat/>
    <w:uiPriority w:val="0"/>
    <w:rPr>
      <w:color w:val="0000FF"/>
    </w:rPr>
  </w:style>
  <w:style w:type="paragraph" w:customStyle="1" w:styleId="24">
    <w:name w:val="Heading1"/>
    <w:basedOn w:val="1"/>
    <w:next w:val="1"/>
    <w:link w:val="38"/>
    <w:qFormat/>
    <w:uiPriority w:val="0"/>
    <w:pPr>
      <w:keepNext/>
      <w:tabs>
        <w:tab w:val="left" w:pos="3360"/>
      </w:tabs>
      <w:snapToGrid w:val="0"/>
      <w:spacing w:before="312" w:after="156" w:line="800" w:lineRule="atLeast"/>
      <w:jc w:val="center"/>
    </w:pPr>
    <w:rPr>
      <w:rFonts w:eastAsia="黑体"/>
      <w:sz w:val="44"/>
    </w:rPr>
  </w:style>
  <w:style w:type="paragraph" w:customStyle="1" w:styleId="25">
    <w:name w:val="Heading2"/>
    <w:basedOn w:val="1"/>
    <w:next w:val="1"/>
    <w:link w:val="39"/>
    <w:qFormat/>
    <w:uiPriority w:val="0"/>
    <w:pPr>
      <w:keepNext/>
      <w:keepLines/>
      <w:snapToGrid w:val="0"/>
      <w:spacing w:line="360" w:lineRule="auto"/>
    </w:pPr>
    <w:rPr>
      <w:rFonts w:ascii="宋体" w:hAnsi="宋体"/>
    </w:rPr>
  </w:style>
  <w:style w:type="paragraph" w:customStyle="1" w:styleId="26">
    <w:name w:val="Heading3"/>
    <w:basedOn w:val="1"/>
    <w:next w:val="1"/>
    <w:link w:val="40"/>
    <w:qFormat/>
    <w:uiPriority w:val="0"/>
    <w:pPr>
      <w:keepNext/>
      <w:keepLines/>
      <w:spacing w:before="260" w:after="260" w:line="413" w:lineRule="auto"/>
      <w:jc w:val="center"/>
    </w:pPr>
    <w:rPr>
      <w:b/>
      <w:sz w:val="44"/>
    </w:rPr>
  </w:style>
  <w:style w:type="paragraph" w:customStyle="1" w:styleId="27">
    <w:name w:val="Heading4"/>
    <w:basedOn w:val="1"/>
    <w:next w:val="1"/>
    <w:link w:val="41"/>
    <w:qFormat/>
    <w:uiPriority w:val="0"/>
    <w:pPr>
      <w:keepNext/>
      <w:keepLines/>
      <w:numPr>
        <w:ilvl w:val="0"/>
        <w:numId w:val="2"/>
      </w:numPr>
      <w:spacing w:before="560" w:after="290" w:line="377" w:lineRule="auto"/>
    </w:pPr>
    <w:rPr>
      <w:rFonts w:ascii="Arial" w:hAnsi="Arial" w:eastAsia="黑体"/>
      <w:b/>
    </w:rPr>
  </w:style>
  <w:style w:type="paragraph" w:customStyle="1" w:styleId="28">
    <w:name w:val="Heading5"/>
    <w:basedOn w:val="1"/>
    <w:next w:val="1"/>
    <w:link w:val="42"/>
    <w:qFormat/>
    <w:uiPriority w:val="0"/>
    <w:pPr>
      <w:keepNext/>
      <w:keepLines/>
      <w:tabs>
        <w:tab w:val="left" w:pos="2551"/>
      </w:tabs>
      <w:spacing w:before="280" w:after="290" w:line="372" w:lineRule="auto"/>
      <w:ind w:left="2551" w:hanging="850"/>
    </w:pPr>
    <w:rPr>
      <w:b/>
    </w:rPr>
  </w:style>
  <w:style w:type="paragraph" w:customStyle="1" w:styleId="29">
    <w:name w:val="Heading6"/>
    <w:basedOn w:val="1"/>
    <w:next w:val="1"/>
    <w:link w:val="43"/>
    <w:qFormat/>
    <w:uiPriority w:val="0"/>
    <w:pPr>
      <w:keepNext/>
      <w:keepLines/>
      <w:tabs>
        <w:tab w:val="left" w:pos="1152"/>
      </w:tabs>
      <w:snapToGrid w:val="0"/>
      <w:spacing w:before="240" w:after="64" w:line="317" w:lineRule="auto"/>
      <w:ind w:left="1152" w:hanging="1152"/>
    </w:pPr>
    <w:rPr>
      <w:rFonts w:ascii="Arial" w:hAnsi="Arial" w:eastAsia="黑体"/>
      <w:b/>
      <w:sz w:val="24"/>
    </w:rPr>
  </w:style>
  <w:style w:type="paragraph" w:customStyle="1" w:styleId="30">
    <w:name w:val="Heading7"/>
    <w:basedOn w:val="1"/>
    <w:next w:val="1"/>
    <w:link w:val="44"/>
    <w:qFormat/>
    <w:uiPriority w:val="0"/>
    <w:pPr>
      <w:keepNext/>
      <w:keepLines/>
      <w:tabs>
        <w:tab w:val="left" w:pos="1296"/>
      </w:tabs>
      <w:snapToGrid w:val="0"/>
      <w:spacing w:before="240" w:after="64" w:line="317" w:lineRule="auto"/>
      <w:ind w:left="1296" w:hanging="1296"/>
    </w:pPr>
    <w:rPr>
      <w:rFonts w:ascii="Arial" w:hAnsi="Arial" w:eastAsia="黑体"/>
      <w:b/>
      <w:sz w:val="24"/>
    </w:rPr>
  </w:style>
  <w:style w:type="paragraph" w:customStyle="1" w:styleId="31">
    <w:name w:val="Heading8"/>
    <w:basedOn w:val="1"/>
    <w:next w:val="1"/>
    <w:link w:val="45"/>
    <w:qFormat/>
    <w:uiPriority w:val="0"/>
    <w:pPr>
      <w:keepNext/>
      <w:keepLines/>
      <w:tabs>
        <w:tab w:val="left" w:pos="1440"/>
      </w:tabs>
      <w:snapToGrid w:val="0"/>
      <w:spacing w:before="240" w:after="64" w:line="317" w:lineRule="auto"/>
      <w:ind w:left="1440" w:hanging="1440"/>
    </w:pPr>
    <w:rPr>
      <w:rFonts w:ascii="Arial" w:hAnsi="Arial" w:eastAsia="黑体"/>
      <w:b/>
      <w:sz w:val="24"/>
    </w:rPr>
  </w:style>
  <w:style w:type="paragraph" w:customStyle="1" w:styleId="32">
    <w:name w:val="Heading9"/>
    <w:basedOn w:val="1"/>
    <w:next w:val="1"/>
    <w:link w:val="46"/>
    <w:qFormat/>
    <w:uiPriority w:val="0"/>
    <w:pPr>
      <w:keepNext/>
      <w:keepLines/>
      <w:tabs>
        <w:tab w:val="left" w:pos="1584"/>
      </w:tabs>
      <w:snapToGrid w:val="0"/>
      <w:spacing w:before="240" w:after="64" w:line="317" w:lineRule="auto"/>
      <w:ind w:left="1584" w:hanging="1584"/>
    </w:pPr>
    <w:rPr>
      <w:rFonts w:ascii="Arial" w:hAnsi="Arial" w:eastAsia="黑体"/>
      <w:b/>
      <w:sz w:val="24"/>
    </w:rPr>
  </w:style>
  <w:style w:type="character" w:customStyle="1" w:styleId="33">
    <w:name w:val="NormalCharacter"/>
    <w:qFormat/>
    <w:uiPriority w:val="0"/>
  </w:style>
  <w:style w:type="table" w:customStyle="1" w:styleId="34">
    <w:name w:val="TableNormal"/>
    <w:qFormat/>
    <w:uiPriority w:val="0"/>
    <w:tblPr>
      <w:tblCellMar>
        <w:top w:w="0" w:type="dxa"/>
        <w:left w:w="0" w:type="dxa"/>
        <w:bottom w:w="0" w:type="dxa"/>
        <w:right w:w="0" w:type="dxa"/>
      </w:tblCellMar>
    </w:tblPr>
  </w:style>
  <w:style w:type="paragraph" w:customStyle="1" w:styleId="35">
    <w:name w:val="BodyText1I"/>
    <w:basedOn w:val="15"/>
    <w:next w:val="1"/>
    <w:link w:val="37"/>
    <w:qFormat/>
    <w:uiPriority w:val="0"/>
    <w:pPr>
      <w:spacing w:line="360" w:lineRule="auto"/>
      <w:ind w:firstLine="420"/>
    </w:pPr>
    <w:rPr>
      <w:rFonts w:ascii="宋体" w:hAnsi="宋体"/>
      <w:sz w:val="24"/>
    </w:rPr>
  </w:style>
  <w:style w:type="character" w:customStyle="1" w:styleId="36">
    <w:name w:val="UserStyle_0"/>
    <w:link w:val="15"/>
    <w:qFormat/>
    <w:uiPriority w:val="0"/>
    <w:rPr>
      <w:rFonts w:ascii="仿宋_GB2312" w:eastAsia="仿宋_GB2312"/>
      <w:kern w:val="2"/>
      <w:sz w:val="32"/>
    </w:rPr>
  </w:style>
  <w:style w:type="character" w:customStyle="1" w:styleId="37">
    <w:name w:val="UserStyle_1"/>
    <w:link w:val="35"/>
    <w:qFormat/>
    <w:uiPriority w:val="0"/>
    <w:rPr>
      <w:rFonts w:ascii="宋体" w:hAnsi="宋体"/>
      <w:kern w:val="2"/>
      <w:sz w:val="24"/>
    </w:rPr>
  </w:style>
  <w:style w:type="character" w:customStyle="1" w:styleId="38">
    <w:name w:val="UserStyle_2"/>
    <w:link w:val="24"/>
    <w:qFormat/>
    <w:uiPriority w:val="0"/>
    <w:rPr>
      <w:rFonts w:eastAsia="黑体"/>
      <w:kern w:val="2"/>
      <w:sz w:val="44"/>
    </w:rPr>
  </w:style>
  <w:style w:type="character" w:customStyle="1" w:styleId="39">
    <w:name w:val="UserStyle_3"/>
    <w:link w:val="25"/>
    <w:qFormat/>
    <w:uiPriority w:val="0"/>
    <w:rPr>
      <w:rFonts w:ascii="宋体" w:hAnsi="宋体"/>
      <w:kern w:val="2"/>
      <w:sz w:val="28"/>
    </w:rPr>
  </w:style>
  <w:style w:type="character" w:customStyle="1" w:styleId="40">
    <w:name w:val="UserStyle_4"/>
    <w:link w:val="26"/>
    <w:qFormat/>
    <w:uiPriority w:val="0"/>
    <w:rPr>
      <w:b/>
      <w:kern w:val="2"/>
      <w:sz w:val="44"/>
    </w:rPr>
  </w:style>
  <w:style w:type="character" w:customStyle="1" w:styleId="41">
    <w:name w:val="UserStyle_5"/>
    <w:link w:val="27"/>
    <w:qFormat/>
    <w:uiPriority w:val="0"/>
    <w:rPr>
      <w:rFonts w:ascii="Arial" w:hAnsi="Arial" w:eastAsia="黑体"/>
      <w:b/>
      <w:kern w:val="2"/>
      <w:sz w:val="28"/>
    </w:rPr>
  </w:style>
  <w:style w:type="character" w:customStyle="1" w:styleId="42">
    <w:name w:val="UserStyle_6"/>
    <w:link w:val="28"/>
    <w:qFormat/>
    <w:uiPriority w:val="0"/>
    <w:rPr>
      <w:b/>
      <w:kern w:val="2"/>
      <w:sz w:val="28"/>
    </w:rPr>
  </w:style>
  <w:style w:type="character" w:customStyle="1" w:styleId="43">
    <w:name w:val="UserStyle_7"/>
    <w:link w:val="29"/>
    <w:qFormat/>
    <w:uiPriority w:val="0"/>
    <w:rPr>
      <w:rFonts w:ascii="Arial" w:hAnsi="Arial" w:eastAsia="黑体"/>
      <w:b/>
      <w:kern w:val="2"/>
      <w:sz w:val="24"/>
    </w:rPr>
  </w:style>
  <w:style w:type="character" w:customStyle="1" w:styleId="44">
    <w:name w:val="UserStyle_8"/>
    <w:link w:val="30"/>
    <w:qFormat/>
    <w:uiPriority w:val="0"/>
    <w:rPr>
      <w:rFonts w:ascii="Arial" w:hAnsi="Arial" w:eastAsia="黑体"/>
      <w:b/>
      <w:kern w:val="2"/>
      <w:sz w:val="24"/>
    </w:rPr>
  </w:style>
  <w:style w:type="character" w:customStyle="1" w:styleId="45">
    <w:name w:val="UserStyle_9"/>
    <w:link w:val="31"/>
    <w:qFormat/>
    <w:uiPriority w:val="0"/>
    <w:rPr>
      <w:rFonts w:ascii="Arial" w:hAnsi="Arial" w:eastAsia="黑体"/>
      <w:b/>
      <w:kern w:val="2"/>
      <w:sz w:val="24"/>
    </w:rPr>
  </w:style>
  <w:style w:type="character" w:customStyle="1" w:styleId="46">
    <w:name w:val="UserStyle_10"/>
    <w:link w:val="32"/>
    <w:qFormat/>
    <w:uiPriority w:val="0"/>
    <w:rPr>
      <w:rFonts w:ascii="Arial" w:hAnsi="Arial" w:eastAsia="黑体"/>
      <w:b/>
      <w:kern w:val="2"/>
      <w:sz w:val="24"/>
    </w:rPr>
  </w:style>
  <w:style w:type="paragraph" w:customStyle="1" w:styleId="47">
    <w:name w:val="List3"/>
    <w:basedOn w:val="1"/>
    <w:qFormat/>
    <w:uiPriority w:val="0"/>
    <w:pPr>
      <w:snapToGrid w:val="0"/>
      <w:spacing w:line="360" w:lineRule="auto"/>
      <w:ind w:left="100" w:leftChars="400" w:hanging="200" w:hangingChars="200"/>
    </w:pPr>
    <w:rPr>
      <w:sz w:val="24"/>
    </w:rPr>
  </w:style>
  <w:style w:type="paragraph" w:customStyle="1" w:styleId="48">
    <w:name w:val="TOC7"/>
    <w:basedOn w:val="1"/>
    <w:next w:val="1"/>
    <w:qFormat/>
    <w:uiPriority w:val="0"/>
    <w:pPr>
      <w:ind w:left="2520" w:leftChars="1200"/>
    </w:pPr>
  </w:style>
  <w:style w:type="paragraph" w:customStyle="1" w:styleId="49">
    <w:name w:val="ListNumber2"/>
    <w:basedOn w:val="1"/>
    <w:qFormat/>
    <w:uiPriority w:val="0"/>
    <w:pPr>
      <w:numPr>
        <w:ilvl w:val="0"/>
        <w:numId w:val="3"/>
      </w:numPr>
      <w:spacing w:line="360" w:lineRule="auto"/>
    </w:pPr>
    <w:rPr>
      <w:sz w:val="24"/>
    </w:rPr>
  </w:style>
  <w:style w:type="paragraph" w:customStyle="1" w:styleId="50">
    <w:name w:val="ListBullet4"/>
    <w:basedOn w:val="1"/>
    <w:qFormat/>
    <w:uiPriority w:val="0"/>
    <w:pPr>
      <w:numPr>
        <w:ilvl w:val="0"/>
        <w:numId w:val="4"/>
      </w:numPr>
      <w:tabs>
        <w:tab w:val="left" w:pos="1134"/>
      </w:tabs>
      <w:snapToGrid w:val="0"/>
      <w:spacing w:before="120" w:line="280" w:lineRule="atLeast"/>
      <w:ind w:left="1418" w:hanging="284"/>
      <w:jc w:val="left"/>
    </w:pPr>
    <w:rPr>
      <w:rFonts w:ascii="宋体"/>
      <w:kern w:val="0"/>
      <w:sz w:val="22"/>
    </w:rPr>
  </w:style>
  <w:style w:type="paragraph" w:customStyle="1" w:styleId="51">
    <w:name w:val="NormalIndent"/>
    <w:basedOn w:val="1"/>
    <w:link w:val="52"/>
    <w:qFormat/>
    <w:uiPriority w:val="0"/>
    <w:pPr>
      <w:snapToGrid w:val="0"/>
      <w:spacing w:line="360" w:lineRule="auto"/>
      <w:ind w:firstLine="420"/>
    </w:pPr>
    <w:rPr>
      <w:sz w:val="24"/>
    </w:rPr>
  </w:style>
  <w:style w:type="character" w:customStyle="1" w:styleId="52">
    <w:name w:val="UserStyle_11"/>
    <w:link w:val="51"/>
    <w:qFormat/>
    <w:uiPriority w:val="0"/>
    <w:rPr>
      <w:kern w:val="2"/>
      <w:sz w:val="24"/>
    </w:rPr>
  </w:style>
  <w:style w:type="paragraph" w:customStyle="1" w:styleId="53">
    <w:name w:val="NavPane"/>
    <w:basedOn w:val="1"/>
    <w:link w:val="54"/>
    <w:qFormat/>
    <w:uiPriority w:val="0"/>
    <w:pPr>
      <w:shd w:val="clear" w:color="auto" w:fill="000080"/>
    </w:pPr>
  </w:style>
  <w:style w:type="character" w:customStyle="1" w:styleId="54">
    <w:name w:val="UserStyle_12"/>
    <w:link w:val="53"/>
    <w:qFormat/>
    <w:uiPriority w:val="0"/>
    <w:rPr>
      <w:kern w:val="2"/>
      <w:sz w:val="28"/>
      <w:shd w:val="clear" w:color="auto" w:fill="000080"/>
    </w:rPr>
  </w:style>
  <w:style w:type="paragraph" w:customStyle="1" w:styleId="55">
    <w:name w:val="TOAHeading"/>
    <w:basedOn w:val="1"/>
    <w:next w:val="1"/>
    <w:qFormat/>
    <w:uiPriority w:val="0"/>
    <w:pPr>
      <w:spacing w:before="120"/>
    </w:pPr>
    <w:rPr>
      <w:rFonts w:ascii="Arial" w:hAnsi="Arial"/>
      <w:sz w:val="24"/>
    </w:rPr>
  </w:style>
  <w:style w:type="paragraph" w:customStyle="1" w:styleId="56">
    <w:name w:val="AnnotationText"/>
    <w:basedOn w:val="1"/>
    <w:link w:val="57"/>
    <w:qFormat/>
    <w:uiPriority w:val="0"/>
    <w:pPr>
      <w:tabs>
        <w:tab w:val="left" w:pos="1134"/>
      </w:tabs>
      <w:snapToGrid w:val="0"/>
      <w:spacing w:line="280" w:lineRule="atLeast"/>
      <w:jc w:val="left"/>
    </w:pPr>
    <w:rPr>
      <w:rFonts w:eastAsia="PMingLiU"/>
      <w:kern w:val="0"/>
      <w:sz w:val="24"/>
      <w:lang w:eastAsia="zh-TW"/>
    </w:rPr>
  </w:style>
  <w:style w:type="character" w:customStyle="1" w:styleId="57">
    <w:name w:val="UserStyle_13"/>
    <w:link w:val="56"/>
    <w:qFormat/>
    <w:uiPriority w:val="0"/>
    <w:rPr>
      <w:rFonts w:eastAsia="PMingLiU"/>
      <w:sz w:val="24"/>
      <w:lang w:eastAsia="zh-TW"/>
    </w:rPr>
  </w:style>
  <w:style w:type="character" w:customStyle="1" w:styleId="58">
    <w:name w:val="称呼 Char"/>
    <w:link w:val="6"/>
    <w:qFormat/>
    <w:uiPriority w:val="0"/>
    <w:rPr>
      <w:kern w:val="2"/>
      <w:sz w:val="28"/>
      <w:szCs w:val="24"/>
    </w:rPr>
  </w:style>
  <w:style w:type="paragraph" w:customStyle="1" w:styleId="59">
    <w:name w:val="BodyText3"/>
    <w:basedOn w:val="1"/>
    <w:link w:val="60"/>
    <w:qFormat/>
    <w:uiPriority w:val="0"/>
    <w:pPr>
      <w:snapToGrid w:val="0"/>
      <w:spacing w:after="120" w:line="360" w:lineRule="auto"/>
    </w:pPr>
    <w:rPr>
      <w:sz w:val="16"/>
    </w:rPr>
  </w:style>
  <w:style w:type="character" w:customStyle="1" w:styleId="60">
    <w:name w:val="UserStyle_15"/>
    <w:link w:val="59"/>
    <w:qFormat/>
    <w:uiPriority w:val="0"/>
    <w:rPr>
      <w:kern w:val="2"/>
      <w:sz w:val="16"/>
    </w:rPr>
  </w:style>
  <w:style w:type="paragraph" w:customStyle="1" w:styleId="61">
    <w:name w:val="ListBullet3"/>
    <w:basedOn w:val="1"/>
    <w:qFormat/>
    <w:uiPriority w:val="0"/>
    <w:pPr>
      <w:numPr>
        <w:ilvl w:val="0"/>
        <w:numId w:val="5"/>
      </w:numPr>
      <w:snapToGrid w:val="0"/>
      <w:spacing w:line="360" w:lineRule="auto"/>
    </w:pPr>
    <w:rPr>
      <w:sz w:val="24"/>
    </w:rPr>
  </w:style>
  <w:style w:type="paragraph" w:customStyle="1" w:styleId="62">
    <w:name w:val="BodyTextIndent"/>
    <w:basedOn w:val="1"/>
    <w:link w:val="63"/>
    <w:qFormat/>
    <w:uiPriority w:val="0"/>
    <w:pPr>
      <w:spacing w:line="700" w:lineRule="exact"/>
      <w:ind w:left="960"/>
    </w:pPr>
    <w:rPr>
      <w:sz w:val="44"/>
    </w:rPr>
  </w:style>
  <w:style w:type="character" w:customStyle="1" w:styleId="63">
    <w:name w:val="UserStyle_16"/>
    <w:link w:val="62"/>
    <w:semiHidden/>
    <w:qFormat/>
    <w:locked/>
    <w:uiPriority w:val="0"/>
    <w:rPr>
      <w:rFonts w:eastAsia="宋体"/>
      <w:kern w:val="2"/>
      <w:sz w:val="44"/>
      <w:lang w:val="en-US" w:eastAsia="zh-CN" w:bidi="ar-SA"/>
    </w:rPr>
  </w:style>
  <w:style w:type="paragraph" w:customStyle="1" w:styleId="64">
    <w:name w:val="ListNumber3"/>
    <w:basedOn w:val="1"/>
    <w:qFormat/>
    <w:uiPriority w:val="0"/>
    <w:pPr>
      <w:tabs>
        <w:tab w:val="left" w:pos="2120"/>
      </w:tabs>
      <w:snapToGrid w:val="0"/>
      <w:spacing w:line="360" w:lineRule="auto"/>
      <w:ind w:left="2120" w:hanging="720"/>
    </w:pPr>
    <w:rPr>
      <w:sz w:val="24"/>
    </w:rPr>
  </w:style>
  <w:style w:type="paragraph" w:customStyle="1" w:styleId="65">
    <w:name w:val="List2"/>
    <w:basedOn w:val="1"/>
    <w:qFormat/>
    <w:uiPriority w:val="0"/>
    <w:pPr>
      <w:snapToGrid w:val="0"/>
      <w:spacing w:line="360" w:lineRule="auto"/>
      <w:ind w:left="100" w:leftChars="200" w:hanging="200" w:hangingChars="200"/>
    </w:pPr>
    <w:rPr>
      <w:sz w:val="24"/>
    </w:rPr>
  </w:style>
  <w:style w:type="paragraph" w:customStyle="1" w:styleId="66">
    <w:name w:val="ListContinue"/>
    <w:basedOn w:val="1"/>
    <w:qFormat/>
    <w:uiPriority w:val="0"/>
    <w:pPr>
      <w:snapToGrid w:val="0"/>
      <w:spacing w:after="120" w:line="360" w:lineRule="auto"/>
      <w:ind w:left="420" w:leftChars="200"/>
    </w:pPr>
    <w:rPr>
      <w:sz w:val="24"/>
    </w:rPr>
  </w:style>
  <w:style w:type="paragraph" w:customStyle="1" w:styleId="67">
    <w:name w:val="ListBullet2"/>
    <w:basedOn w:val="1"/>
    <w:qFormat/>
    <w:uiPriority w:val="0"/>
    <w:pPr>
      <w:numPr>
        <w:ilvl w:val="0"/>
        <w:numId w:val="6"/>
      </w:numPr>
      <w:snapToGrid w:val="0"/>
      <w:spacing w:line="360" w:lineRule="auto"/>
    </w:pPr>
    <w:rPr>
      <w:sz w:val="24"/>
    </w:rPr>
  </w:style>
  <w:style w:type="paragraph" w:customStyle="1" w:styleId="68">
    <w:name w:val="TOC5"/>
    <w:basedOn w:val="1"/>
    <w:next w:val="1"/>
    <w:qFormat/>
    <w:uiPriority w:val="0"/>
    <w:pPr>
      <w:ind w:left="1680" w:leftChars="800"/>
    </w:pPr>
  </w:style>
  <w:style w:type="paragraph" w:customStyle="1" w:styleId="69">
    <w:name w:val="TOC3"/>
    <w:basedOn w:val="1"/>
    <w:next w:val="1"/>
    <w:qFormat/>
    <w:uiPriority w:val="0"/>
    <w:pPr>
      <w:ind w:left="840" w:leftChars="400"/>
    </w:pPr>
  </w:style>
  <w:style w:type="paragraph" w:customStyle="1" w:styleId="70">
    <w:name w:val="PlainText"/>
    <w:basedOn w:val="1"/>
    <w:link w:val="71"/>
    <w:qFormat/>
    <w:uiPriority w:val="0"/>
    <w:pPr>
      <w:snapToGrid w:val="0"/>
      <w:spacing w:line="360" w:lineRule="auto"/>
    </w:pPr>
    <w:rPr>
      <w:rFonts w:ascii="宋体" w:hAnsi="Courier New"/>
      <w:sz w:val="21"/>
    </w:rPr>
  </w:style>
  <w:style w:type="character" w:customStyle="1" w:styleId="71">
    <w:name w:val="UserStyle_17"/>
    <w:link w:val="70"/>
    <w:qFormat/>
    <w:locked/>
    <w:uiPriority w:val="0"/>
    <w:rPr>
      <w:rFonts w:ascii="宋体" w:hAnsi="Courier New" w:eastAsia="宋体"/>
      <w:kern w:val="2"/>
      <w:sz w:val="21"/>
      <w:lang w:val="en-US" w:eastAsia="zh-CN" w:bidi="ar-SA"/>
    </w:rPr>
  </w:style>
  <w:style w:type="paragraph" w:customStyle="1" w:styleId="72">
    <w:name w:val="TOC8"/>
    <w:basedOn w:val="1"/>
    <w:next w:val="1"/>
    <w:qFormat/>
    <w:uiPriority w:val="0"/>
    <w:pPr>
      <w:ind w:left="2940" w:leftChars="1400"/>
    </w:pPr>
  </w:style>
  <w:style w:type="character" w:customStyle="1" w:styleId="73">
    <w:name w:val="日期 Char"/>
    <w:link w:val="9"/>
    <w:qFormat/>
    <w:uiPriority w:val="0"/>
    <w:rPr>
      <w:kern w:val="2"/>
      <w:sz w:val="28"/>
    </w:rPr>
  </w:style>
  <w:style w:type="paragraph" w:customStyle="1" w:styleId="74">
    <w:name w:val="BodyTextIndent2"/>
    <w:basedOn w:val="1"/>
    <w:link w:val="75"/>
    <w:qFormat/>
    <w:uiPriority w:val="0"/>
    <w:pPr>
      <w:snapToGrid w:val="0"/>
      <w:spacing w:line="440" w:lineRule="atLeast"/>
      <w:ind w:firstLine="570"/>
    </w:pPr>
    <w:rPr>
      <w:rFonts w:ascii="宋体"/>
    </w:rPr>
  </w:style>
  <w:style w:type="character" w:customStyle="1" w:styleId="75">
    <w:name w:val="UserStyle_19"/>
    <w:link w:val="74"/>
    <w:qFormat/>
    <w:uiPriority w:val="0"/>
    <w:rPr>
      <w:rFonts w:ascii="宋体"/>
      <w:kern w:val="2"/>
      <w:sz w:val="28"/>
    </w:rPr>
  </w:style>
  <w:style w:type="paragraph" w:customStyle="1" w:styleId="76">
    <w:name w:val="Acetate"/>
    <w:basedOn w:val="1"/>
    <w:link w:val="77"/>
    <w:qFormat/>
    <w:uiPriority w:val="0"/>
    <w:rPr>
      <w:sz w:val="18"/>
    </w:rPr>
  </w:style>
  <w:style w:type="character" w:customStyle="1" w:styleId="77">
    <w:name w:val="UserStyle_20"/>
    <w:link w:val="76"/>
    <w:qFormat/>
    <w:uiPriority w:val="0"/>
    <w:rPr>
      <w:kern w:val="2"/>
      <w:sz w:val="18"/>
    </w:rPr>
  </w:style>
  <w:style w:type="character" w:customStyle="1" w:styleId="78">
    <w:name w:val="页脚 Char"/>
    <w:link w:val="10"/>
    <w:qFormat/>
    <w:locked/>
    <w:uiPriority w:val="0"/>
    <w:rPr>
      <w:rFonts w:eastAsia="宋体"/>
      <w:kern w:val="2"/>
      <w:sz w:val="18"/>
      <w:lang w:val="en-US" w:eastAsia="zh-CN" w:bidi="ar-SA"/>
    </w:rPr>
  </w:style>
  <w:style w:type="character" w:customStyle="1" w:styleId="79">
    <w:name w:val="页眉 Char"/>
    <w:link w:val="11"/>
    <w:qFormat/>
    <w:locked/>
    <w:uiPriority w:val="0"/>
    <w:rPr>
      <w:rFonts w:eastAsia="宋体"/>
      <w:kern w:val="2"/>
      <w:sz w:val="18"/>
      <w:lang w:val="en-US" w:eastAsia="zh-CN" w:bidi="ar-SA"/>
    </w:rPr>
  </w:style>
  <w:style w:type="paragraph" w:customStyle="1" w:styleId="80">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81">
    <w:name w:val="ListContinue4"/>
    <w:basedOn w:val="1"/>
    <w:qFormat/>
    <w:uiPriority w:val="0"/>
    <w:pPr>
      <w:snapToGrid w:val="0"/>
      <w:spacing w:after="120" w:line="360" w:lineRule="auto"/>
      <w:ind w:left="1680" w:leftChars="800"/>
    </w:pPr>
    <w:rPr>
      <w:sz w:val="24"/>
    </w:rPr>
  </w:style>
  <w:style w:type="paragraph" w:customStyle="1" w:styleId="82">
    <w:name w:val="TOC4"/>
    <w:basedOn w:val="1"/>
    <w:next w:val="1"/>
    <w:qFormat/>
    <w:uiPriority w:val="0"/>
    <w:pPr>
      <w:ind w:left="1260" w:leftChars="600"/>
    </w:pPr>
  </w:style>
  <w:style w:type="paragraph" w:customStyle="1" w:styleId="83">
    <w:name w:val="FootnoteText"/>
    <w:basedOn w:val="1"/>
    <w:link w:val="84"/>
    <w:qFormat/>
    <w:uiPriority w:val="0"/>
    <w:pPr>
      <w:spacing w:line="360" w:lineRule="auto"/>
    </w:pPr>
    <w:rPr>
      <w:sz w:val="18"/>
    </w:rPr>
  </w:style>
  <w:style w:type="character" w:customStyle="1" w:styleId="84">
    <w:name w:val="UserStyle_23"/>
    <w:link w:val="83"/>
    <w:qFormat/>
    <w:uiPriority w:val="0"/>
    <w:rPr>
      <w:kern w:val="2"/>
      <w:sz w:val="18"/>
    </w:rPr>
  </w:style>
  <w:style w:type="paragraph" w:customStyle="1" w:styleId="85">
    <w:name w:val="TOC6"/>
    <w:basedOn w:val="1"/>
    <w:next w:val="1"/>
    <w:qFormat/>
    <w:uiPriority w:val="0"/>
    <w:pPr>
      <w:ind w:left="2100" w:leftChars="1000"/>
    </w:pPr>
  </w:style>
  <w:style w:type="paragraph" w:customStyle="1" w:styleId="86">
    <w:name w:val="List5"/>
    <w:basedOn w:val="1"/>
    <w:qFormat/>
    <w:uiPriority w:val="0"/>
    <w:pPr>
      <w:snapToGrid w:val="0"/>
      <w:spacing w:line="360" w:lineRule="auto"/>
      <w:ind w:left="100" w:leftChars="800" w:hanging="200" w:hangingChars="200"/>
    </w:pPr>
    <w:rPr>
      <w:sz w:val="24"/>
    </w:rPr>
  </w:style>
  <w:style w:type="paragraph" w:customStyle="1" w:styleId="87">
    <w:name w:val="BodyTextIndent3"/>
    <w:basedOn w:val="1"/>
    <w:link w:val="88"/>
    <w:qFormat/>
    <w:uiPriority w:val="0"/>
    <w:pPr>
      <w:spacing w:line="360" w:lineRule="auto"/>
      <w:ind w:firstLine="632"/>
    </w:pPr>
    <w:rPr>
      <w:rFonts w:ascii="黑体" w:eastAsia="黑体"/>
    </w:rPr>
  </w:style>
  <w:style w:type="character" w:customStyle="1" w:styleId="88">
    <w:name w:val="UserStyle_24"/>
    <w:link w:val="87"/>
    <w:qFormat/>
    <w:uiPriority w:val="0"/>
    <w:rPr>
      <w:rFonts w:ascii="黑体" w:eastAsia="黑体"/>
      <w:kern w:val="2"/>
      <w:sz w:val="28"/>
    </w:rPr>
  </w:style>
  <w:style w:type="paragraph" w:customStyle="1" w:styleId="89">
    <w:name w:val="ToCaption"/>
    <w:basedOn w:val="1"/>
    <w:next w:val="1"/>
    <w:qFormat/>
    <w:uiPriority w:val="0"/>
    <w:pPr>
      <w:tabs>
        <w:tab w:val="right" w:leader="dot" w:pos="8640"/>
      </w:tabs>
      <w:spacing w:line="360" w:lineRule="auto"/>
      <w:ind w:left="400" w:hanging="400"/>
    </w:pPr>
    <w:rPr>
      <w:sz w:val="24"/>
    </w:rPr>
  </w:style>
  <w:style w:type="paragraph" w:customStyle="1" w:styleId="90">
    <w:name w:val="TOC2"/>
    <w:basedOn w:val="1"/>
    <w:next w:val="1"/>
    <w:qFormat/>
    <w:uiPriority w:val="0"/>
    <w:pPr>
      <w:tabs>
        <w:tab w:val="right" w:leader="dot" w:pos="8400"/>
      </w:tabs>
      <w:spacing w:line="440" w:lineRule="exact"/>
      <w:ind w:left="280" w:leftChars="100" w:right="-91" w:rightChars="-91"/>
    </w:pPr>
  </w:style>
  <w:style w:type="paragraph" w:customStyle="1" w:styleId="91">
    <w:name w:val="TOC9"/>
    <w:basedOn w:val="1"/>
    <w:next w:val="1"/>
    <w:qFormat/>
    <w:uiPriority w:val="0"/>
    <w:pPr>
      <w:ind w:left="3360" w:leftChars="1600"/>
    </w:pPr>
  </w:style>
  <w:style w:type="paragraph" w:customStyle="1" w:styleId="92">
    <w:name w:val="BodyText2"/>
    <w:basedOn w:val="1"/>
    <w:link w:val="93"/>
    <w:qFormat/>
    <w:uiPriority w:val="0"/>
    <w:pPr>
      <w:snapToGrid w:val="0"/>
      <w:spacing w:after="120" w:line="480" w:lineRule="auto"/>
    </w:pPr>
    <w:rPr>
      <w:sz w:val="24"/>
    </w:rPr>
  </w:style>
  <w:style w:type="character" w:customStyle="1" w:styleId="93">
    <w:name w:val="UserStyle_25"/>
    <w:link w:val="92"/>
    <w:qFormat/>
    <w:locked/>
    <w:uiPriority w:val="0"/>
    <w:rPr>
      <w:rFonts w:eastAsia="宋体"/>
      <w:kern w:val="2"/>
      <w:sz w:val="24"/>
      <w:lang w:val="en-US" w:eastAsia="zh-CN" w:bidi="ar-SA"/>
    </w:rPr>
  </w:style>
  <w:style w:type="paragraph" w:customStyle="1" w:styleId="94">
    <w:name w:val="List4"/>
    <w:basedOn w:val="1"/>
    <w:qFormat/>
    <w:uiPriority w:val="0"/>
    <w:pPr>
      <w:snapToGrid w:val="0"/>
      <w:spacing w:line="360" w:lineRule="auto"/>
      <w:ind w:left="100" w:leftChars="600" w:hanging="200" w:hangingChars="200"/>
    </w:pPr>
    <w:rPr>
      <w:sz w:val="24"/>
    </w:rPr>
  </w:style>
  <w:style w:type="paragraph" w:customStyle="1" w:styleId="95">
    <w:name w:val="ListContinue2"/>
    <w:basedOn w:val="1"/>
    <w:qFormat/>
    <w:uiPriority w:val="0"/>
    <w:pPr>
      <w:snapToGrid w:val="0"/>
      <w:spacing w:after="120" w:line="360" w:lineRule="auto"/>
      <w:ind w:left="840" w:leftChars="400"/>
    </w:pPr>
    <w:rPr>
      <w:sz w:val="24"/>
    </w:rPr>
  </w:style>
  <w:style w:type="paragraph" w:customStyle="1" w:styleId="96">
    <w:name w:val="HtmlNormal"/>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97">
    <w:name w:val="ListContinue3"/>
    <w:basedOn w:val="1"/>
    <w:qFormat/>
    <w:uiPriority w:val="0"/>
    <w:pPr>
      <w:snapToGrid w:val="0"/>
      <w:spacing w:after="120" w:line="360" w:lineRule="auto"/>
      <w:ind w:left="1260" w:leftChars="600"/>
    </w:pPr>
    <w:rPr>
      <w:sz w:val="24"/>
    </w:rPr>
  </w:style>
  <w:style w:type="paragraph" w:customStyle="1" w:styleId="98">
    <w:name w:val="Index1"/>
    <w:basedOn w:val="1"/>
    <w:next w:val="1"/>
    <w:qFormat/>
    <w:uiPriority w:val="0"/>
    <w:pPr>
      <w:spacing w:line="240" w:lineRule="atLeast"/>
    </w:pPr>
    <w:rPr>
      <w:rFonts w:ascii="宋体"/>
      <w:kern w:val="0"/>
      <w:sz w:val="21"/>
    </w:rPr>
  </w:style>
  <w:style w:type="character" w:customStyle="1" w:styleId="99">
    <w:name w:val="标题 Char"/>
    <w:link w:val="14"/>
    <w:qFormat/>
    <w:locked/>
    <w:uiPriority w:val="0"/>
    <w:rPr>
      <w:rFonts w:ascii="Arial" w:hAnsi="Arial"/>
      <w:b/>
      <w:smallCaps/>
      <w:kern w:val="28"/>
      <w:sz w:val="36"/>
      <w:lang w:eastAsia="en-US"/>
    </w:rPr>
  </w:style>
  <w:style w:type="paragraph" w:customStyle="1" w:styleId="100">
    <w:name w:val="AnnotationSubject"/>
    <w:basedOn w:val="56"/>
    <w:next w:val="56"/>
    <w:link w:val="101"/>
    <w:qFormat/>
    <w:uiPriority w:val="0"/>
    <w:pPr>
      <w:spacing w:line="240" w:lineRule="auto"/>
    </w:pPr>
    <w:rPr>
      <w:rFonts w:eastAsia="宋体"/>
      <w:b/>
      <w:kern w:val="2"/>
      <w:sz w:val="21"/>
    </w:rPr>
  </w:style>
  <w:style w:type="character" w:customStyle="1" w:styleId="101">
    <w:name w:val="UserStyle_27"/>
    <w:link w:val="100"/>
    <w:qFormat/>
    <w:uiPriority w:val="0"/>
    <w:rPr>
      <w:b/>
      <w:kern w:val="2"/>
      <w:sz w:val="21"/>
    </w:rPr>
  </w:style>
  <w:style w:type="paragraph" w:customStyle="1" w:styleId="102">
    <w:name w:val="BodyText1I2"/>
    <w:basedOn w:val="62"/>
    <w:link w:val="103"/>
    <w:qFormat/>
    <w:uiPriority w:val="0"/>
    <w:pPr>
      <w:spacing w:after="120" w:line="240" w:lineRule="auto"/>
      <w:ind w:left="420" w:leftChars="200" w:firstLine="420" w:firstLineChars="200"/>
    </w:pPr>
    <w:rPr>
      <w:sz w:val="21"/>
    </w:rPr>
  </w:style>
  <w:style w:type="character" w:customStyle="1" w:styleId="103">
    <w:name w:val="UserStyle_28"/>
    <w:link w:val="102"/>
    <w:qFormat/>
    <w:uiPriority w:val="0"/>
    <w:rPr>
      <w:kern w:val="2"/>
      <w:sz w:val="21"/>
    </w:rPr>
  </w:style>
  <w:style w:type="table" w:customStyle="1" w:styleId="104">
    <w:name w:val="TableGrid"/>
    <w:basedOn w:val="34"/>
    <w:qFormat/>
    <w:uiPriority w:val="0"/>
    <w:tblPr>
      <w:tblCellMar>
        <w:top w:w="0" w:type="dxa"/>
        <w:left w:w="0" w:type="dxa"/>
        <w:bottom w:w="0" w:type="dxa"/>
        <w:right w:w="0" w:type="dxa"/>
      </w:tblCellMar>
    </w:tblPr>
  </w:style>
  <w:style w:type="character" w:customStyle="1" w:styleId="105">
    <w:name w:val="PageNumber"/>
    <w:qFormat/>
    <w:uiPriority w:val="0"/>
  </w:style>
  <w:style w:type="character" w:customStyle="1" w:styleId="106">
    <w:name w:val="HtmlDfn"/>
    <w:qFormat/>
    <w:uiPriority w:val="0"/>
  </w:style>
  <w:style w:type="character" w:customStyle="1" w:styleId="107">
    <w:name w:val="HtmlTt"/>
    <w:qFormat/>
    <w:uiPriority w:val="0"/>
    <w:rPr>
      <w:rFonts w:ascii="monospace" w:hAnsi="monospace" w:eastAsia="monospace"/>
      <w:sz w:val="20"/>
    </w:rPr>
  </w:style>
  <w:style w:type="character" w:customStyle="1" w:styleId="108">
    <w:name w:val="HtmlAcronym"/>
    <w:qFormat/>
    <w:uiPriority w:val="0"/>
  </w:style>
  <w:style w:type="character" w:customStyle="1" w:styleId="109">
    <w:name w:val="HtmlVar"/>
    <w:qFormat/>
    <w:uiPriority w:val="0"/>
  </w:style>
  <w:style w:type="character" w:customStyle="1" w:styleId="110">
    <w:name w:val="HtmlCode"/>
    <w:qFormat/>
    <w:uiPriority w:val="0"/>
    <w:rPr>
      <w:rFonts w:ascii="monospace" w:hAnsi="monospace" w:eastAsia="monospace"/>
      <w:sz w:val="20"/>
    </w:rPr>
  </w:style>
  <w:style w:type="character" w:customStyle="1" w:styleId="111">
    <w:name w:val="AnnotationReference"/>
    <w:qFormat/>
    <w:uiPriority w:val="0"/>
    <w:rPr>
      <w:sz w:val="21"/>
    </w:rPr>
  </w:style>
  <w:style w:type="character" w:customStyle="1" w:styleId="112">
    <w:name w:val="HtmlCite"/>
    <w:qFormat/>
    <w:uiPriority w:val="0"/>
  </w:style>
  <w:style w:type="character" w:customStyle="1" w:styleId="113">
    <w:name w:val="FootnoteReference"/>
    <w:qFormat/>
    <w:uiPriority w:val="0"/>
    <w:rPr>
      <w:position w:val="6"/>
      <w:sz w:val="14"/>
      <w:vertAlign w:val="superscript"/>
    </w:rPr>
  </w:style>
  <w:style w:type="character" w:customStyle="1" w:styleId="114">
    <w:name w:val="HtmlKbd"/>
    <w:qFormat/>
    <w:uiPriority w:val="0"/>
    <w:rPr>
      <w:rFonts w:ascii="monospace" w:hAnsi="monospace" w:eastAsia="monospace"/>
      <w:sz w:val="20"/>
    </w:rPr>
  </w:style>
  <w:style w:type="character" w:customStyle="1" w:styleId="115">
    <w:name w:val="htmlSamp"/>
    <w:qFormat/>
    <w:uiPriority w:val="0"/>
    <w:rPr>
      <w:rFonts w:ascii="monospace" w:hAnsi="monospace" w:eastAsia="monospace"/>
    </w:rPr>
  </w:style>
  <w:style w:type="paragraph" w:customStyle="1" w:styleId="116">
    <w:name w:val="UserStyle_29"/>
    <w:qFormat/>
    <w:uiPriority w:val="0"/>
    <w:pPr>
      <w:spacing w:line="360" w:lineRule="auto"/>
      <w:jc w:val="both"/>
      <w:textAlignment w:val="baseline"/>
    </w:pPr>
    <w:rPr>
      <w:rFonts w:ascii="Times New Roman" w:hAnsi="Times New Roman" w:eastAsia="宋体" w:cstheme="minorBidi"/>
      <w:sz w:val="24"/>
      <w:lang w:val="en-US" w:eastAsia="zh-CN" w:bidi="ar-SA"/>
    </w:rPr>
  </w:style>
  <w:style w:type="character" w:customStyle="1" w:styleId="117">
    <w:name w:val="UserStyle_30"/>
    <w:basedOn w:val="118"/>
    <w:qFormat/>
    <w:uiPriority w:val="0"/>
    <w:rPr>
      <w:kern w:val="2"/>
      <w:sz w:val="28"/>
      <w:lang w:val="en-US" w:eastAsia="zh-CN" w:bidi="ar-SA"/>
    </w:rPr>
  </w:style>
  <w:style w:type="character" w:customStyle="1" w:styleId="118">
    <w:name w:val="UserStyle_31"/>
    <w:qFormat/>
    <w:uiPriority w:val="0"/>
  </w:style>
  <w:style w:type="character" w:customStyle="1" w:styleId="119">
    <w:name w:val="UserStyle_32"/>
    <w:link w:val="120"/>
    <w:qFormat/>
    <w:uiPriority w:val="0"/>
    <w:rPr>
      <w:rFonts w:ascii="宋体" w:hAnsi="宋体"/>
      <w:sz w:val="24"/>
      <w:szCs w:val="24"/>
      <w:lang w:val="en-GB"/>
    </w:rPr>
  </w:style>
  <w:style w:type="paragraph" w:customStyle="1" w:styleId="120">
    <w:name w:val="UserStyle_33"/>
    <w:basedOn w:val="1"/>
    <w:link w:val="119"/>
    <w:qFormat/>
    <w:uiPriority w:val="0"/>
    <w:pPr>
      <w:spacing w:line="300" w:lineRule="auto"/>
      <w:ind w:firstLine="480" w:firstLineChars="200"/>
      <w:jc w:val="left"/>
    </w:pPr>
    <w:rPr>
      <w:rFonts w:ascii="宋体" w:hAnsi="宋体"/>
      <w:kern w:val="0"/>
      <w:sz w:val="24"/>
      <w:szCs w:val="24"/>
      <w:lang w:val="en-GB"/>
    </w:rPr>
  </w:style>
  <w:style w:type="character" w:customStyle="1" w:styleId="121">
    <w:name w:val="UserStyle_34"/>
    <w:basedOn w:val="33"/>
    <w:semiHidden/>
    <w:qFormat/>
    <w:uiPriority w:val="0"/>
    <w:rPr>
      <w:rFonts w:ascii="Times New Roman" w:hAnsi="Times New Roman" w:eastAsia="宋体" w:cs="Times New Roman"/>
      <w:b/>
      <w:bCs/>
      <w:szCs w:val="24"/>
    </w:rPr>
  </w:style>
  <w:style w:type="character" w:customStyle="1" w:styleId="122">
    <w:name w:val="UserStyle_35"/>
    <w:qFormat/>
    <w:uiPriority w:val="0"/>
    <w:rPr>
      <w:sz w:val="18"/>
    </w:rPr>
  </w:style>
  <w:style w:type="character" w:customStyle="1" w:styleId="123">
    <w:name w:val="UserStyle_36"/>
    <w:link w:val="124"/>
    <w:qFormat/>
    <w:uiPriority w:val="0"/>
    <w:rPr>
      <w:rFonts w:ascii="宋体" w:hAnsi="宋体"/>
      <w:kern w:val="2"/>
      <w:sz w:val="21"/>
      <w:szCs w:val="22"/>
    </w:rPr>
  </w:style>
  <w:style w:type="paragraph" w:customStyle="1" w:styleId="124">
    <w:name w:val="UserStyle_37"/>
    <w:basedOn w:val="1"/>
    <w:link w:val="123"/>
    <w:qFormat/>
    <w:uiPriority w:val="0"/>
    <w:pPr>
      <w:spacing w:line="276" w:lineRule="auto"/>
      <w:jc w:val="center"/>
    </w:pPr>
    <w:rPr>
      <w:rFonts w:ascii="宋体" w:hAnsi="宋体"/>
      <w:sz w:val="21"/>
      <w:szCs w:val="22"/>
    </w:rPr>
  </w:style>
  <w:style w:type="character" w:customStyle="1" w:styleId="125">
    <w:name w:val="UserStyle_38"/>
    <w:qFormat/>
    <w:uiPriority w:val="0"/>
    <w:rPr>
      <w:rFonts w:cs="Times New Roman"/>
      <w:b/>
      <w:bCs/>
      <w:kern w:val="44"/>
      <w:sz w:val="44"/>
      <w:szCs w:val="44"/>
    </w:rPr>
  </w:style>
  <w:style w:type="character" w:customStyle="1" w:styleId="126">
    <w:name w:val="UserStyle_39"/>
    <w:qFormat/>
    <w:locked/>
    <w:uiPriority w:val="0"/>
    <w:rPr>
      <w:rFonts w:ascii="宋体" w:hAnsi="Courier New" w:eastAsia="宋体"/>
      <w:kern w:val="2"/>
      <w:sz w:val="21"/>
      <w:lang w:val="en-US" w:eastAsia="zh-CN" w:bidi="ar-SA"/>
    </w:rPr>
  </w:style>
  <w:style w:type="character" w:customStyle="1" w:styleId="127">
    <w:name w:val="UserStyle_40"/>
    <w:qFormat/>
    <w:uiPriority w:val="0"/>
    <w:rPr>
      <w:strike/>
    </w:rPr>
  </w:style>
  <w:style w:type="character" w:customStyle="1" w:styleId="128">
    <w:name w:val="UserStyle_41"/>
    <w:qFormat/>
    <w:locked/>
    <w:uiPriority w:val="0"/>
    <w:rPr>
      <w:rFonts w:ascii="Times New Roman" w:hAnsi="Times New Roman" w:eastAsia="宋体"/>
      <w:szCs w:val="24"/>
    </w:rPr>
  </w:style>
  <w:style w:type="character" w:customStyle="1" w:styleId="129">
    <w:name w:val="UserStyle_42"/>
    <w:qFormat/>
    <w:uiPriority w:val="0"/>
    <w:rPr>
      <w:rFonts w:ascii="Calibri" w:hAnsi="Calibri"/>
      <w:kern w:val="2"/>
      <w:sz w:val="24"/>
      <w:szCs w:val="24"/>
    </w:rPr>
  </w:style>
  <w:style w:type="character" w:customStyle="1" w:styleId="130">
    <w:name w:val="UserStyle_43"/>
    <w:qFormat/>
    <w:uiPriority w:val="0"/>
    <w:rPr>
      <w:rFonts w:ascii="Arial" w:hAnsi="Arial" w:eastAsia="黑体"/>
      <w:kern w:val="2"/>
      <w:sz w:val="18"/>
      <w:lang w:val="en-US" w:eastAsia="zh-CN"/>
    </w:rPr>
  </w:style>
  <w:style w:type="character" w:customStyle="1" w:styleId="131">
    <w:name w:val="UserStyle_44"/>
    <w:qFormat/>
    <w:uiPriority w:val="0"/>
    <w:rPr>
      <w:rFonts w:ascii="宋体" w:hAnsi="宋体"/>
      <w:kern w:val="2"/>
      <w:sz w:val="28"/>
    </w:rPr>
  </w:style>
  <w:style w:type="character" w:customStyle="1" w:styleId="132">
    <w:name w:val="UserStyle_45"/>
    <w:qFormat/>
    <w:uiPriority w:val="0"/>
    <w:rPr>
      <w:rFonts w:ascii="宋体" w:hAnsi="宋体" w:eastAsia="宋体"/>
      <w:color w:val="000000"/>
      <w:sz w:val="18"/>
      <w:szCs w:val="18"/>
    </w:rPr>
  </w:style>
  <w:style w:type="character" w:customStyle="1" w:styleId="133">
    <w:name w:val="UserStyle_46"/>
    <w:qFormat/>
    <w:uiPriority w:val="0"/>
    <w:rPr>
      <w:rFonts w:eastAsia="宋体"/>
      <w:kern w:val="2"/>
      <w:sz w:val="18"/>
      <w:lang w:val="en-US" w:eastAsia="zh-CN"/>
    </w:rPr>
  </w:style>
  <w:style w:type="character" w:customStyle="1" w:styleId="134">
    <w:name w:val="UserStyle_47"/>
    <w:semiHidden/>
    <w:qFormat/>
    <w:uiPriority w:val="0"/>
    <w:rPr>
      <w:rFonts w:ascii="Times New Roman" w:hAnsi="Times New Roman" w:eastAsia="宋体"/>
      <w:szCs w:val="24"/>
    </w:rPr>
  </w:style>
  <w:style w:type="character" w:customStyle="1" w:styleId="135">
    <w:name w:val="UserStyle_48"/>
    <w:qFormat/>
    <w:uiPriority w:val="0"/>
    <w:rPr>
      <w:rFonts w:eastAsia="宋体"/>
      <w:kern w:val="2"/>
      <w:sz w:val="24"/>
      <w:lang w:val="en-US" w:eastAsia="zh-CN"/>
    </w:rPr>
  </w:style>
  <w:style w:type="character" w:customStyle="1" w:styleId="136">
    <w:name w:val="UserStyle_49"/>
    <w:qFormat/>
    <w:uiPriority w:val="0"/>
    <w:rPr>
      <w:rFonts w:ascii="宋体" w:hAnsi="宋体" w:eastAsia="宋体"/>
      <w:kern w:val="2"/>
      <w:sz w:val="24"/>
      <w:lang w:val="en-US" w:eastAsia="zh-CN" w:bidi="ar-SA"/>
    </w:rPr>
  </w:style>
  <w:style w:type="character" w:customStyle="1" w:styleId="137">
    <w:name w:val="UserStyle_50"/>
    <w:qFormat/>
    <w:uiPriority w:val="0"/>
    <w:rPr>
      <w:rFonts w:ascii="_x000b_x000c_" w:hAnsi="_x000b_x000c_"/>
      <w:sz w:val="24"/>
    </w:rPr>
  </w:style>
  <w:style w:type="character" w:customStyle="1" w:styleId="138">
    <w:name w:val="UserStyle_51"/>
    <w:qFormat/>
    <w:uiPriority w:val="0"/>
    <w:rPr>
      <w:rFonts w:ascii="宋体" w:hAnsi="宋体"/>
      <w:kern w:val="2"/>
      <w:sz w:val="28"/>
    </w:rPr>
  </w:style>
  <w:style w:type="character" w:customStyle="1" w:styleId="139">
    <w:name w:val="UserStyle_52"/>
    <w:qFormat/>
    <w:uiPriority w:val="0"/>
    <w:rPr>
      <w:rFonts w:eastAsia="宋体"/>
      <w:b/>
      <w:kern w:val="2"/>
      <w:sz w:val="21"/>
      <w:lang w:val="en-US" w:eastAsia="zh-CN"/>
    </w:rPr>
  </w:style>
  <w:style w:type="character" w:customStyle="1" w:styleId="140">
    <w:name w:val="UserStyle_53"/>
    <w:qFormat/>
    <w:uiPriority w:val="0"/>
    <w:rPr>
      <w:rFonts w:ascii="Arial" w:hAnsi="Arial" w:eastAsia="宋体"/>
      <w:b/>
      <w:smallCaps/>
      <w:kern w:val="28"/>
      <w:sz w:val="36"/>
      <w:lang w:val="en-US" w:eastAsia="en-US"/>
    </w:rPr>
  </w:style>
  <w:style w:type="character" w:customStyle="1" w:styleId="141">
    <w:name w:val="UserStyle_54"/>
    <w:qFormat/>
    <w:uiPriority w:val="0"/>
    <w:rPr>
      <w:rFonts w:ascii="宋体" w:hAnsi="宋体" w:eastAsia="宋体"/>
      <w:kern w:val="2"/>
      <w:sz w:val="28"/>
      <w:lang w:bidi="ar-SA"/>
    </w:rPr>
  </w:style>
  <w:style w:type="character" w:customStyle="1" w:styleId="142">
    <w:name w:val="UserStyle_55"/>
    <w:qFormat/>
    <w:uiPriority w:val="0"/>
    <w:rPr>
      <w:rFonts w:ascii="宋体" w:hAnsi="宋体"/>
      <w:kern w:val="2"/>
      <w:sz w:val="28"/>
    </w:rPr>
  </w:style>
  <w:style w:type="character" w:customStyle="1" w:styleId="143">
    <w:name w:val="UserStyle_56"/>
    <w:qFormat/>
    <w:uiPriority w:val="0"/>
    <w:rPr>
      <w:rFonts w:ascii="Arial" w:hAnsi="Arial" w:eastAsia="宋体"/>
      <w:b/>
      <w:smallCaps/>
      <w:kern w:val="28"/>
      <w:sz w:val="36"/>
      <w:lang w:val="en-US" w:eastAsia="en-US"/>
    </w:rPr>
  </w:style>
  <w:style w:type="character" w:customStyle="1" w:styleId="144">
    <w:name w:val="261"/>
    <w:qFormat/>
    <w:uiPriority w:val="0"/>
    <w:rPr>
      <w:i/>
      <w:iCs/>
      <w:color w:val="4472C4"/>
    </w:rPr>
  </w:style>
  <w:style w:type="character" w:customStyle="1" w:styleId="145">
    <w:name w:val="UserStyle_57"/>
    <w:qFormat/>
    <w:uiPriority w:val="0"/>
    <w:rPr>
      <w:rFonts w:ascii="宋体" w:hAnsi="宋体" w:eastAsia="宋体"/>
      <w:color w:val="000000"/>
      <w:sz w:val="18"/>
      <w:szCs w:val="18"/>
    </w:rPr>
  </w:style>
  <w:style w:type="character" w:customStyle="1" w:styleId="146">
    <w:name w:val="UserStyle_58"/>
    <w:qFormat/>
    <w:uiPriority w:val="0"/>
    <w:rPr>
      <w:rFonts w:ascii="宋体" w:hAnsi="宋体" w:eastAsia="宋体"/>
      <w:kern w:val="2"/>
      <w:sz w:val="24"/>
      <w:lang w:val="en-US" w:eastAsia="zh-CN" w:bidi="ar-SA"/>
    </w:rPr>
  </w:style>
  <w:style w:type="character" w:customStyle="1" w:styleId="147">
    <w:name w:val="UserStyle_59"/>
    <w:qFormat/>
    <w:uiPriority w:val="0"/>
    <w:rPr>
      <w:rFonts w:ascii="宋体" w:hAnsi="Courier New" w:eastAsia="仿宋_GB2312"/>
      <w:kern w:val="2"/>
      <w:sz w:val="30"/>
    </w:rPr>
  </w:style>
  <w:style w:type="character" w:customStyle="1" w:styleId="148">
    <w:name w:val="UserStyle_60"/>
    <w:qFormat/>
    <w:uiPriority w:val="0"/>
    <w:rPr>
      <w:rFonts w:eastAsia="宋体"/>
      <w:kern w:val="2"/>
      <w:sz w:val="28"/>
      <w:lang w:bidi="ar-SA"/>
    </w:rPr>
  </w:style>
  <w:style w:type="character" w:customStyle="1" w:styleId="149">
    <w:name w:val="UserStyle_61"/>
    <w:qFormat/>
    <w:uiPriority w:val="0"/>
    <w:rPr>
      <w:rFonts w:ascii="宋体" w:hAnsi="宋体"/>
      <w:kern w:val="2"/>
      <w:sz w:val="28"/>
    </w:rPr>
  </w:style>
  <w:style w:type="character" w:customStyle="1" w:styleId="150">
    <w:name w:val="UserStyle_62"/>
    <w:qFormat/>
    <w:uiPriority w:val="0"/>
    <w:rPr>
      <w:kern w:val="2"/>
      <w:sz w:val="18"/>
      <w:szCs w:val="18"/>
    </w:rPr>
  </w:style>
  <w:style w:type="character" w:customStyle="1" w:styleId="151">
    <w:name w:val="UserStyle_63"/>
    <w:qFormat/>
    <w:uiPriority w:val="0"/>
    <w:rPr>
      <w:rFonts w:ascii="Times New Roman" w:hAnsi="Times New Roman"/>
      <w:color w:val="000000"/>
      <w:sz w:val="18"/>
      <w:szCs w:val="18"/>
    </w:rPr>
  </w:style>
  <w:style w:type="character" w:customStyle="1" w:styleId="152">
    <w:name w:val="UserStyle_64"/>
    <w:qFormat/>
    <w:uiPriority w:val="0"/>
    <w:rPr>
      <w:rFonts w:ascii="宋体" w:hAnsi="Courier New" w:eastAsia="宋体"/>
      <w:szCs w:val="21"/>
    </w:rPr>
  </w:style>
  <w:style w:type="character" w:customStyle="1" w:styleId="153">
    <w:name w:val="UserStyle_65"/>
    <w:qFormat/>
    <w:uiPriority w:val="0"/>
    <w:rPr>
      <w:rFonts w:eastAsia="宋体"/>
      <w:kern w:val="2"/>
      <w:sz w:val="21"/>
      <w:lang w:val="en-US" w:eastAsia="zh-CN"/>
    </w:rPr>
  </w:style>
  <w:style w:type="character" w:customStyle="1" w:styleId="154">
    <w:name w:val="UserStyle_66"/>
    <w:qFormat/>
    <w:uiPriority w:val="0"/>
    <w:rPr>
      <w:rFonts w:ascii="仿宋_GB2312" w:eastAsia="仿宋_GB2312"/>
      <w:kern w:val="2"/>
      <w:sz w:val="32"/>
    </w:rPr>
  </w:style>
  <w:style w:type="character" w:customStyle="1" w:styleId="155">
    <w:name w:val="UserStyle_67"/>
    <w:qFormat/>
    <w:uiPriority w:val="0"/>
    <w:rPr>
      <w:color w:val="77FFFF"/>
      <w:sz w:val="24"/>
    </w:rPr>
  </w:style>
  <w:style w:type="character" w:customStyle="1" w:styleId="156">
    <w:name w:val="UserStyle_68"/>
    <w:qFormat/>
    <w:uiPriority w:val="0"/>
    <w:rPr>
      <w:rFonts w:ascii="Microsoft JhengHei" w:hAnsi="Microsoft JhengHei" w:eastAsia="Microsoft JhengHei"/>
      <w:color w:val="000000"/>
      <w:sz w:val="22"/>
      <w:szCs w:val="22"/>
    </w:rPr>
  </w:style>
  <w:style w:type="character" w:customStyle="1" w:styleId="157">
    <w:name w:val="UserStyle_69"/>
    <w:link w:val="158"/>
    <w:qFormat/>
    <w:uiPriority w:val="0"/>
    <w:rPr>
      <w:rFonts w:ascii="宋体" w:eastAsia="宋体"/>
      <w:kern w:val="2"/>
      <w:sz w:val="28"/>
      <w:lang w:val="en-US" w:eastAsia="zh-CN" w:bidi="ar-SA"/>
    </w:rPr>
  </w:style>
  <w:style w:type="paragraph" w:customStyle="1" w:styleId="158">
    <w:name w:val="UserStyle_70"/>
    <w:basedOn w:val="1"/>
    <w:link w:val="157"/>
    <w:qFormat/>
    <w:uiPriority w:val="0"/>
    <w:pPr>
      <w:tabs>
        <w:tab w:val="left" w:pos="8520"/>
      </w:tabs>
      <w:spacing w:line="312" w:lineRule="auto"/>
      <w:ind w:right="-210" w:firstLine="556"/>
    </w:pPr>
    <w:rPr>
      <w:rFonts w:ascii="宋体"/>
    </w:rPr>
  </w:style>
  <w:style w:type="character" w:customStyle="1" w:styleId="159">
    <w:name w:val="UserStyle_71"/>
    <w:qFormat/>
    <w:uiPriority w:val="0"/>
    <w:rPr>
      <w:rFonts w:ascii="Arial" w:hAnsi="Arial"/>
      <w:kern w:val="2"/>
      <w:sz w:val="18"/>
      <w:lang w:val="en-US" w:eastAsia="zh-CN" w:bidi="ar-SA"/>
    </w:rPr>
  </w:style>
  <w:style w:type="character" w:customStyle="1" w:styleId="160">
    <w:name w:val="UserStyle_72"/>
    <w:qFormat/>
    <w:uiPriority w:val="0"/>
    <w:rPr>
      <w:rFonts w:ascii="宋体" w:hAnsi="宋体" w:eastAsia="宋体"/>
      <w:color w:val="000000"/>
      <w:sz w:val="20"/>
      <w:szCs w:val="20"/>
    </w:rPr>
  </w:style>
  <w:style w:type="character" w:customStyle="1" w:styleId="161">
    <w:name w:val="UserStyle_73"/>
    <w:qFormat/>
    <w:uiPriority w:val="0"/>
    <w:rPr>
      <w:rFonts w:ascii="宋体" w:hAnsi="宋体" w:eastAsia="宋体"/>
      <w:sz w:val="28"/>
    </w:rPr>
  </w:style>
  <w:style w:type="character" w:customStyle="1" w:styleId="162">
    <w:name w:val="UserStyle_74"/>
    <w:qFormat/>
    <w:uiPriority w:val="0"/>
  </w:style>
  <w:style w:type="character" w:customStyle="1" w:styleId="163">
    <w:name w:val="UserStyle_75"/>
    <w:qFormat/>
    <w:uiPriority w:val="0"/>
    <w:rPr>
      <w:rFonts w:ascii="Arial" w:hAnsi="Arial" w:eastAsia="黑体" w:cs="Times New Roman"/>
      <w:b/>
      <w:bCs/>
      <w:kern w:val="2"/>
      <w:sz w:val="28"/>
      <w:szCs w:val="28"/>
    </w:rPr>
  </w:style>
  <w:style w:type="character" w:customStyle="1" w:styleId="164">
    <w:name w:val="UserStyle_76"/>
    <w:qFormat/>
    <w:uiPriority w:val="0"/>
    <w:rPr>
      <w:rFonts w:ascii="宋体" w:hAnsi="宋体"/>
      <w:kern w:val="2"/>
      <w:sz w:val="28"/>
    </w:rPr>
  </w:style>
  <w:style w:type="character" w:customStyle="1" w:styleId="165">
    <w:name w:val="UserStyle_77"/>
    <w:link w:val="166"/>
    <w:qFormat/>
    <w:uiPriority w:val="0"/>
    <w:rPr>
      <w:sz w:val="24"/>
    </w:rPr>
  </w:style>
  <w:style w:type="paragraph" w:customStyle="1" w:styleId="166">
    <w:name w:val="UserStyle_78"/>
    <w:basedOn w:val="51"/>
    <w:link w:val="165"/>
    <w:qFormat/>
    <w:uiPriority w:val="0"/>
    <w:pPr>
      <w:ind w:firstLine="200" w:firstLineChars="200"/>
    </w:pPr>
    <w:rPr>
      <w:kern w:val="0"/>
    </w:rPr>
  </w:style>
  <w:style w:type="character" w:customStyle="1" w:styleId="167">
    <w:name w:val="UserStyle_79"/>
    <w:basedOn w:val="33"/>
    <w:qFormat/>
    <w:uiPriority w:val="0"/>
    <w:rPr>
      <w:rFonts w:ascii="宋体" w:hAnsi="宋体" w:eastAsia="宋体"/>
      <w:color w:val="000000"/>
      <w:sz w:val="22"/>
      <w:szCs w:val="22"/>
    </w:rPr>
  </w:style>
  <w:style w:type="character" w:customStyle="1" w:styleId="168">
    <w:name w:val="UserStyle_80"/>
    <w:link w:val="169"/>
    <w:qFormat/>
    <w:locked/>
    <w:uiPriority w:val="0"/>
    <w:rPr>
      <w:rFonts w:cs="Times New Roman"/>
      <w:bCs/>
      <w:sz w:val="24"/>
      <w:szCs w:val="21"/>
      <w:lang w:val="zh-CN"/>
    </w:rPr>
  </w:style>
  <w:style w:type="paragraph" w:customStyle="1" w:styleId="169">
    <w:name w:val="UserStyle_81"/>
    <w:basedOn w:val="1"/>
    <w:link w:val="168"/>
    <w:qFormat/>
    <w:uiPriority w:val="0"/>
    <w:pPr>
      <w:spacing w:line="360" w:lineRule="auto"/>
      <w:ind w:firstLine="482"/>
      <w:jc w:val="left"/>
    </w:pPr>
    <w:rPr>
      <w:rFonts w:cs="Times New Roman"/>
      <w:bCs/>
      <w:kern w:val="0"/>
      <w:sz w:val="24"/>
      <w:szCs w:val="21"/>
      <w:lang w:val="zh-CN"/>
    </w:rPr>
  </w:style>
  <w:style w:type="character" w:customStyle="1" w:styleId="170">
    <w:name w:val="UserStyle_82"/>
    <w:qFormat/>
    <w:uiPriority w:val="0"/>
    <w:rPr>
      <w:rFonts w:ascii="Arial" w:hAnsi="Arial"/>
      <w:kern w:val="2"/>
      <w:sz w:val="18"/>
      <w:lang w:val="en-US" w:eastAsia="zh-CN" w:bidi="ar-SA"/>
    </w:rPr>
  </w:style>
  <w:style w:type="character" w:customStyle="1" w:styleId="171">
    <w:name w:val="UserStyle_83"/>
    <w:qFormat/>
    <w:uiPriority w:val="0"/>
    <w:rPr>
      <w:rFonts w:ascii="Times New Roman" w:hAnsi="Times New Roman" w:eastAsia="宋体"/>
      <w:szCs w:val="24"/>
    </w:rPr>
  </w:style>
  <w:style w:type="character" w:customStyle="1" w:styleId="172">
    <w:name w:val="UserStyle_84"/>
    <w:qFormat/>
    <w:uiPriority w:val="0"/>
    <w:rPr>
      <w:rFonts w:eastAsia="宋体"/>
      <w:b/>
      <w:kern w:val="2"/>
      <w:sz w:val="21"/>
      <w:lang w:val="en-US" w:eastAsia="zh-CN"/>
    </w:rPr>
  </w:style>
  <w:style w:type="character" w:customStyle="1" w:styleId="173">
    <w:name w:val="UserStyle_85"/>
    <w:qFormat/>
    <w:uiPriority w:val="0"/>
    <w:rPr>
      <w:b/>
      <w:color w:val="000000"/>
    </w:rPr>
  </w:style>
  <w:style w:type="character" w:customStyle="1" w:styleId="174">
    <w:name w:val="UserStyle_86"/>
    <w:qFormat/>
    <w:uiPriority w:val="0"/>
    <w:rPr>
      <w:rFonts w:ascii="新宋体" w:hAnsi="新宋体" w:eastAsia="PMingLiU"/>
      <w:sz w:val="28"/>
    </w:rPr>
  </w:style>
  <w:style w:type="character" w:customStyle="1" w:styleId="175">
    <w:name w:val="UserStyle_87"/>
    <w:qFormat/>
    <w:uiPriority w:val="0"/>
    <w:rPr>
      <w:rFonts w:ascii="仿宋_GB2312" w:eastAsia="仿宋_GB2312"/>
      <w:kern w:val="2"/>
      <w:sz w:val="32"/>
    </w:rPr>
  </w:style>
  <w:style w:type="character" w:customStyle="1" w:styleId="176">
    <w:name w:val="UserStyle_88"/>
    <w:qFormat/>
    <w:uiPriority w:val="0"/>
    <w:rPr>
      <w:rFonts w:ascii="宋体" w:hAnsi="宋体" w:eastAsia="宋体"/>
      <w:kern w:val="2"/>
      <w:sz w:val="28"/>
    </w:rPr>
  </w:style>
  <w:style w:type="character" w:customStyle="1" w:styleId="177">
    <w:name w:val="UserStyle_89"/>
    <w:qFormat/>
    <w:uiPriority w:val="0"/>
  </w:style>
  <w:style w:type="character" w:customStyle="1" w:styleId="178">
    <w:name w:val="UserStyle_90"/>
    <w:qFormat/>
    <w:uiPriority w:val="0"/>
    <w:rPr>
      <w:rFonts w:eastAsia="宋体"/>
      <w:kern w:val="2"/>
      <w:sz w:val="18"/>
      <w:lang w:val="en-US" w:eastAsia="zh-CN"/>
    </w:rPr>
  </w:style>
  <w:style w:type="character" w:customStyle="1" w:styleId="179">
    <w:name w:val="UserStyle_91"/>
    <w:qFormat/>
    <w:uiPriority w:val="0"/>
    <w:rPr>
      <w:kern w:val="2"/>
      <w:sz w:val="18"/>
      <w:szCs w:val="18"/>
    </w:rPr>
  </w:style>
  <w:style w:type="character" w:customStyle="1" w:styleId="180">
    <w:name w:val="UserStyle_92"/>
    <w:qFormat/>
    <w:uiPriority w:val="0"/>
    <w:rPr>
      <w:rFonts w:eastAsia="黑体"/>
      <w:kern w:val="2"/>
      <w:sz w:val="44"/>
    </w:rPr>
  </w:style>
  <w:style w:type="character" w:customStyle="1" w:styleId="181">
    <w:name w:val="UserStyle_93"/>
    <w:qFormat/>
    <w:uiPriority w:val="0"/>
    <w:rPr>
      <w:rFonts w:ascii="宋体" w:hAnsi="宋体" w:eastAsia="宋体"/>
      <w:kern w:val="2"/>
      <w:sz w:val="28"/>
    </w:rPr>
  </w:style>
  <w:style w:type="character" w:customStyle="1" w:styleId="182">
    <w:name w:val="UserStyle_94"/>
    <w:link w:val="183"/>
    <w:qFormat/>
    <w:locked/>
    <w:uiPriority w:val="0"/>
    <w:rPr>
      <w:rFonts w:ascii="仿宋_GB2312" w:eastAsia="仿宋_GB2312"/>
      <w:sz w:val="24"/>
      <w:szCs w:val="28"/>
    </w:rPr>
  </w:style>
  <w:style w:type="paragraph" w:customStyle="1" w:styleId="183">
    <w:name w:val="UserStyle_95"/>
    <w:basedOn w:val="1"/>
    <w:link w:val="182"/>
    <w:qFormat/>
    <w:uiPriority w:val="0"/>
    <w:pPr>
      <w:ind w:firstLine="200" w:firstLineChars="200"/>
    </w:pPr>
    <w:rPr>
      <w:rFonts w:ascii="仿宋_GB2312" w:eastAsia="仿宋_GB2312"/>
      <w:kern w:val="0"/>
      <w:sz w:val="24"/>
      <w:szCs w:val="28"/>
    </w:rPr>
  </w:style>
  <w:style w:type="character" w:customStyle="1" w:styleId="184">
    <w:name w:val="UserStyle_96"/>
    <w:link w:val="185"/>
    <w:qFormat/>
    <w:locked/>
    <w:uiPriority w:val="0"/>
    <w:rPr>
      <w:sz w:val="24"/>
    </w:rPr>
  </w:style>
  <w:style w:type="paragraph" w:customStyle="1" w:styleId="185">
    <w:name w:val="UserStyle_97"/>
    <w:basedOn w:val="1"/>
    <w:link w:val="184"/>
    <w:qFormat/>
    <w:uiPriority w:val="0"/>
    <w:pPr>
      <w:spacing w:line="360" w:lineRule="auto"/>
      <w:ind w:firstLine="200" w:firstLineChars="200"/>
      <w:jc w:val="left"/>
    </w:pPr>
    <w:rPr>
      <w:kern w:val="0"/>
      <w:sz w:val="24"/>
    </w:rPr>
  </w:style>
  <w:style w:type="character" w:customStyle="1" w:styleId="186">
    <w:name w:val="UserStyle_98"/>
    <w:qFormat/>
    <w:uiPriority w:val="0"/>
    <w:rPr>
      <w:rFonts w:ascii="Cambria" w:hAnsi="Cambria" w:eastAsia="宋体" w:cs="Times New Roman"/>
      <w:b/>
      <w:bCs/>
      <w:sz w:val="32"/>
      <w:szCs w:val="32"/>
    </w:rPr>
  </w:style>
  <w:style w:type="character" w:customStyle="1" w:styleId="187">
    <w:name w:val="UserStyle_99"/>
    <w:qFormat/>
    <w:uiPriority w:val="0"/>
    <w:rPr>
      <w:rFonts w:ascii="Arial" w:hAnsi="Arial" w:eastAsia="黑体" w:cs="Times New Roman"/>
      <w:b/>
      <w:bCs/>
      <w:kern w:val="2"/>
      <w:sz w:val="32"/>
      <w:szCs w:val="32"/>
    </w:rPr>
  </w:style>
  <w:style w:type="character" w:customStyle="1" w:styleId="188">
    <w:name w:val="UserStyle_100"/>
    <w:semiHidden/>
    <w:qFormat/>
    <w:uiPriority w:val="0"/>
    <w:rPr>
      <w:rFonts w:ascii="Times New Roman" w:hAnsi="Times New Roman" w:eastAsia="宋体"/>
      <w:szCs w:val="24"/>
    </w:rPr>
  </w:style>
  <w:style w:type="character" w:customStyle="1" w:styleId="189">
    <w:name w:val="UserStyle_101"/>
    <w:qFormat/>
    <w:uiPriority w:val="0"/>
    <w:rPr>
      <w:rFonts w:cs="Times New Roman"/>
      <w:b/>
      <w:bCs/>
      <w:kern w:val="2"/>
      <w:sz w:val="28"/>
      <w:szCs w:val="28"/>
    </w:rPr>
  </w:style>
  <w:style w:type="character" w:customStyle="1" w:styleId="190">
    <w:name w:val="UserStyle_102"/>
    <w:link w:val="191"/>
    <w:qFormat/>
    <w:uiPriority w:val="0"/>
    <w:rPr>
      <w:rFonts w:ascii="新宋体" w:hAnsi="新宋体" w:eastAsia="PMingLiU"/>
      <w:sz w:val="28"/>
    </w:rPr>
  </w:style>
  <w:style w:type="paragraph" w:customStyle="1" w:styleId="191">
    <w:name w:val="179"/>
    <w:basedOn w:val="1"/>
    <w:link w:val="190"/>
    <w:qFormat/>
    <w:uiPriority w:val="0"/>
    <w:pPr>
      <w:ind w:firstLine="420" w:firstLineChars="200"/>
    </w:pPr>
    <w:rPr>
      <w:rFonts w:ascii="新宋体" w:hAnsi="新宋体" w:eastAsia="PMingLiU"/>
      <w:kern w:val="0"/>
    </w:rPr>
  </w:style>
  <w:style w:type="character" w:customStyle="1" w:styleId="192">
    <w:name w:val="UserStyle_103"/>
    <w:qFormat/>
    <w:uiPriority w:val="0"/>
    <w:rPr>
      <w:rFonts w:ascii="Arial" w:hAnsi="Arial"/>
      <w:color w:val="000000"/>
      <w:sz w:val="20"/>
      <w:szCs w:val="20"/>
    </w:rPr>
  </w:style>
  <w:style w:type="character" w:customStyle="1" w:styleId="193">
    <w:name w:val="UserStyle_104"/>
    <w:qFormat/>
    <w:uiPriority w:val="0"/>
    <w:rPr>
      <w:rFonts w:eastAsia="宋体"/>
      <w:kern w:val="2"/>
      <w:sz w:val="18"/>
      <w:lang w:val="en-US" w:eastAsia="zh-CN"/>
    </w:rPr>
  </w:style>
  <w:style w:type="character" w:customStyle="1" w:styleId="194">
    <w:name w:val="UserStyle_105"/>
    <w:qFormat/>
    <w:uiPriority w:val="0"/>
    <w:rPr>
      <w:rFonts w:ascii="宋体" w:hAnsi="Courier New" w:eastAsia="宋体"/>
      <w:kern w:val="2"/>
      <w:sz w:val="21"/>
      <w:lang w:val="en-US" w:eastAsia="zh-CN" w:bidi="ar-SA"/>
    </w:rPr>
  </w:style>
  <w:style w:type="character" w:customStyle="1" w:styleId="195">
    <w:name w:val="UserStyle_106"/>
    <w:qFormat/>
    <w:uiPriority w:val="0"/>
    <w:rPr>
      <w:rFonts w:cs="Times New Roman"/>
      <w:b/>
      <w:bCs/>
      <w:kern w:val="2"/>
      <w:sz w:val="32"/>
      <w:szCs w:val="32"/>
    </w:rPr>
  </w:style>
  <w:style w:type="character" w:customStyle="1" w:styleId="196">
    <w:name w:val="UserStyle_107"/>
    <w:link w:val="197"/>
    <w:qFormat/>
    <w:uiPriority w:val="0"/>
    <w:rPr>
      <w:sz w:val="24"/>
    </w:rPr>
  </w:style>
  <w:style w:type="paragraph" w:customStyle="1" w:styleId="197">
    <w:name w:val="UserStyle_108"/>
    <w:link w:val="196"/>
    <w:qFormat/>
    <w:uiPriority w:val="0"/>
    <w:pPr>
      <w:spacing w:line="360" w:lineRule="auto"/>
      <w:jc w:val="both"/>
      <w:textAlignment w:val="baseline"/>
    </w:pPr>
    <w:rPr>
      <w:rFonts w:ascii="Times New Roman" w:hAnsi="Times New Roman" w:eastAsia="宋体" w:cstheme="minorBidi"/>
      <w:sz w:val="24"/>
      <w:lang w:val="en-US" w:eastAsia="zh-CN" w:bidi="ar-SA"/>
    </w:rPr>
  </w:style>
  <w:style w:type="character" w:customStyle="1" w:styleId="198">
    <w:name w:val="UserStyle_109"/>
    <w:qFormat/>
    <w:uiPriority w:val="0"/>
    <w:rPr>
      <w:kern w:val="2"/>
      <w:sz w:val="21"/>
      <w:szCs w:val="24"/>
    </w:rPr>
  </w:style>
  <w:style w:type="character" w:customStyle="1" w:styleId="199">
    <w:name w:val="UserStyle_110"/>
    <w:qFormat/>
    <w:uiPriority w:val="0"/>
    <w:rPr>
      <w:rFonts w:ascii="宋体" w:hAnsi="宋体" w:eastAsia="宋体"/>
      <w:color w:val="000000"/>
      <w:sz w:val="22"/>
      <w:szCs w:val="22"/>
    </w:rPr>
  </w:style>
  <w:style w:type="character" w:customStyle="1" w:styleId="200">
    <w:name w:val="UserStyle_111"/>
    <w:qFormat/>
    <w:uiPriority w:val="0"/>
    <w:rPr>
      <w:color w:val="000000"/>
      <w:sz w:val="18"/>
    </w:rPr>
  </w:style>
  <w:style w:type="character" w:customStyle="1" w:styleId="201">
    <w:name w:val="UserStyle_112"/>
    <w:qFormat/>
    <w:uiPriority w:val="0"/>
    <w:rPr>
      <w:rFonts w:eastAsia="宋体"/>
      <w:kern w:val="2"/>
      <w:sz w:val="18"/>
      <w:lang w:val="en-US" w:eastAsia="zh-CN"/>
    </w:rPr>
  </w:style>
  <w:style w:type="character" w:customStyle="1" w:styleId="202">
    <w:name w:val="UserStyle_113"/>
    <w:qFormat/>
    <w:uiPriority w:val="0"/>
    <w:rPr>
      <w:rFonts w:eastAsia="宋体"/>
      <w:b/>
      <w:kern w:val="2"/>
      <w:sz w:val="44"/>
      <w:lang w:val="en-US" w:eastAsia="zh-CN" w:bidi="ar-SA"/>
    </w:rPr>
  </w:style>
  <w:style w:type="character" w:customStyle="1" w:styleId="203">
    <w:name w:val="UserStyle_114"/>
    <w:link w:val="204"/>
    <w:qFormat/>
    <w:uiPriority w:val="0"/>
    <w:rPr>
      <w:rFonts w:eastAsia="楷体"/>
      <w:kern w:val="2"/>
      <w:sz w:val="24"/>
      <w:szCs w:val="21"/>
    </w:rPr>
  </w:style>
  <w:style w:type="paragraph" w:customStyle="1" w:styleId="204">
    <w:name w:val="Null"/>
    <w:link w:val="203"/>
    <w:qFormat/>
    <w:uiPriority w:val="0"/>
    <w:pPr>
      <w:jc w:val="center"/>
      <w:textAlignment w:val="baseline"/>
    </w:pPr>
    <w:rPr>
      <w:rFonts w:ascii="Times New Roman" w:hAnsi="Times New Roman" w:eastAsia="楷体" w:cstheme="minorBidi"/>
      <w:kern w:val="2"/>
      <w:sz w:val="24"/>
      <w:szCs w:val="21"/>
      <w:lang w:val="en-US" w:eastAsia="zh-CN" w:bidi="ar-SA"/>
    </w:rPr>
  </w:style>
  <w:style w:type="character" w:customStyle="1" w:styleId="205">
    <w:name w:val="UserStyle_115"/>
    <w:qFormat/>
    <w:uiPriority w:val="0"/>
    <w:rPr>
      <w:rFonts w:ascii="宋体" w:hAnsi="Courier New" w:eastAsia="宋体"/>
      <w:kern w:val="2"/>
      <w:sz w:val="21"/>
      <w:lang w:val="en-US" w:eastAsia="zh-CN" w:bidi="ar-SA"/>
    </w:rPr>
  </w:style>
  <w:style w:type="character" w:customStyle="1" w:styleId="206">
    <w:name w:val="UserStyle_116"/>
    <w:qFormat/>
    <w:uiPriority w:val="0"/>
    <w:rPr>
      <w:rFonts w:ascii="Arial" w:hAnsi="Arial"/>
      <w:kern w:val="2"/>
      <w:sz w:val="18"/>
      <w:lang w:val="en-US" w:eastAsia="zh-CN" w:bidi="ar-SA"/>
    </w:rPr>
  </w:style>
  <w:style w:type="character" w:customStyle="1" w:styleId="207">
    <w:name w:val="UserStyle_117"/>
    <w:qFormat/>
    <w:uiPriority w:val="0"/>
    <w:rPr>
      <w:rFonts w:ascii="_x000b_x000c_" w:hAnsi="_x000b_x000c_"/>
      <w:color w:val="000000"/>
      <w:sz w:val="18"/>
    </w:rPr>
  </w:style>
  <w:style w:type="paragraph" w:customStyle="1" w:styleId="208">
    <w:name w:val="UserStyle_118"/>
    <w:qFormat/>
    <w:uiPriority w:val="0"/>
    <w:pPr>
      <w:snapToGrid w:val="0"/>
      <w:spacing w:before="80" w:after="80"/>
      <w:textAlignment w:val="baseline"/>
    </w:pPr>
    <w:rPr>
      <w:rFonts w:ascii="Arial" w:hAnsi="Arial" w:eastAsia="宋体" w:cstheme="minorBidi"/>
      <w:kern w:val="2"/>
      <w:sz w:val="18"/>
      <w:lang w:val="en-US" w:eastAsia="zh-CN" w:bidi="ar-SA"/>
    </w:rPr>
  </w:style>
  <w:style w:type="paragraph" w:customStyle="1" w:styleId="209">
    <w:name w:val="UserStyle_119"/>
    <w:basedOn w:val="1"/>
    <w:qFormat/>
    <w:uiPriority w:val="0"/>
    <w:pPr>
      <w:numPr>
        <w:ilvl w:val="0"/>
        <w:numId w:val="7"/>
      </w:numPr>
      <w:spacing w:line="360" w:lineRule="auto"/>
      <w:ind w:firstLine="480" w:firstLineChars="200"/>
    </w:pPr>
    <w:rPr>
      <w:sz w:val="24"/>
    </w:rPr>
  </w:style>
  <w:style w:type="paragraph" w:customStyle="1" w:styleId="210">
    <w:name w:val="UserStyle_120"/>
    <w:basedOn w:val="1"/>
    <w:qFormat/>
    <w:uiPriority w:val="0"/>
    <w:pPr>
      <w:spacing w:after="160" w:line="240" w:lineRule="exact"/>
      <w:jc w:val="left"/>
    </w:pPr>
    <w:rPr>
      <w:rFonts w:ascii="Verdana" w:hAnsi="Verdana" w:eastAsia="仿宋_GB2312"/>
      <w:kern w:val="0"/>
      <w:sz w:val="24"/>
      <w:lang w:eastAsia="en-US"/>
    </w:rPr>
  </w:style>
  <w:style w:type="paragraph" w:customStyle="1" w:styleId="211">
    <w:name w:val="UserStyle_121"/>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12">
    <w:name w:val="UserStyle_122"/>
    <w:basedOn w:val="53"/>
    <w:qFormat/>
    <w:uiPriority w:val="0"/>
    <w:rPr>
      <w:rFonts w:ascii="Tahoma" w:hAnsi="Tahoma"/>
      <w:sz w:val="24"/>
      <w:szCs w:val="24"/>
    </w:rPr>
  </w:style>
  <w:style w:type="paragraph" w:customStyle="1" w:styleId="213">
    <w:name w:val="UserStyle_123"/>
    <w:qFormat/>
    <w:uiPriority w:val="0"/>
    <w:pPr>
      <w:snapToGrid w:val="0"/>
      <w:spacing w:before="80" w:after="80"/>
      <w:textAlignment w:val="baseline"/>
    </w:pPr>
    <w:rPr>
      <w:rFonts w:ascii="Arial" w:hAnsi="Arial" w:eastAsia="宋体" w:cstheme="minorBidi"/>
      <w:kern w:val="2"/>
      <w:sz w:val="18"/>
      <w:lang w:val="en-US" w:eastAsia="zh-CN" w:bidi="ar-SA"/>
    </w:rPr>
  </w:style>
  <w:style w:type="paragraph" w:customStyle="1" w:styleId="214">
    <w:name w:val="UserStyle_124"/>
    <w:basedOn w:val="1"/>
    <w:qFormat/>
    <w:uiPriority w:val="0"/>
    <w:rPr>
      <w:rFonts w:ascii="Tahoma" w:hAnsi="Tahoma"/>
      <w:sz w:val="24"/>
      <w:szCs w:val="24"/>
    </w:rPr>
  </w:style>
  <w:style w:type="paragraph" w:customStyle="1" w:styleId="215">
    <w:name w:val="UserStyle_1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16">
    <w:name w:val="UserStyle_1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217">
    <w:name w:val="UserStyle_127"/>
    <w:basedOn w:val="1"/>
    <w:qFormat/>
    <w:uiPriority w:val="0"/>
    <w:pPr>
      <w:snapToGrid w:val="0"/>
      <w:spacing w:line="360" w:lineRule="auto"/>
    </w:pPr>
    <w:rPr>
      <w:sz w:val="24"/>
    </w:rPr>
  </w:style>
  <w:style w:type="paragraph" w:customStyle="1" w:styleId="218">
    <w:name w:val="UserStyle_1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19">
    <w:name w:val="UserStyle_129"/>
    <w:basedOn w:val="1"/>
    <w:qFormat/>
    <w:uiPriority w:val="0"/>
    <w:pPr>
      <w:pBdr>
        <w:top w:val="single" w:color="000000" w:sz="4" w:space="0"/>
        <w:bottom w:val="single" w:color="000000" w:sz="4" w:space="0"/>
        <w:right w:val="single" w:color="000000" w:sz="4" w:space="0"/>
      </w:pBdr>
      <w:shd w:val="clear" w:color="auto" w:fill="FABF8F"/>
      <w:spacing w:before="100" w:beforeAutospacing="1" w:after="100" w:afterAutospacing="1"/>
      <w:jc w:val="center"/>
    </w:pPr>
    <w:rPr>
      <w:rFonts w:ascii="微软雅黑" w:hAnsi="微软雅黑" w:eastAsia="微软雅黑" w:cs="宋体"/>
      <w:b/>
      <w:bCs/>
      <w:kern w:val="0"/>
      <w:sz w:val="21"/>
      <w:szCs w:val="21"/>
    </w:rPr>
  </w:style>
  <w:style w:type="paragraph" w:customStyle="1" w:styleId="220">
    <w:name w:val="UserStyle_130"/>
    <w:basedOn w:val="1"/>
    <w:qFormat/>
    <w:uiPriority w:val="0"/>
    <w:pPr>
      <w:spacing w:after="160" w:line="240" w:lineRule="exact"/>
      <w:jc w:val="left"/>
    </w:pPr>
    <w:rPr>
      <w:rFonts w:ascii="Verdana" w:hAnsi="Verdana"/>
      <w:kern w:val="0"/>
      <w:sz w:val="20"/>
      <w:lang w:eastAsia="en-US"/>
    </w:rPr>
  </w:style>
  <w:style w:type="paragraph" w:customStyle="1" w:styleId="221">
    <w:name w:val="UserStyle_131"/>
    <w:basedOn w:val="1"/>
    <w:qFormat/>
    <w:uiPriority w:val="0"/>
    <w:pPr>
      <w:spacing w:before="100" w:beforeAutospacing="1" w:after="100" w:afterAutospacing="1"/>
      <w:jc w:val="center"/>
    </w:pPr>
    <w:rPr>
      <w:rFonts w:ascii="宋体" w:hAnsi="宋体"/>
      <w:color w:val="FF0000"/>
      <w:kern w:val="0"/>
      <w:sz w:val="24"/>
      <w:szCs w:val="24"/>
    </w:rPr>
  </w:style>
  <w:style w:type="paragraph" w:customStyle="1" w:styleId="222">
    <w:name w:val="UserStyle_132"/>
    <w:basedOn w:val="27"/>
    <w:qFormat/>
    <w:uiPriority w:val="0"/>
    <w:pPr>
      <w:spacing w:before="500" w:after="260" w:line="560" w:lineRule="atLeast"/>
    </w:pPr>
  </w:style>
  <w:style w:type="paragraph" w:customStyle="1" w:styleId="223">
    <w:name w:val="UserStyle_1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224">
    <w:name w:val="UserStyle_134"/>
    <w:basedOn w:val="1"/>
    <w:qFormat/>
    <w:uiPriority w:val="0"/>
    <w:pPr>
      <w:numPr>
        <w:ilvl w:val="0"/>
        <w:numId w:val="8"/>
      </w:numPr>
      <w:snapToGrid w:val="0"/>
      <w:spacing w:line="360" w:lineRule="auto"/>
    </w:pPr>
    <w:rPr>
      <w:rFonts w:ascii="Arial" w:hAnsi="Arial"/>
      <w:b/>
      <w:sz w:val="24"/>
    </w:rPr>
  </w:style>
  <w:style w:type="paragraph" w:customStyle="1" w:styleId="225">
    <w:name w:val="UserStyle_135"/>
    <w:basedOn w:val="1"/>
    <w:qFormat/>
    <w:uiPriority w:val="0"/>
    <w:pPr>
      <w:spacing w:after="160" w:line="240" w:lineRule="exact"/>
      <w:jc w:val="left"/>
    </w:pPr>
    <w:rPr>
      <w:sz w:val="21"/>
      <w:szCs w:val="24"/>
    </w:rPr>
  </w:style>
  <w:style w:type="paragraph" w:customStyle="1" w:styleId="226">
    <w:name w:val="UserStyle_136"/>
    <w:basedOn w:val="51"/>
    <w:qFormat/>
    <w:uiPriority w:val="0"/>
    <w:pPr>
      <w:ind w:firstLine="480" w:firstLineChars="200"/>
    </w:pPr>
  </w:style>
  <w:style w:type="paragraph" w:customStyle="1" w:styleId="227">
    <w:name w:val="UserStyle_137"/>
    <w:basedOn w:val="24"/>
    <w:next w:val="24"/>
    <w:qFormat/>
    <w:uiPriority w:val="0"/>
    <w:pPr>
      <w:keepLines/>
      <w:spacing w:before="340" w:after="330" w:line="576" w:lineRule="auto"/>
      <w:jc w:val="both"/>
    </w:pPr>
    <w:rPr>
      <w:b/>
      <w:kern w:val="44"/>
    </w:rPr>
  </w:style>
  <w:style w:type="paragraph" w:customStyle="1" w:styleId="228">
    <w:name w:val="UserStyle_138"/>
    <w:basedOn w:val="1"/>
    <w:qFormat/>
    <w:uiPriority w:val="0"/>
    <w:pPr>
      <w:pBdr>
        <w:bottom w:val="single" w:color="000000" w:sz="4" w:space="0"/>
        <w:right w:val="single" w:color="000000" w:sz="4" w:space="0"/>
      </w:pBdr>
      <w:spacing w:before="100" w:beforeAutospacing="1" w:after="100" w:afterAutospacing="1"/>
    </w:pPr>
    <w:rPr>
      <w:rFonts w:ascii="微软雅黑" w:hAnsi="微软雅黑" w:eastAsia="微软雅黑"/>
      <w:kern w:val="0"/>
      <w:sz w:val="22"/>
      <w:szCs w:val="22"/>
    </w:rPr>
  </w:style>
  <w:style w:type="paragraph" w:customStyle="1" w:styleId="229">
    <w:name w:val="UserStyle_139"/>
    <w:basedOn w:val="1"/>
    <w:qFormat/>
    <w:uiPriority w:val="0"/>
    <w:pPr>
      <w:spacing w:before="156" w:line="360" w:lineRule="auto"/>
      <w:ind w:firstLine="200" w:firstLineChars="200"/>
    </w:pPr>
    <w:rPr>
      <w:spacing w:val="2"/>
      <w:sz w:val="24"/>
    </w:rPr>
  </w:style>
  <w:style w:type="paragraph" w:customStyle="1" w:styleId="230">
    <w:name w:val="UserStyle_140"/>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31">
    <w:name w:val="UserStyle_14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2">
    <w:name w:val="UserStyle_14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233">
    <w:name w:val="UserStyle_1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234">
    <w:name w:val="UserStyle_144"/>
    <w:basedOn w:val="1"/>
    <w:qFormat/>
    <w:uiPriority w:val="0"/>
    <w:pPr>
      <w:pBdr>
        <w:top w:val="single" w:color="000000" w:sz="12" w:space="3"/>
        <w:bottom w:val="single" w:color="000000" w:sz="12" w:space="3"/>
      </w:pBdr>
      <w:spacing w:line="360" w:lineRule="auto"/>
    </w:pPr>
    <w:rPr>
      <w:sz w:val="24"/>
    </w:rPr>
  </w:style>
  <w:style w:type="paragraph" w:customStyle="1" w:styleId="235">
    <w:name w:val="UserStyle_145"/>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36">
    <w:name w:val="UserStyle_146"/>
    <w:basedOn w:val="1"/>
    <w:qFormat/>
    <w:uiPriority w:val="0"/>
    <w:pPr>
      <w:pageBreakBefore/>
      <w:spacing w:after="160" w:line="240" w:lineRule="exact"/>
      <w:jc w:val="left"/>
    </w:pPr>
    <w:rPr>
      <w:rFonts w:ascii="Verdana" w:hAnsi="Verdana"/>
      <w:kern w:val="0"/>
      <w:sz w:val="20"/>
      <w:lang w:eastAsia="en-US"/>
    </w:rPr>
  </w:style>
  <w:style w:type="paragraph" w:customStyle="1" w:styleId="237">
    <w:name w:val="UserStyle_147"/>
    <w:basedOn w:val="1"/>
    <w:next w:val="1"/>
    <w:qFormat/>
    <w:uiPriority w:val="0"/>
    <w:pPr>
      <w:ind w:left="735"/>
    </w:pPr>
    <w:rPr>
      <w:rFonts w:ascii="黑体" w:eastAsia="黑体"/>
      <w:kern w:val="0"/>
      <w:sz w:val="21"/>
    </w:rPr>
  </w:style>
  <w:style w:type="paragraph" w:customStyle="1" w:styleId="238">
    <w:name w:val="UserStyle_14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UserStyle_149"/>
    <w:qFormat/>
    <w:uiPriority w:val="0"/>
    <w:pPr>
      <w:numPr>
        <w:ilvl w:val="0"/>
        <w:numId w:val="9"/>
      </w:numPr>
      <w:spacing w:before="40" w:after="40"/>
      <w:jc w:val="both"/>
    </w:pPr>
    <w:rPr>
      <w:rFonts w:ascii="Arial" w:hAnsi="Arial" w:eastAsia="宋体" w:cstheme="minorBidi"/>
      <w:sz w:val="18"/>
      <w:lang w:val="en-US" w:eastAsia="zh-CN" w:bidi="ar-SA"/>
    </w:rPr>
  </w:style>
  <w:style w:type="paragraph" w:customStyle="1" w:styleId="240">
    <w:name w:val="UserStyle_150"/>
    <w:basedOn w:val="1"/>
    <w:qFormat/>
    <w:uiPriority w:val="0"/>
    <w:pPr>
      <w:spacing w:before="100" w:beforeAutospacing="1" w:after="100" w:afterAutospacing="1" w:line="280" w:lineRule="atLeast"/>
      <w:ind w:firstLine="375"/>
      <w:jc w:val="left"/>
    </w:pPr>
    <w:rPr>
      <w:rFonts w:ascii="宋体" w:hAnsi="宋体"/>
      <w:color w:val="000000"/>
      <w:kern w:val="0"/>
      <w:sz w:val="18"/>
    </w:rPr>
  </w:style>
  <w:style w:type="paragraph" w:customStyle="1" w:styleId="241">
    <w:name w:val="UserStyle_151"/>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42">
    <w:name w:val="UserStyle_15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243">
    <w:name w:val="UserStyle_153"/>
    <w:basedOn w:val="244"/>
    <w:qFormat/>
    <w:uiPriority w:val="0"/>
    <w:pPr>
      <w:spacing w:line="360" w:lineRule="auto"/>
      <w:ind w:left="1407" w:hanging="1047"/>
      <w:jc w:val="left"/>
    </w:pPr>
    <w:rPr>
      <w:rFonts w:eastAsia="仿宋_GB2312"/>
    </w:rPr>
  </w:style>
  <w:style w:type="paragraph" w:customStyle="1" w:styleId="244">
    <w:name w:val="UserStyle_154"/>
    <w:basedOn w:val="1"/>
    <w:qFormat/>
    <w:uiPriority w:val="0"/>
    <w:pPr>
      <w:snapToGrid w:val="0"/>
      <w:spacing w:line="440" w:lineRule="exact"/>
      <w:ind w:firstLine="567"/>
    </w:pPr>
    <w:rPr>
      <w:rFonts w:ascii="Arial Narrow" w:hAnsi="Arial Narrow"/>
      <w:kern w:val="0"/>
      <w:sz w:val="24"/>
    </w:rPr>
  </w:style>
  <w:style w:type="paragraph" w:customStyle="1" w:styleId="245">
    <w:name w:val="UserStyle_155"/>
    <w:basedOn w:val="1"/>
    <w:qFormat/>
    <w:uiPriority w:val="0"/>
    <w:pPr>
      <w:spacing w:before="100" w:beforeAutospacing="1" w:after="100" w:afterAutospacing="1"/>
      <w:jc w:val="left"/>
    </w:pPr>
    <w:rPr>
      <w:rFonts w:ascii="宋体" w:hAnsi="宋体"/>
      <w:kern w:val="0"/>
      <w:sz w:val="18"/>
      <w:szCs w:val="18"/>
    </w:rPr>
  </w:style>
  <w:style w:type="paragraph" w:customStyle="1" w:styleId="246">
    <w:name w:val="UserStyle_156"/>
    <w:basedOn w:val="1"/>
    <w:qFormat/>
    <w:uiPriority w:val="0"/>
    <w:pPr>
      <w:spacing w:after="160" w:line="240" w:lineRule="exact"/>
      <w:jc w:val="left"/>
    </w:pPr>
    <w:rPr>
      <w:rFonts w:ascii="文鼎粗黑" w:hAnsi="文鼎粗黑" w:eastAsia="PMingLiU"/>
      <w:kern w:val="0"/>
      <w:sz w:val="24"/>
      <w:lang w:eastAsia="en-US"/>
    </w:rPr>
  </w:style>
  <w:style w:type="paragraph" w:customStyle="1" w:styleId="247">
    <w:name w:val="UserStyle_157"/>
    <w:basedOn w:val="1"/>
    <w:qFormat/>
    <w:uiPriority w:val="0"/>
    <w:pPr>
      <w:pBdr>
        <w:bottom w:val="single" w:color="000000"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48">
    <w:name w:val="UserStyle_158"/>
    <w:basedOn w:val="1"/>
    <w:qFormat/>
    <w:uiPriority w:val="0"/>
    <w:pPr>
      <w:spacing w:before="100" w:beforeAutospacing="1" w:after="100" w:afterAutospacing="1"/>
      <w:jc w:val="left"/>
    </w:pPr>
    <w:rPr>
      <w:rFonts w:ascii="宋体" w:hAnsi="宋体"/>
      <w:kern w:val="0"/>
      <w:sz w:val="18"/>
      <w:szCs w:val="18"/>
    </w:rPr>
  </w:style>
  <w:style w:type="paragraph" w:customStyle="1" w:styleId="249">
    <w:name w:val="UserStyle_159"/>
    <w:basedOn w:val="1"/>
    <w:qFormat/>
    <w:uiPriority w:val="0"/>
    <w:pPr>
      <w:numPr>
        <w:ilvl w:val="0"/>
        <w:numId w:val="10"/>
      </w:numPr>
      <w:tabs>
        <w:tab w:val="left" w:pos="648"/>
      </w:tabs>
      <w:spacing w:before="210" w:after="210"/>
      <w:ind w:left="425" w:hanging="137"/>
      <w:jc w:val="center"/>
    </w:pPr>
    <w:rPr>
      <w:kern w:val="0"/>
      <w:sz w:val="21"/>
      <w:lang w:eastAsia="en-US"/>
    </w:rPr>
  </w:style>
  <w:style w:type="paragraph" w:customStyle="1" w:styleId="250">
    <w:name w:val="UserStyle_160"/>
    <w:basedOn w:val="1"/>
    <w:qFormat/>
    <w:uiPriority w:val="0"/>
    <w:pPr>
      <w:spacing w:line="360" w:lineRule="auto"/>
      <w:jc w:val="left"/>
    </w:pPr>
    <w:rPr>
      <w:b/>
      <w:kern w:val="0"/>
      <w:sz w:val="21"/>
    </w:rPr>
  </w:style>
  <w:style w:type="paragraph" w:customStyle="1" w:styleId="251">
    <w:name w:val="UserStyle_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2">
    <w:name w:val="UserStyle_162"/>
    <w:basedOn w:val="1"/>
    <w:qFormat/>
    <w:uiPriority w:val="0"/>
    <w:pPr>
      <w:spacing w:line="360" w:lineRule="auto"/>
      <w:ind w:firstLine="420" w:firstLineChars="200"/>
    </w:pPr>
    <w:rPr>
      <w:sz w:val="21"/>
    </w:rPr>
  </w:style>
  <w:style w:type="paragraph" w:customStyle="1" w:styleId="253">
    <w:name w:val="UserStyle_163"/>
    <w:basedOn w:val="1"/>
    <w:qFormat/>
    <w:uiPriority w:val="0"/>
    <w:pPr>
      <w:spacing w:line="360" w:lineRule="auto"/>
    </w:pPr>
    <w:rPr>
      <w:kern w:val="0"/>
      <w:sz w:val="24"/>
    </w:rPr>
  </w:style>
  <w:style w:type="paragraph" w:customStyle="1" w:styleId="254">
    <w:name w:val="UserStyle_164"/>
    <w:basedOn w:val="1"/>
    <w:qFormat/>
    <w:uiPriority w:val="0"/>
    <w:pPr>
      <w:tabs>
        <w:tab w:val="left" w:pos="360"/>
        <w:tab w:val="left" w:pos="425"/>
      </w:tabs>
      <w:ind w:left="360" w:hanging="360"/>
    </w:pPr>
    <w:rPr>
      <w:rFonts w:ascii="Tahoma" w:hAnsi="Tahoma"/>
      <w:sz w:val="24"/>
    </w:rPr>
  </w:style>
  <w:style w:type="paragraph" w:customStyle="1" w:styleId="255">
    <w:name w:val="UserStyle_165"/>
    <w:basedOn w:val="1"/>
    <w:qFormat/>
    <w:uiPriority w:val="0"/>
    <w:pPr>
      <w:spacing w:line="240" w:lineRule="atLeast"/>
      <w:jc w:val="center"/>
    </w:pPr>
    <w:rPr>
      <w:sz w:val="21"/>
    </w:rPr>
  </w:style>
  <w:style w:type="paragraph" w:customStyle="1" w:styleId="256">
    <w:name w:val="UserStyle_166"/>
    <w:basedOn w:val="53"/>
    <w:qFormat/>
    <w:uiPriority w:val="0"/>
    <w:rPr>
      <w:rFonts w:ascii="Tahoma" w:hAnsi="Tahoma"/>
      <w:sz w:val="24"/>
    </w:rPr>
  </w:style>
  <w:style w:type="paragraph" w:customStyle="1" w:styleId="257">
    <w:name w:val="UserStyle_167"/>
    <w:next w:val="1"/>
    <w:qFormat/>
    <w:uiPriority w:val="0"/>
    <w:pPr>
      <w:keepNext/>
      <w:snapToGrid w:val="0"/>
      <w:spacing w:before="160" w:after="80"/>
      <w:ind w:left="1134"/>
      <w:jc w:val="center"/>
      <w:textAlignment w:val="baseline"/>
    </w:pPr>
    <w:rPr>
      <w:rFonts w:ascii="Arial" w:hAnsi="Arial" w:eastAsia="黑体" w:cstheme="minorBidi"/>
      <w:sz w:val="18"/>
      <w:lang w:val="en-US" w:eastAsia="zh-CN" w:bidi="ar-SA"/>
    </w:rPr>
  </w:style>
  <w:style w:type="paragraph" w:customStyle="1" w:styleId="258">
    <w:name w:val="UserStyle_168"/>
    <w:basedOn w:val="1"/>
    <w:qFormat/>
    <w:uiPriority w:val="0"/>
    <w:pPr>
      <w:spacing w:after="160" w:line="240" w:lineRule="exact"/>
      <w:jc w:val="left"/>
    </w:pPr>
    <w:rPr>
      <w:rFonts w:ascii="Verdana" w:hAnsi="Verdana" w:eastAsia="仿宋_GB2312"/>
      <w:kern w:val="0"/>
      <w:sz w:val="24"/>
      <w:lang w:eastAsia="en-US"/>
    </w:rPr>
  </w:style>
  <w:style w:type="paragraph" w:customStyle="1" w:styleId="259">
    <w:name w:val="UserStyle_1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60">
    <w:name w:val="UserStyle_170"/>
    <w:basedOn w:val="1"/>
    <w:qFormat/>
    <w:uiPriority w:val="0"/>
    <w:pPr>
      <w:spacing w:after="160" w:line="240" w:lineRule="exact"/>
      <w:jc w:val="left"/>
    </w:pPr>
    <w:rPr>
      <w:rFonts w:ascii="Verdana" w:hAnsi="Verdana"/>
      <w:kern w:val="0"/>
      <w:sz w:val="20"/>
      <w:lang w:eastAsia="en-US"/>
    </w:rPr>
  </w:style>
  <w:style w:type="paragraph" w:customStyle="1" w:styleId="261">
    <w:name w:val="UserStyle_171"/>
    <w:basedOn w:val="14"/>
    <w:next w:val="1"/>
    <w:qFormat/>
    <w:uiPriority w:val="0"/>
    <w:pPr>
      <w:spacing w:before="240" w:after="720"/>
    </w:pPr>
    <w:rPr>
      <w:sz w:val="28"/>
    </w:rPr>
  </w:style>
  <w:style w:type="paragraph" w:customStyle="1" w:styleId="262">
    <w:name w:val="UserStyle_172"/>
    <w:basedOn w:val="1"/>
    <w:qFormat/>
    <w:uiPriority w:val="0"/>
    <w:rPr>
      <w:sz w:val="21"/>
    </w:rPr>
  </w:style>
  <w:style w:type="paragraph" w:customStyle="1" w:styleId="263">
    <w:name w:val="UserStyle_173"/>
    <w:basedOn w:val="15"/>
    <w:qFormat/>
    <w:uiPriority w:val="0"/>
    <w:pPr>
      <w:snapToGrid w:val="0"/>
      <w:spacing w:line="440" w:lineRule="exact"/>
      <w:ind w:firstLine="567"/>
    </w:pPr>
    <w:rPr>
      <w:sz w:val="28"/>
    </w:rPr>
  </w:style>
  <w:style w:type="paragraph" w:customStyle="1" w:styleId="264">
    <w:name w:val="UserStyle_174"/>
    <w:basedOn w:val="27"/>
    <w:qFormat/>
    <w:uiPriority w:val="0"/>
    <w:pPr>
      <w:numPr>
        <w:numId w:val="11"/>
      </w:numPr>
      <w:spacing w:line="400" w:lineRule="exact"/>
      <w:jc w:val="center"/>
    </w:pPr>
    <w:rPr>
      <w:b w:val="0"/>
      <w:sz w:val="44"/>
    </w:rPr>
  </w:style>
  <w:style w:type="paragraph" w:customStyle="1" w:styleId="265">
    <w:name w:val="UserStyle_175"/>
    <w:basedOn w:val="1"/>
    <w:qFormat/>
    <w:uiPriority w:val="0"/>
    <w:pPr>
      <w:ind w:firstLine="420" w:firstLineChars="200"/>
    </w:pPr>
    <w:rPr>
      <w:sz w:val="21"/>
      <w:szCs w:val="24"/>
    </w:rPr>
  </w:style>
  <w:style w:type="paragraph" w:customStyle="1" w:styleId="266">
    <w:name w:val="UserStyle_176"/>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67">
    <w:name w:val="UserStyle_177"/>
    <w:basedOn w:val="1"/>
    <w:qFormat/>
    <w:uiPriority w:val="0"/>
    <w:pPr>
      <w:pBdr>
        <w:bottom w:val="single" w:color="000000" w:sz="4" w:space="0"/>
        <w:right w:val="single" w:color="000000" w:sz="4" w:space="0"/>
      </w:pBdr>
      <w:spacing w:before="100" w:beforeAutospacing="1" w:after="100" w:afterAutospacing="1"/>
      <w:jc w:val="left"/>
    </w:pPr>
    <w:rPr>
      <w:rFonts w:ascii="微软雅黑" w:hAnsi="微软雅黑" w:eastAsia="微软雅黑"/>
      <w:kern w:val="0"/>
      <w:sz w:val="22"/>
      <w:szCs w:val="22"/>
    </w:rPr>
  </w:style>
  <w:style w:type="paragraph" w:customStyle="1" w:styleId="268">
    <w:name w:val="UserStyle_178"/>
    <w:basedOn w:val="1"/>
    <w:qFormat/>
    <w:uiPriority w:val="0"/>
    <w:pPr>
      <w:spacing w:before="312" w:after="160" w:line="240" w:lineRule="exact"/>
      <w:jc w:val="left"/>
    </w:pPr>
    <w:rPr>
      <w:rFonts w:ascii="Arial" w:hAnsi="Arial"/>
      <w:sz w:val="24"/>
      <w:szCs w:val="24"/>
    </w:rPr>
  </w:style>
  <w:style w:type="paragraph" w:customStyle="1" w:styleId="269">
    <w:name w:val="UserStyle_179"/>
    <w:basedOn w:val="1"/>
    <w:qFormat/>
    <w:uiPriority w:val="0"/>
    <w:pPr>
      <w:numPr>
        <w:ilvl w:val="0"/>
        <w:numId w:val="12"/>
      </w:numPr>
    </w:pPr>
    <w:rPr>
      <w:rFonts w:ascii="Tahoma" w:hAnsi="Tahoma"/>
      <w:sz w:val="24"/>
    </w:rPr>
  </w:style>
  <w:style w:type="paragraph" w:customStyle="1" w:styleId="270">
    <w:name w:val="UserStyle_180"/>
    <w:basedOn w:val="1"/>
    <w:qFormat/>
    <w:uiPriority w:val="0"/>
    <w:pPr>
      <w:spacing w:line="360" w:lineRule="auto"/>
      <w:ind w:firstLine="420"/>
    </w:pPr>
    <w:rPr>
      <w:sz w:val="24"/>
    </w:rPr>
  </w:style>
  <w:style w:type="paragraph" w:customStyle="1" w:styleId="271">
    <w:name w:val="UserStyle_181"/>
    <w:basedOn w:val="1"/>
    <w:qFormat/>
    <w:uiPriority w:val="0"/>
    <w:pPr>
      <w:spacing w:before="100" w:beforeAutospacing="1" w:after="100" w:afterAutospacing="1"/>
      <w:jc w:val="left"/>
    </w:pPr>
    <w:rPr>
      <w:rFonts w:ascii="宋体" w:hAnsi="宋体"/>
      <w:color w:val="000000"/>
      <w:kern w:val="0"/>
      <w:sz w:val="24"/>
      <w:szCs w:val="24"/>
    </w:rPr>
  </w:style>
  <w:style w:type="paragraph" w:customStyle="1" w:styleId="272">
    <w:name w:val="UserStyle_182"/>
    <w:basedOn w:val="1"/>
    <w:next w:val="25"/>
    <w:qFormat/>
    <w:uiPriority w:val="0"/>
    <w:pPr>
      <w:spacing w:line="360" w:lineRule="auto"/>
    </w:pPr>
    <w:rPr>
      <w:rFonts w:eastAsia="黑体"/>
      <w:sz w:val="20"/>
    </w:rPr>
  </w:style>
  <w:style w:type="paragraph" w:customStyle="1" w:styleId="273">
    <w:name w:val="UserStyle_183"/>
    <w:basedOn w:val="1"/>
    <w:qFormat/>
    <w:uiPriority w:val="0"/>
    <w:pPr>
      <w:spacing w:before="100" w:beforeAutospacing="1" w:after="100" w:afterAutospacing="1"/>
      <w:jc w:val="center"/>
    </w:pPr>
    <w:rPr>
      <w:rFonts w:ascii="宋体" w:hAnsi="宋体"/>
      <w:color w:val="000000"/>
      <w:kern w:val="0"/>
      <w:sz w:val="24"/>
      <w:szCs w:val="24"/>
    </w:rPr>
  </w:style>
  <w:style w:type="paragraph" w:customStyle="1" w:styleId="274">
    <w:name w:val="UserStyle_1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75">
    <w:name w:val="UserStyle_1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kern w:val="0"/>
      <w:sz w:val="20"/>
    </w:rPr>
  </w:style>
  <w:style w:type="paragraph" w:customStyle="1" w:styleId="276">
    <w:name w:val="UserStyle_186"/>
    <w:basedOn w:val="1"/>
    <w:qFormat/>
    <w:uiPriority w:val="0"/>
    <w:pPr>
      <w:spacing w:before="100" w:beforeAutospacing="1" w:after="100" w:afterAutospacing="1"/>
      <w:jc w:val="left"/>
    </w:pPr>
    <w:rPr>
      <w:rFonts w:ascii="宋体" w:hAnsi="宋体"/>
      <w:kern w:val="0"/>
      <w:sz w:val="18"/>
      <w:szCs w:val="18"/>
    </w:rPr>
  </w:style>
  <w:style w:type="paragraph" w:customStyle="1" w:styleId="277">
    <w:name w:val="UserStyle_187"/>
    <w:basedOn w:val="1"/>
    <w:qFormat/>
    <w:uiPriority w:val="0"/>
    <w:pPr>
      <w:jc w:val="left"/>
    </w:pPr>
    <w:rPr>
      <w:rFonts w:ascii="宋体" w:hAnsi="宋体"/>
      <w:kern w:val="0"/>
      <w:sz w:val="21"/>
    </w:rPr>
  </w:style>
  <w:style w:type="paragraph" w:customStyle="1" w:styleId="278">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79">
    <w:name w:val="UserStyle_189"/>
    <w:basedOn w:val="1"/>
    <w:qFormat/>
    <w:uiPriority w:val="0"/>
    <w:pPr>
      <w:spacing w:before="120"/>
      <w:ind w:firstLine="420"/>
    </w:pPr>
    <w:rPr>
      <w:sz w:val="24"/>
    </w:rPr>
  </w:style>
  <w:style w:type="paragraph" w:customStyle="1" w:styleId="280">
    <w:name w:val="UserStyle_190"/>
    <w:basedOn w:val="1"/>
    <w:qFormat/>
    <w:uiPriority w:val="0"/>
    <w:pPr>
      <w:jc w:val="left"/>
    </w:pPr>
    <w:rPr>
      <w:rFonts w:ascii="黑体" w:eastAsia="黑体"/>
      <w:b/>
      <w:kern w:val="0"/>
      <w:sz w:val="20"/>
    </w:rPr>
  </w:style>
  <w:style w:type="paragraph" w:customStyle="1" w:styleId="281">
    <w:name w:val="UserStyle_1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kern w:val="0"/>
      <w:sz w:val="20"/>
    </w:rPr>
  </w:style>
  <w:style w:type="paragraph" w:customStyle="1" w:styleId="282">
    <w:name w:val="UserStyle_192"/>
    <w:basedOn w:val="1"/>
    <w:qFormat/>
    <w:uiPriority w:val="0"/>
    <w:pPr>
      <w:spacing w:before="100" w:beforeAutospacing="1" w:after="100" w:afterAutospacing="1"/>
      <w:jc w:val="center"/>
    </w:pPr>
    <w:rPr>
      <w:rFonts w:ascii="宋体" w:hAnsi="宋体"/>
      <w:kern w:val="0"/>
      <w:sz w:val="24"/>
      <w:szCs w:val="24"/>
    </w:rPr>
  </w:style>
  <w:style w:type="paragraph" w:customStyle="1" w:styleId="283">
    <w:name w:val="UserStyle_193"/>
    <w:basedOn w:val="15"/>
    <w:qFormat/>
    <w:uiPriority w:val="0"/>
    <w:pPr>
      <w:snapToGrid w:val="0"/>
      <w:spacing w:line="360" w:lineRule="auto"/>
      <w:ind w:firstLine="480"/>
    </w:pPr>
    <w:rPr>
      <w:rFonts w:ascii="Times New Roman" w:eastAsia="宋体"/>
      <w:sz w:val="24"/>
    </w:rPr>
  </w:style>
  <w:style w:type="paragraph" w:customStyle="1" w:styleId="284">
    <w:name w:val="UserStyle_19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24"/>
      <w:szCs w:val="24"/>
    </w:rPr>
  </w:style>
  <w:style w:type="paragraph" w:customStyle="1" w:styleId="285">
    <w:name w:val="UserStyle_195"/>
    <w:basedOn w:val="1"/>
    <w:qFormat/>
    <w:uiPriority w:val="0"/>
    <w:pPr>
      <w:spacing w:before="100" w:beforeAutospacing="1" w:after="100" w:afterAutospacing="1"/>
      <w:jc w:val="left"/>
    </w:pPr>
    <w:rPr>
      <w:rFonts w:ascii="宋体" w:hAnsi="宋体"/>
      <w:kern w:val="0"/>
      <w:sz w:val="18"/>
      <w:szCs w:val="18"/>
    </w:rPr>
  </w:style>
  <w:style w:type="paragraph" w:customStyle="1" w:styleId="286">
    <w:name w:val="UserStyle_196"/>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87">
    <w:name w:val="UserStyle_197"/>
    <w:basedOn w:val="1"/>
    <w:qFormat/>
    <w:uiPriority w:val="0"/>
    <w:rPr>
      <w:rFonts w:ascii="宋体" w:hAnsi="宋体"/>
      <w:kern w:val="0"/>
      <w:sz w:val="21"/>
    </w:rPr>
  </w:style>
  <w:style w:type="paragraph" w:customStyle="1" w:styleId="288">
    <w:name w:val="UserStyle_198"/>
    <w:basedOn w:val="1"/>
    <w:qFormat/>
    <w:uiPriority w:val="0"/>
    <w:pPr>
      <w:spacing w:before="100" w:beforeAutospacing="1" w:after="100" w:afterAutospacing="1"/>
      <w:jc w:val="left"/>
    </w:pPr>
    <w:rPr>
      <w:rFonts w:ascii="宋体" w:hAnsi="宋体"/>
      <w:kern w:val="0"/>
      <w:sz w:val="24"/>
      <w:szCs w:val="24"/>
    </w:rPr>
  </w:style>
  <w:style w:type="paragraph" w:customStyle="1" w:styleId="289">
    <w:name w:val="UserStyle_199"/>
    <w:basedOn w:val="1"/>
    <w:next w:val="15"/>
    <w:qFormat/>
    <w:uiPriority w:val="0"/>
    <w:pPr>
      <w:snapToGrid w:val="0"/>
      <w:spacing w:before="100" w:after="100" w:line="240" w:lineRule="atLeast"/>
      <w:ind w:left="2880" w:hanging="360"/>
    </w:pPr>
    <w:rPr>
      <w:rFonts w:ascii="宋体"/>
      <w:kern w:val="0"/>
      <w:sz w:val="20"/>
    </w:rPr>
  </w:style>
  <w:style w:type="paragraph" w:customStyle="1" w:styleId="290">
    <w:name w:val="UserStyle_200"/>
    <w:basedOn w:val="1"/>
    <w:qFormat/>
    <w:uiPriority w:val="0"/>
    <w:rPr>
      <w:rFonts w:ascii="Tahoma" w:hAnsi="Tahoma"/>
      <w:sz w:val="24"/>
      <w:szCs w:val="24"/>
    </w:rPr>
  </w:style>
  <w:style w:type="paragraph" w:customStyle="1" w:styleId="291">
    <w:name w:val="UserStyle_2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2">
    <w:name w:val="UserStyle_202"/>
    <w:qFormat/>
    <w:uiPriority w:val="0"/>
    <w:pPr>
      <w:keepNext/>
      <w:snapToGrid w:val="0"/>
      <w:spacing w:before="80" w:after="80"/>
      <w:jc w:val="center"/>
      <w:textAlignment w:val="baseline"/>
    </w:pPr>
    <w:rPr>
      <w:rFonts w:ascii="Arial" w:hAnsi="Arial" w:eastAsia="黑体" w:cstheme="minorBidi"/>
      <w:sz w:val="18"/>
      <w:lang w:val="en-US" w:eastAsia="zh-CN" w:bidi="ar-SA"/>
    </w:rPr>
  </w:style>
  <w:style w:type="paragraph" w:customStyle="1" w:styleId="293">
    <w:name w:val="UserStyle_203"/>
    <w:basedOn w:val="1"/>
    <w:qFormat/>
    <w:uiPriority w:val="0"/>
    <w:pPr>
      <w:spacing w:after="160" w:line="240" w:lineRule="exact"/>
      <w:jc w:val="left"/>
    </w:pPr>
    <w:rPr>
      <w:rFonts w:ascii="Verdana" w:hAnsi="Verdana"/>
      <w:kern w:val="0"/>
      <w:sz w:val="20"/>
      <w:lang w:eastAsia="en-US"/>
    </w:rPr>
  </w:style>
  <w:style w:type="paragraph" w:customStyle="1" w:styleId="294">
    <w:name w:val="UserStyle_204"/>
    <w:basedOn w:val="1"/>
    <w:qFormat/>
    <w:uiPriority w:val="0"/>
    <w:pPr>
      <w:spacing w:after="160" w:line="240" w:lineRule="exact"/>
      <w:jc w:val="left"/>
    </w:pPr>
  </w:style>
  <w:style w:type="paragraph" w:customStyle="1" w:styleId="295">
    <w:name w:val="UserStyle_205"/>
    <w:basedOn w:val="1"/>
    <w:next w:val="1"/>
    <w:qFormat/>
    <w:uiPriority w:val="0"/>
    <w:pPr>
      <w:tabs>
        <w:tab w:val="left" w:pos="1304"/>
      </w:tabs>
      <w:ind w:left="425" w:hanging="425"/>
    </w:pPr>
    <w:rPr>
      <w:rFonts w:ascii="黑体" w:hAnsi="黑体" w:eastAsia="黑体"/>
      <w:b/>
      <w:sz w:val="44"/>
    </w:rPr>
  </w:style>
  <w:style w:type="paragraph" w:customStyle="1" w:styleId="296">
    <w:name w:val="UserStyle_206"/>
    <w:basedOn w:val="1"/>
    <w:qFormat/>
    <w:uiPriority w:val="0"/>
    <w:pPr>
      <w:spacing w:after="160" w:line="240" w:lineRule="exact"/>
      <w:jc w:val="left"/>
    </w:pPr>
    <w:rPr>
      <w:rFonts w:ascii="Verdana" w:hAnsi="Verdana"/>
      <w:kern w:val="0"/>
      <w:sz w:val="21"/>
      <w:lang w:eastAsia="en-US"/>
    </w:rPr>
  </w:style>
  <w:style w:type="paragraph" w:customStyle="1" w:styleId="297">
    <w:name w:val="UserStyle_207"/>
    <w:qFormat/>
    <w:uiPriority w:val="0"/>
    <w:pPr>
      <w:snapToGrid w:val="0"/>
      <w:spacing w:before="80" w:after="80"/>
      <w:textAlignment w:val="baseline"/>
    </w:pPr>
    <w:rPr>
      <w:rFonts w:ascii="Arial" w:hAnsi="Arial" w:eastAsia="宋体" w:cstheme="minorBidi"/>
      <w:kern w:val="2"/>
      <w:sz w:val="18"/>
      <w:lang w:val="en-US" w:eastAsia="zh-CN" w:bidi="ar-SA"/>
    </w:rPr>
  </w:style>
  <w:style w:type="paragraph" w:customStyle="1" w:styleId="298">
    <w:name w:val="UserStyle_20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299">
    <w:name w:val="UserStyle_209"/>
    <w:basedOn w:val="1"/>
    <w:qFormat/>
    <w:uiPriority w:val="0"/>
    <w:pPr>
      <w:pBdr>
        <w:left w:val="single" w:color="000000" w:sz="4" w:space="0"/>
        <w:bottom w:val="single" w:color="000000" w:sz="4" w:space="0"/>
      </w:pBdr>
      <w:spacing w:before="100" w:beforeAutospacing="1" w:after="100" w:afterAutospacing="1"/>
      <w:jc w:val="left"/>
      <w:textAlignment w:val="center"/>
    </w:pPr>
    <w:rPr>
      <w:rFonts w:ascii="宋体" w:hAnsi="宋体"/>
      <w:color w:val="FF0000"/>
      <w:kern w:val="0"/>
      <w:sz w:val="24"/>
      <w:szCs w:val="24"/>
    </w:rPr>
  </w:style>
  <w:style w:type="paragraph" w:customStyle="1" w:styleId="300">
    <w:name w:val="UserStyle_210"/>
    <w:basedOn w:val="70"/>
    <w:qFormat/>
    <w:uiPriority w:val="0"/>
    <w:pPr>
      <w:spacing w:line="240" w:lineRule="auto"/>
    </w:pPr>
    <w:rPr>
      <w:color w:val="000000"/>
      <w:lang w:val="en-GB"/>
    </w:rPr>
  </w:style>
  <w:style w:type="paragraph" w:customStyle="1" w:styleId="301">
    <w:name w:val="UserStyle_211"/>
    <w:basedOn w:val="1"/>
    <w:next w:val="1"/>
    <w:qFormat/>
    <w:uiPriority w:val="0"/>
    <w:pPr>
      <w:tabs>
        <w:tab w:val="left" w:pos="851"/>
      </w:tabs>
      <w:ind w:left="425" w:hanging="425"/>
    </w:pPr>
    <w:rPr>
      <w:rFonts w:eastAsia="黑体"/>
      <w:b/>
      <w:sz w:val="32"/>
    </w:rPr>
  </w:style>
  <w:style w:type="paragraph" w:customStyle="1" w:styleId="302">
    <w:name w:val="UserStyle_212"/>
    <w:basedOn w:val="1"/>
    <w:next w:val="1"/>
    <w:qFormat/>
    <w:uiPriority w:val="0"/>
    <w:pPr>
      <w:tabs>
        <w:tab w:val="left" w:pos="420"/>
        <w:tab w:val="left" w:pos="567"/>
        <w:tab w:val="left" w:pos="720"/>
      </w:tabs>
      <w:snapToGrid w:val="0"/>
      <w:spacing w:before="120" w:after="120" w:line="320" w:lineRule="atLeast"/>
      <w:ind w:left="420" w:hanging="420"/>
      <w:jc w:val="center"/>
    </w:pPr>
    <w:rPr>
      <w:rFonts w:eastAsia="仿宋_GB2312"/>
      <w:kern w:val="0"/>
      <w:sz w:val="24"/>
    </w:rPr>
  </w:style>
  <w:style w:type="paragraph" w:customStyle="1" w:styleId="303">
    <w:name w:val="UserStyle_213"/>
    <w:basedOn w:val="1"/>
    <w:qFormat/>
    <w:uiPriority w:val="0"/>
    <w:pPr>
      <w:tabs>
        <w:tab w:val="left" w:pos="1260"/>
      </w:tabs>
      <w:spacing w:line="360" w:lineRule="auto"/>
      <w:jc w:val="left"/>
    </w:pPr>
    <w:rPr>
      <w:kern w:val="0"/>
      <w:sz w:val="24"/>
    </w:rPr>
  </w:style>
  <w:style w:type="paragraph" w:customStyle="1" w:styleId="304">
    <w:name w:val="UserStyle_214"/>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5">
    <w:name w:val="UserStyle_215"/>
    <w:next w:val="306"/>
    <w:qFormat/>
    <w:uiPriority w:val="0"/>
    <w:pPr>
      <w:keepNext/>
      <w:keepLines/>
      <w:spacing w:before="240" w:after="240"/>
      <w:textAlignment w:val="baseline"/>
    </w:pPr>
    <w:rPr>
      <w:rFonts w:ascii="Arial" w:hAnsi="Arial" w:eastAsia="黑体" w:cstheme="minorBidi"/>
      <w:sz w:val="21"/>
      <w:lang w:val="en-US" w:eastAsia="zh-CN" w:bidi="ar-SA"/>
    </w:rPr>
  </w:style>
  <w:style w:type="paragraph" w:customStyle="1" w:styleId="306">
    <w:name w:val="UserStyle_216"/>
    <w:basedOn w:val="1"/>
    <w:qFormat/>
    <w:uiPriority w:val="0"/>
    <w:pPr>
      <w:keepLines/>
      <w:tabs>
        <w:tab w:val="left" w:pos="1134"/>
      </w:tabs>
      <w:spacing w:before="80" w:after="80" w:line="300" w:lineRule="auto"/>
      <w:ind w:left="1134" w:hanging="907"/>
    </w:pPr>
    <w:rPr>
      <w:rFonts w:ascii="Arial" w:hAnsi="Arial"/>
      <w:kern w:val="0"/>
      <w:sz w:val="21"/>
    </w:rPr>
  </w:style>
  <w:style w:type="paragraph" w:customStyle="1" w:styleId="307">
    <w:name w:val="UserStyle_217"/>
    <w:basedOn w:val="53"/>
    <w:qFormat/>
    <w:uiPriority w:val="0"/>
    <w:rPr>
      <w:rFonts w:ascii="宋体" w:hAnsi="Tahoma"/>
    </w:rPr>
  </w:style>
  <w:style w:type="paragraph" w:customStyle="1" w:styleId="308">
    <w:name w:val="UserStyle_218"/>
    <w:basedOn w:val="1"/>
    <w:qFormat/>
    <w:uiPriority w:val="0"/>
    <w:rPr>
      <w:rFonts w:ascii="Tahoma" w:hAnsi="Tahoma"/>
      <w:sz w:val="24"/>
    </w:rPr>
  </w:style>
  <w:style w:type="paragraph" w:customStyle="1" w:styleId="309">
    <w:name w:val="UserStyle_219"/>
    <w:basedOn w:val="1"/>
    <w:qFormat/>
    <w:uiPriority w:val="0"/>
    <w:pPr>
      <w:spacing w:line="440" w:lineRule="exact"/>
      <w:ind w:firstLine="420"/>
    </w:pPr>
    <w:rPr>
      <w:rFonts w:ascii="Arial Narrow" w:hAnsi="Arial Narrow"/>
      <w:kern w:val="0"/>
      <w:sz w:val="24"/>
    </w:rPr>
  </w:style>
  <w:style w:type="paragraph" w:customStyle="1" w:styleId="310">
    <w:name w:val="UserStyle_2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0"/>
    </w:rPr>
  </w:style>
  <w:style w:type="paragraph" w:customStyle="1" w:styleId="311">
    <w:name w:val="UserStyle_2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12">
    <w:name w:val="UserStyle_2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13">
    <w:name w:val="UserStyle_223"/>
    <w:basedOn w:val="1"/>
    <w:next w:val="1"/>
    <w:qFormat/>
    <w:uiPriority w:val="0"/>
    <w:pPr>
      <w:tabs>
        <w:tab w:val="left" w:pos="420"/>
        <w:tab w:val="left" w:pos="624"/>
      </w:tabs>
      <w:ind w:left="420" w:hanging="420"/>
    </w:pPr>
    <w:rPr>
      <w:rFonts w:ascii="黑体" w:hAnsi="黑体" w:eastAsia="黑体"/>
      <w:b/>
      <w:sz w:val="32"/>
    </w:rPr>
  </w:style>
  <w:style w:type="paragraph" w:customStyle="1" w:styleId="314">
    <w:name w:val="UserStyle_224"/>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315">
    <w:name w:val="UserStyle_2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rPr>
  </w:style>
  <w:style w:type="paragraph" w:customStyle="1" w:styleId="316">
    <w:name w:val="UserStyle_226"/>
    <w:basedOn w:val="1"/>
    <w:qFormat/>
    <w:uiPriority w:val="0"/>
    <w:pPr>
      <w:ind w:firstLine="420" w:firstLineChars="200"/>
    </w:pPr>
    <w:rPr>
      <w:sz w:val="21"/>
      <w:szCs w:val="22"/>
    </w:rPr>
  </w:style>
  <w:style w:type="paragraph" w:customStyle="1" w:styleId="317">
    <w:name w:val="UserStyle_227"/>
    <w:basedOn w:val="1"/>
    <w:qFormat/>
    <w:uiPriority w:val="0"/>
    <w:pPr>
      <w:spacing w:before="100" w:beforeAutospacing="1" w:after="100" w:afterAutospacing="1"/>
      <w:jc w:val="left"/>
    </w:pPr>
    <w:rPr>
      <w:rFonts w:ascii="宋体" w:hAnsi="宋体"/>
      <w:kern w:val="0"/>
      <w:sz w:val="18"/>
      <w:szCs w:val="18"/>
    </w:rPr>
  </w:style>
  <w:style w:type="paragraph" w:customStyle="1" w:styleId="318">
    <w:name w:val="UserStyle_228"/>
    <w:basedOn w:val="1"/>
    <w:semiHidden/>
    <w:qFormat/>
    <w:uiPriority w:val="0"/>
    <w:pPr>
      <w:snapToGrid w:val="0"/>
      <w:spacing w:line="360" w:lineRule="auto"/>
      <w:ind w:firstLine="200" w:firstLineChars="200"/>
    </w:pPr>
    <w:rPr>
      <w:rFonts w:ascii="宋体" w:hAnsi="宋体" w:eastAsia="仿宋_GB2312"/>
      <w:sz w:val="24"/>
      <w:szCs w:val="26"/>
    </w:rPr>
  </w:style>
  <w:style w:type="paragraph" w:customStyle="1" w:styleId="319">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4"/>
      <w:szCs w:val="24"/>
    </w:rPr>
  </w:style>
  <w:style w:type="paragraph" w:customStyle="1" w:styleId="320">
    <w:name w:val="UserStyle_230"/>
    <w:basedOn w:val="1"/>
    <w:qFormat/>
    <w:uiPriority w:val="0"/>
    <w:pPr>
      <w:spacing w:before="100" w:beforeAutospacing="1" w:after="100" w:afterAutospacing="1"/>
      <w:jc w:val="left"/>
    </w:pPr>
    <w:rPr>
      <w:rFonts w:ascii="宋体" w:hAnsi="宋体"/>
      <w:kern w:val="0"/>
      <w:sz w:val="24"/>
      <w:szCs w:val="24"/>
    </w:rPr>
  </w:style>
  <w:style w:type="paragraph" w:customStyle="1" w:styleId="321">
    <w:name w:val="UserStyle_2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2">
    <w:name w:val="UserStyle_232"/>
    <w:qFormat/>
    <w:uiPriority w:val="0"/>
    <w:pPr>
      <w:tabs>
        <w:tab w:val="left" w:pos="1644"/>
      </w:tabs>
      <w:ind w:left="1644" w:hanging="510"/>
      <w:textAlignment w:val="baseline"/>
    </w:pPr>
    <w:rPr>
      <w:rFonts w:ascii="Arial" w:hAnsi="Arial" w:eastAsia="宋体" w:cstheme="minorBidi"/>
      <w:sz w:val="21"/>
      <w:lang w:val="en-US" w:eastAsia="zh-CN" w:bidi="ar-SA"/>
    </w:rPr>
  </w:style>
  <w:style w:type="paragraph" w:customStyle="1" w:styleId="323">
    <w:name w:val="UserStyle_2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24">
    <w:name w:val="UserStyle_234"/>
    <w:basedOn w:val="1"/>
    <w:qFormat/>
    <w:uiPriority w:val="0"/>
    <w:pPr>
      <w:snapToGrid w:val="0"/>
    </w:pPr>
    <w:rPr>
      <w:sz w:val="21"/>
    </w:rPr>
  </w:style>
  <w:style w:type="paragraph" w:customStyle="1" w:styleId="325">
    <w:name w:val="UserStyle_235"/>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26">
    <w:name w:val="UserStyle_23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27">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0"/>
    </w:rPr>
  </w:style>
  <w:style w:type="paragraph" w:customStyle="1" w:styleId="328">
    <w:name w:val="UserStyle_238"/>
    <w:basedOn w:val="1"/>
    <w:next w:val="1"/>
    <w:qFormat/>
    <w:uiPriority w:val="0"/>
    <w:pPr>
      <w:tabs>
        <w:tab w:val="left" w:pos="1134"/>
      </w:tabs>
      <w:spacing w:line="300" w:lineRule="auto"/>
      <w:ind w:left="1361" w:hanging="1361"/>
    </w:pPr>
    <w:rPr>
      <w:rFonts w:ascii="Arial" w:hAnsi="Arial" w:eastAsia="黑体"/>
      <w:kern w:val="0"/>
    </w:rPr>
  </w:style>
  <w:style w:type="paragraph" w:customStyle="1" w:styleId="329">
    <w:name w:val="UserStyle_23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kern w:val="0"/>
      <w:sz w:val="20"/>
    </w:rPr>
  </w:style>
  <w:style w:type="paragraph" w:customStyle="1" w:styleId="330">
    <w:name w:val="UserStyle_240"/>
    <w:basedOn w:val="1"/>
    <w:qFormat/>
    <w:uiPriority w:val="0"/>
    <w:pPr>
      <w:spacing w:before="120" w:after="120" w:line="360" w:lineRule="auto"/>
    </w:pPr>
    <w:rPr>
      <w:sz w:val="24"/>
    </w:rPr>
  </w:style>
  <w:style w:type="paragraph" w:customStyle="1" w:styleId="331">
    <w:name w:val="UserStyle_241"/>
    <w:basedOn w:val="1"/>
    <w:qFormat/>
    <w:uiPriority w:val="0"/>
    <w:pPr>
      <w:spacing w:before="120" w:after="120" w:line="360" w:lineRule="auto"/>
      <w:jc w:val="center"/>
    </w:pPr>
    <w:rPr>
      <w:rFonts w:eastAsia="仿宋_GB2312"/>
      <w:b/>
      <w:sz w:val="24"/>
    </w:rPr>
  </w:style>
  <w:style w:type="paragraph" w:customStyle="1" w:styleId="332">
    <w:name w:val="UserStyle_242"/>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33">
    <w:name w:val="UserStyle_243"/>
    <w:basedOn w:val="1"/>
    <w:qFormat/>
    <w:uiPriority w:val="0"/>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34">
    <w:name w:val="UserStyle_244"/>
    <w:basedOn w:val="1"/>
    <w:qFormat/>
    <w:uiPriority w:val="0"/>
    <w:pPr>
      <w:spacing w:before="40" w:after="40"/>
    </w:pPr>
    <w:rPr>
      <w:sz w:val="24"/>
    </w:rPr>
  </w:style>
  <w:style w:type="paragraph" w:customStyle="1" w:styleId="335">
    <w:name w:val="UserStyle_245"/>
    <w:basedOn w:val="1"/>
    <w:qFormat/>
    <w:uiPriority w:val="0"/>
    <w:pPr>
      <w:spacing w:after="120" w:line="360" w:lineRule="auto"/>
      <w:ind w:firstLine="200" w:firstLineChars="200"/>
    </w:pPr>
    <w:rPr>
      <w:sz w:val="24"/>
    </w:rPr>
  </w:style>
  <w:style w:type="paragraph" w:customStyle="1" w:styleId="336">
    <w:name w:val="UserStyle_246"/>
    <w:basedOn w:val="1"/>
    <w:qFormat/>
    <w:uiPriority w:val="0"/>
    <w:pPr>
      <w:tabs>
        <w:tab w:val="left" w:pos="1275"/>
      </w:tabs>
      <w:spacing w:before="60" w:after="60" w:line="360" w:lineRule="auto"/>
      <w:ind w:left="820" w:leftChars="400" w:hanging="705"/>
    </w:pPr>
    <w:rPr>
      <w:sz w:val="24"/>
    </w:rPr>
  </w:style>
  <w:style w:type="paragraph" w:customStyle="1" w:styleId="337">
    <w:name w:val="UserStyle_247"/>
    <w:basedOn w:val="1"/>
    <w:qFormat/>
    <w:uiPriority w:val="0"/>
    <w:pPr>
      <w:spacing w:before="100" w:beforeAutospacing="1" w:after="100" w:afterAutospacing="1"/>
      <w:jc w:val="left"/>
    </w:pPr>
    <w:rPr>
      <w:rFonts w:ascii="宋体" w:hAnsi="宋体"/>
      <w:kern w:val="0"/>
      <w:sz w:val="18"/>
      <w:szCs w:val="18"/>
    </w:rPr>
  </w:style>
  <w:style w:type="paragraph" w:customStyle="1" w:styleId="338">
    <w:name w:val="UserStyle_248"/>
    <w:basedOn w:val="1"/>
    <w:qFormat/>
    <w:uiPriority w:val="0"/>
    <w:pPr>
      <w:spacing w:line="360" w:lineRule="auto"/>
      <w:jc w:val="center"/>
    </w:pPr>
    <w:rPr>
      <w:rFonts w:ascii="宋体" w:hAnsi="宋体" w:cs="宋体"/>
      <w:b/>
      <w:bCs/>
      <w:color w:val="000000"/>
      <w:kern w:val="0"/>
      <w:sz w:val="22"/>
      <w:szCs w:val="22"/>
    </w:rPr>
  </w:style>
  <w:style w:type="paragraph" w:customStyle="1" w:styleId="339">
    <w:name w:val="UserStyle_2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40">
    <w:name w:val="UserStyle_25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kern w:val="0"/>
      <w:sz w:val="22"/>
      <w:szCs w:val="22"/>
    </w:rPr>
  </w:style>
  <w:style w:type="paragraph" w:customStyle="1" w:styleId="341">
    <w:name w:val="UserStyle_251"/>
    <w:basedOn w:val="1"/>
    <w:qFormat/>
    <w:uiPriority w:val="0"/>
    <w:rPr>
      <w:sz w:val="21"/>
    </w:rPr>
  </w:style>
  <w:style w:type="paragraph" w:customStyle="1" w:styleId="342">
    <w:name w:val="UserStyle_252"/>
    <w:basedOn w:val="1"/>
    <w:qFormat/>
    <w:uiPriority w:val="0"/>
    <w:pPr>
      <w:spacing w:before="120"/>
      <w:ind w:firstLine="420"/>
    </w:pPr>
    <w:rPr>
      <w:sz w:val="24"/>
    </w:rPr>
  </w:style>
  <w:style w:type="paragraph" w:customStyle="1" w:styleId="343">
    <w:name w:val="UserStyle_2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44">
    <w:name w:val="UserStyle_254"/>
    <w:basedOn w:val="29"/>
    <w:qFormat/>
    <w:uiPriority w:val="0"/>
    <w:pPr>
      <w:spacing w:before="156"/>
      <w:jc w:val="left"/>
    </w:pPr>
    <w:rPr>
      <w:kern w:val="24"/>
      <w:sz w:val="28"/>
    </w:rPr>
  </w:style>
  <w:style w:type="paragraph" w:customStyle="1" w:styleId="345">
    <w:name w:val="UserStyle_255"/>
    <w:basedOn w:val="1"/>
    <w:qFormat/>
    <w:uiPriority w:val="0"/>
    <w:pPr>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46">
    <w:name w:val="UserStyle_256"/>
    <w:qFormat/>
    <w:uiPriority w:val="0"/>
    <w:pPr>
      <w:jc w:val="both"/>
      <w:textAlignment w:val="baseline"/>
    </w:pPr>
    <w:rPr>
      <w:rFonts w:ascii="Calibri" w:hAnsi="Calibri" w:eastAsia="宋体" w:cstheme="minorBidi"/>
      <w:kern w:val="2"/>
      <w:sz w:val="21"/>
      <w:szCs w:val="21"/>
      <w:lang w:val="en-US" w:eastAsia="zh-CN" w:bidi="ar-SA"/>
    </w:rPr>
  </w:style>
  <w:style w:type="paragraph" w:customStyle="1" w:styleId="347">
    <w:name w:val="UserStyle_257"/>
    <w:basedOn w:val="15"/>
    <w:qFormat/>
    <w:uiPriority w:val="0"/>
    <w:pPr>
      <w:suppressAutoHyphens/>
      <w:jc w:val="left"/>
    </w:pPr>
    <w:rPr>
      <w:rFonts w:ascii="Times New Roman" w:eastAsia="Times New Roman"/>
      <w:kern w:val="0"/>
      <w:sz w:val="24"/>
    </w:rPr>
  </w:style>
  <w:style w:type="paragraph" w:customStyle="1" w:styleId="348">
    <w:name w:val="UserStyle_258"/>
    <w:basedOn w:val="1"/>
    <w:qFormat/>
    <w:uiPriority w:val="0"/>
    <w:rPr>
      <w:rFonts w:ascii="Tahoma" w:hAnsi="Tahoma"/>
      <w:sz w:val="21"/>
    </w:rPr>
  </w:style>
  <w:style w:type="paragraph" w:customStyle="1" w:styleId="349">
    <w:name w:val="UserStyle_259"/>
    <w:basedOn w:val="1"/>
    <w:qFormat/>
    <w:uiPriority w:val="0"/>
    <w:pPr>
      <w:jc w:val="left"/>
    </w:pPr>
    <w:rPr>
      <w:rFonts w:ascii="宋体" w:hAnsi="宋体"/>
      <w:kern w:val="0"/>
      <w:sz w:val="24"/>
      <w:szCs w:val="24"/>
    </w:rPr>
  </w:style>
  <w:style w:type="paragraph" w:customStyle="1" w:styleId="350">
    <w:name w:val="UserStyle_260"/>
    <w:basedOn w:val="1"/>
    <w:qFormat/>
    <w:uiPriority w:val="0"/>
    <w:pPr>
      <w:spacing w:before="100" w:beforeAutospacing="1" w:after="100" w:afterAutospacing="1"/>
      <w:jc w:val="left"/>
    </w:pPr>
    <w:rPr>
      <w:rFonts w:ascii="宋体" w:hAnsi="宋体"/>
      <w:kern w:val="0"/>
      <w:sz w:val="24"/>
      <w:szCs w:val="24"/>
    </w:rPr>
  </w:style>
  <w:style w:type="paragraph" w:customStyle="1" w:styleId="351">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352">
    <w:name w:val="UserStyle_2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20"/>
    </w:rPr>
  </w:style>
  <w:style w:type="paragraph" w:customStyle="1" w:styleId="353">
    <w:name w:val="UserStyle_262"/>
    <w:basedOn w:val="1"/>
    <w:qFormat/>
    <w:uiPriority w:val="0"/>
    <w:pPr>
      <w:spacing w:line="400" w:lineRule="exact"/>
      <w:jc w:val="center"/>
    </w:pPr>
    <w:rPr>
      <w:sz w:val="24"/>
    </w:rPr>
  </w:style>
  <w:style w:type="paragraph" w:customStyle="1" w:styleId="354">
    <w:name w:val="UserStyle_26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55">
    <w:name w:val="UserStyle_2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0"/>
    </w:rPr>
  </w:style>
  <w:style w:type="paragraph" w:customStyle="1" w:styleId="356">
    <w:name w:val="UserStyle_265"/>
    <w:basedOn w:val="24"/>
    <w:qFormat/>
    <w:uiPriority w:val="0"/>
    <w:pPr>
      <w:keepLines/>
      <w:spacing w:before="120" w:line="360" w:lineRule="auto"/>
    </w:pPr>
    <w:rPr>
      <w:rFonts w:eastAsia="宋体"/>
      <w:b/>
      <w:kern w:val="44"/>
      <w:sz w:val="32"/>
    </w:rPr>
  </w:style>
  <w:style w:type="paragraph" w:customStyle="1" w:styleId="357">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0"/>
    </w:rPr>
  </w:style>
  <w:style w:type="paragraph" w:customStyle="1" w:styleId="358">
    <w:name w:val="UserStyle_267"/>
    <w:basedOn w:val="1"/>
    <w:qFormat/>
    <w:uiPriority w:val="0"/>
    <w:pPr>
      <w:spacing w:after="160" w:line="240" w:lineRule="exact"/>
      <w:jc w:val="left"/>
    </w:pPr>
    <w:rPr>
      <w:rFonts w:ascii="Arial" w:hAnsi="Arial"/>
      <w:sz w:val="24"/>
      <w:szCs w:val="24"/>
    </w:rPr>
  </w:style>
  <w:style w:type="paragraph" w:customStyle="1" w:styleId="359">
    <w:name w:val="UserStyle_268"/>
    <w:basedOn w:val="1"/>
    <w:qFormat/>
    <w:uiPriority w:val="0"/>
    <w:pPr>
      <w:spacing w:before="100" w:beforeAutospacing="1" w:after="100" w:afterAutospacing="1"/>
      <w:jc w:val="left"/>
    </w:pPr>
    <w:rPr>
      <w:rFonts w:ascii="宋体" w:hAnsi="宋体"/>
      <w:color w:val="000000"/>
      <w:kern w:val="0"/>
      <w:sz w:val="24"/>
      <w:szCs w:val="24"/>
    </w:rPr>
  </w:style>
  <w:style w:type="paragraph" w:customStyle="1" w:styleId="360">
    <w:name w:val="UserStyle_2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szCs w:val="24"/>
    </w:rPr>
  </w:style>
  <w:style w:type="paragraph" w:customStyle="1" w:styleId="361">
    <w:name w:val="UserStyle_2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62">
    <w:name w:val="UserStyle_271"/>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63">
    <w:name w:val="UserStyle_2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64">
    <w:name w:val="UserStyle_273"/>
    <w:basedOn w:val="1"/>
    <w:semiHidden/>
    <w:qFormat/>
    <w:uiPriority w:val="0"/>
    <w:pPr>
      <w:snapToGrid w:val="0"/>
      <w:spacing w:line="360" w:lineRule="auto"/>
      <w:ind w:firstLine="200" w:firstLineChars="200"/>
    </w:pPr>
    <w:rPr>
      <w:rFonts w:ascii="宋体" w:hAnsi="宋体" w:eastAsia="仿宋_GB2312"/>
      <w:sz w:val="24"/>
      <w:szCs w:val="26"/>
    </w:rPr>
  </w:style>
  <w:style w:type="paragraph" w:customStyle="1" w:styleId="365">
    <w:name w:val="UserStyle_2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66">
    <w:name w:val="UserStyle_275"/>
    <w:basedOn w:val="1"/>
    <w:qFormat/>
    <w:uiPriority w:val="0"/>
    <w:pPr>
      <w:spacing w:before="120" w:after="120" w:line="360" w:lineRule="auto"/>
      <w:ind w:firstLine="480"/>
      <w:jc w:val="left"/>
    </w:pPr>
    <w:rPr>
      <w:rFonts w:ascii="Arial" w:hAnsi="Arial"/>
      <w:kern w:val="0"/>
      <w:sz w:val="24"/>
    </w:rPr>
  </w:style>
  <w:style w:type="paragraph" w:customStyle="1" w:styleId="367">
    <w:name w:val="UserStyle_276"/>
    <w:basedOn w:val="24"/>
    <w:qFormat/>
    <w:uiPriority w:val="0"/>
    <w:pPr>
      <w:keepLines/>
      <w:pageBreakBefore/>
      <w:tabs>
        <w:tab w:val="left" w:pos="432"/>
      </w:tabs>
      <w:spacing w:before="340" w:after="330" w:line="578" w:lineRule="atLeast"/>
      <w:jc w:val="both"/>
      <w:textAlignment w:val="bottom"/>
    </w:pPr>
    <w:rPr>
      <w:rFonts w:ascii="宋体" w:hAnsi="宋体"/>
      <w:b/>
      <w:kern w:val="44"/>
      <w:sz w:val="36"/>
    </w:rPr>
  </w:style>
  <w:style w:type="paragraph" w:customStyle="1" w:styleId="368">
    <w:name w:val="UserStyle_277"/>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69">
    <w:name w:val="UserStyle_278"/>
    <w:basedOn w:val="25"/>
    <w:qFormat/>
    <w:uiPriority w:val="0"/>
    <w:pPr>
      <w:ind w:firstLine="574" w:firstLineChars="196"/>
    </w:pPr>
    <w:rPr>
      <w:b/>
      <w:spacing w:val="6"/>
      <w:u w:val="single"/>
    </w:rPr>
  </w:style>
  <w:style w:type="paragraph" w:customStyle="1" w:styleId="370">
    <w:name w:val="UserStyle_279"/>
    <w:basedOn w:val="1"/>
    <w:qFormat/>
    <w:uiPriority w:val="0"/>
    <w:pPr>
      <w:spacing w:line="300" w:lineRule="auto"/>
      <w:ind w:firstLine="200" w:firstLineChars="200"/>
    </w:pPr>
    <w:rPr>
      <w:sz w:val="24"/>
    </w:rPr>
  </w:style>
  <w:style w:type="paragraph" w:customStyle="1" w:styleId="371">
    <w:name w:val="UserStyle_280"/>
    <w:next w:val="1"/>
    <w:qFormat/>
    <w:uiPriority w:val="0"/>
    <w:pPr>
      <w:numPr>
        <w:ilvl w:val="1"/>
        <w:numId w:val="13"/>
      </w:numPr>
      <w:spacing w:before="156" w:after="156"/>
      <w:ind w:left="0"/>
      <w:jc w:val="both"/>
    </w:pPr>
    <w:rPr>
      <w:rFonts w:ascii="黑体" w:hAnsi="Times New Roman" w:eastAsia="黑体" w:cstheme="minorBidi"/>
      <w:sz w:val="24"/>
      <w:lang w:val="en-US" w:eastAsia="zh-CN" w:bidi="ar-SA"/>
    </w:rPr>
  </w:style>
  <w:style w:type="paragraph" w:customStyle="1" w:styleId="372">
    <w:name w:val="UserStyle_281"/>
    <w:basedOn w:val="1"/>
    <w:qFormat/>
    <w:uiPriority w:val="0"/>
    <w:pPr>
      <w:ind w:firstLine="420" w:firstLineChars="200"/>
    </w:pPr>
    <w:rPr>
      <w:rFonts w:ascii="Calibri" w:hAnsi="Calibri"/>
      <w:sz w:val="21"/>
      <w:szCs w:val="21"/>
    </w:rPr>
  </w:style>
  <w:style w:type="paragraph" w:customStyle="1" w:styleId="373">
    <w:name w:val="UserStyle_282"/>
    <w:basedOn w:val="1"/>
    <w:qFormat/>
    <w:uiPriority w:val="0"/>
    <w:pPr>
      <w:spacing w:after="160" w:line="240" w:lineRule="exact"/>
      <w:jc w:val="left"/>
    </w:pPr>
    <w:rPr>
      <w:rFonts w:ascii="Verdana" w:hAnsi="Verdana" w:eastAsia="仿宋_GB2312"/>
      <w:kern w:val="0"/>
      <w:sz w:val="24"/>
      <w:lang w:eastAsia="en-US"/>
    </w:rPr>
  </w:style>
  <w:style w:type="paragraph" w:customStyle="1" w:styleId="374">
    <w:name w:val="UserStyle_2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75">
    <w:name w:val="UserStyle_284"/>
    <w:basedOn w:val="1"/>
    <w:qFormat/>
    <w:uiPriority w:val="0"/>
    <w:pPr>
      <w:snapToGrid w:val="0"/>
      <w:spacing w:line="360" w:lineRule="auto"/>
      <w:ind w:firstLine="420"/>
    </w:pPr>
    <w:rPr>
      <w:sz w:val="24"/>
    </w:rPr>
  </w:style>
  <w:style w:type="paragraph" w:customStyle="1" w:styleId="376">
    <w:name w:val="UserStyle_285"/>
    <w:basedOn w:val="1"/>
    <w:qFormat/>
    <w:uiPriority w:val="0"/>
    <w:pPr>
      <w:spacing w:before="100" w:beforeAutospacing="1" w:after="100" w:afterAutospacing="1"/>
      <w:jc w:val="left"/>
    </w:pPr>
    <w:rPr>
      <w:rFonts w:ascii="宋体" w:hAnsi="宋体"/>
      <w:kern w:val="0"/>
      <w:sz w:val="24"/>
      <w:szCs w:val="24"/>
    </w:rPr>
  </w:style>
  <w:style w:type="paragraph" w:customStyle="1" w:styleId="377">
    <w:name w:val="UserStyle_286"/>
    <w:basedOn w:val="1"/>
    <w:qFormat/>
    <w:uiPriority w:val="0"/>
    <w:pPr>
      <w:ind w:firstLine="420" w:firstLineChars="200"/>
    </w:pPr>
    <w:rPr>
      <w:rFonts w:ascii="Calibri" w:hAnsi="Calibri"/>
      <w:sz w:val="21"/>
      <w:szCs w:val="24"/>
    </w:rPr>
  </w:style>
  <w:style w:type="paragraph" w:customStyle="1" w:styleId="378">
    <w:name w:val="UserStyle_287"/>
    <w:basedOn w:val="1"/>
    <w:qFormat/>
    <w:uiPriority w:val="0"/>
    <w:pPr>
      <w:spacing w:line="360" w:lineRule="auto"/>
      <w:ind w:left="480" w:firstLine="200" w:firstLineChars="200"/>
    </w:pPr>
    <w:rPr>
      <w:kern w:val="0"/>
      <w:sz w:val="24"/>
    </w:rPr>
  </w:style>
  <w:style w:type="paragraph" w:customStyle="1" w:styleId="379">
    <w:name w:val="UserStyle_288"/>
    <w:basedOn w:val="1"/>
    <w:qFormat/>
    <w:uiPriority w:val="0"/>
    <w:pPr>
      <w:spacing w:before="100" w:beforeAutospacing="1" w:after="100" w:afterAutospacing="1"/>
      <w:jc w:val="left"/>
    </w:pPr>
    <w:rPr>
      <w:rFonts w:ascii="宋体" w:hAnsi="宋体"/>
      <w:color w:val="000000"/>
      <w:kern w:val="0"/>
      <w:sz w:val="22"/>
      <w:szCs w:val="22"/>
    </w:rPr>
  </w:style>
  <w:style w:type="paragraph" w:customStyle="1" w:styleId="380">
    <w:name w:val="UserStyle_2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rPr>
  </w:style>
  <w:style w:type="paragraph" w:customStyle="1" w:styleId="381">
    <w:name w:val="UserStyle_290"/>
    <w:basedOn w:val="229"/>
    <w:next w:val="229"/>
    <w:qFormat/>
    <w:uiPriority w:val="0"/>
    <w:pPr>
      <w:tabs>
        <w:tab w:val="left" w:pos="2120"/>
      </w:tabs>
      <w:ind w:firstLine="0" w:firstLineChars="0"/>
    </w:pPr>
    <w:rPr>
      <w:b/>
    </w:rPr>
  </w:style>
  <w:style w:type="paragraph" w:customStyle="1" w:styleId="382">
    <w:name w:val="UserStyle_291"/>
    <w:basedOn w:val="1"/>
    <w:qFormat/>
    <w:uiPriority w:val="0"/>
    <w:pPr>
      <w:pBdr>
        <w:bottom w:val="single" w:color="000000" w:sz="4" w:space="0"/>
        <w:right w:val="single" w:color="000000" w:sz="4" w:space="0"/>
      </w:pBdr>
      <w:spacing w:before="100" w:beforeAutospacing="1" w:after="100" w:afterAutospacing="1"/>
      <w:jc w:val="left"/>
    </w:pPr>
    <w:rPr>
      <w:rFonts w:ascii="微软雅黑" w:hAnsi="微软雅黑" w:eastAsia="微软雅黑"/>
      <w:kern w:val="0"/>
      <w:sz w:val="22"/>
      <w:szCs w:val="22"/>
    </w:rPr>
  </w:style>
  <w:style w:type="paragraph" w:customStyle="1" w:styleId="383">
    <w:name w:val="UserStyle_292"/>
    <w:basedOn w:val="1"/>
    <w:qFormat/>
    <w:uiPriority w:val="0"/>
    <w:rPr>
      <w:rFonts w:ascii="Tahoma" w:hAnsi="Tahoma"/>
      <w:sz w:val="24"/>
    </w:rPr>
  </w:style>
  <w:style w:type="paragraph" w:customStyle="1" w:styleId="384">
    <w:name w:val="UserStyle_293"/>
    <w:basedOn w:val="1"/>
    <w:qFormat/>
    <w:uiPriority w:val="0"/>
    <w:pPr>
      <w:pBdr>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kern w:val="0"/>
      <w:sz w:val="21"/>
    </w:rPr>
  </w:style>
  <w:style w:type="paragraph" w:customStyle="1" w:styleId="385">
    <w:name w:val="UserStyle_2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386">
    <w:name w:val="UserStyle_295"/>
    <w:basedOn w:val="1"/>
    <w:qFormat/>
    <w:uiPriority w:val="0"/>
    <w:pPr>
      <w:pBdr>
        <w:left w:val="single" w:color="000000" w:sz="4" w:space="0"/>
        <w:bottom w:val="single" w:color="000000" w:sz="4" w:space="0"/>
      </w:pBdr>
      <w:spacing w:before="100" w:beforeAutospacing="1" w:after="100" w:afterAutospacing="1"/>
      <w:jc w:val="center"/>
      <w:textAlignment w:val="center"/>
    </w:pPr>
    <w:rPr>
      <w:rFonts w:ascii="宋体" w:hAnsi="宋体"/>
      <w:kern w:val="0"/>
      <w:sz w:val="24"/>
    </w:rPr>
  </w:style>
  <w:style w:type="paragraph" w:customStyle="1" w:styleId="387">
    <w:name w:val="UserStyle_296"/>
    <w:basedOn w:val="1"/>
    <w:qFormat/>
    <w:uiPriority w:val="0"/>
    <w:pPr>
      <w:spacing w:line="360" w:lineRule="auto"/>
    </w:pPr>
    <w:rPr>
      <w:kern w:val="0"/>
      <w:sz w:val="24"/>
    </w:rPr>
  </w:style>
  <w:style w:type="paragraph" w:customStyle="1" w:styleId="388">
    <w:name w:val="UserStyle_297"/>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389">
    <w:name w:val="UserStyle_2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390">
    <w:name w:val="UserStyle_299"/>
    <w:basedOn w:val="1"/>
    <w:qFormat/>
    <w:uiPriority w:val="0"/>
    <w:pPr>
      <w:spacing w:line="240" w:lineRule="atLeast"/>
      <w:ind w:left="420" w:firstLine="420"/>
    </w:pPr>
    <w:rPr>
      <w:kern w:val="0"/>
      <w:sz w:val="21"/>
    </w:rPr>
  </w:style>
  <w:style w:type="paragraph" w:customStyle="1" w:styleId="391">
    <w:name w:val="UserStyle_300"/>
    <w:basedOn w:val="1"/>
    <w:qFormat/>
    <w:uiPriority w:val="0"/>
    <w:pPr>
      <w:spacing w:before="100" w:beforeAutospacing="1" w:after="100" w:afterAutospacing="1"/>
      <w:jc w:val="left"/>
    </w:pPr>
    <w:rPr>
      <w:rFonts w:ascii="宋体" w:hAnsi="宋体"/>
      <w:kern w:val="0"/>
      <w:sz w:val="18"/>
      <w:szCs w:val="18"/>
    </w:rPr>
  </w:style>
  <w:style w:type="paragraph" w:customStyle="1" w:styleId="392">
    <w:name w:val="UserStyle_301"/>
    <w:basedOn w:val="1"/>
    <w:qFormat/>
    <w:uiPriority w:val="0"/>
    <w:pPr>
      <w:spacing w:line="360" w:lineRule="auto"/>
      <w:ind w:left="540" w:leftChars="225" w:firstLine="540" w:firstLineChars="225"/>
    </w:pPr>
    <w:rPr>
      <w:sz w:val="24"/>
    </w:rPr>
  </w:style>
  <w:style w:type="paragraph" w:customStyle="1" w:styleId="393">
    <w:name w:val="UserStyle_30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94">
    <w:name w:val="UserStyle_303"/>
    <w:basedOn w:val="1"/>
    <w:qFormat/>
    <w:uiPriority w:val="0"/>
    <w:pPr>
      <w:spacing w:line="360" w:lineRule="auto"/>
      <w:jc w:val="left"/>
    </w:pPr>
    <w:rPr>
      <w:kern w:val="0"/>
      <w:sz w:val="21"/>
    </w:rPr>
  </w:style>
  <w:style w:type="paragraph" w:customStyle="1" w:styleId="395">
    <w:name w:val="UserStyle_304"/>
    <w:basedOn w:val="1"/>
    <w:qFormat/>
    <w:uiPriority w:val="0"/>
    <w:pPr>
      <w:spacing w:before="100" w:beforeAutospacing="1" w:after="100" w:afterAutospacing="1"/>
      <w:jc w:val="center"/>
      <w:textAlignment w:val="center"/>
    </w:pPr>
    <w:rPr>
      <w:rFonts w:ascii="宋体" w:hAnsi="宋体"/>
      <w:kern w:val="0"/>
      <w:sz w:val="24"/>
      <w:szCs w:val="24"/>
    </w:rPr>
  </w:style>
  <w:style w:type="paragraph" w:customStyle="1" w:styleId="396">
    <w:name w:val="UserStyle_305"/>
    <w:basedOn w:val="1"/>
    <w:qFormat/>
    <w:uiPriority w:val="0"/>
    <w:pPr>
      <w:spacing w:after="160" w:line="240" w:lineRule="exact"/>
      <w:jc w:val="left"/>
    </w:pPr>
    <w:rPr>
      <w:rFonts w:ascii="Verdana" w:hAnsi="Verdana"/>
      <w:kern w:val="0"/>
      <w:sz w:val="20"/>
      <w:lang w:eastAsia="en-US"/>
    </w:rPr>
  </w:style>
  <w:style w:type="paragraph" w:customStyle="1" w:styleId="397">
    <w:name w:val="UserStyle_306"/>
    <w:basedOn w:val="1"/>
    <w:qFormat/>
    <w:uiPriority w:val="0"/>
    <w:rPr>
      <w:rFonts w:ascii="Tahoma" w:hAnsi="Tahoma"/>
      <w:sz w:val="21"/>
    </w:rPr>
  </w:style>
  <w:style w:type="paragraph" w:customStyle="1" w:styleId="398">
    <w:name w:val="UserStyle_307"/>
    <w:basedOn w:val="1"/>
    <w:qFormat/>
    <w:uiPriority w:val="0"/>
    <w:pPr>
      <w:ind w:firstLine="200" w:firstLineChars="200"/>
    </w:pPr>
    <w:rPr>
      <w:rFonts w:ascii="宋体" w:hAnsi="宋体"/>
      <w:spacing w:val="-2"/>
      <w:sz w:val="22"/>
      <w:szCs w:val="32"/>
    </w:rPr>
  </w:style>
  <w:style w:type="paragraph" w:customStyle="1" w:styleId="399">
    <w:name w:val="UserStyle_30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400">
    <w:name w:val="UserStyle_3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01">
    <w:name w:val="UserStyle_3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402">
    <w:name w:val="UserStyle_311"/>
    <w:basedOn w:val="1"/>
    <w:qFormat/>
    <w:uiPriority w:val="0"/>
    <w:pPr>
      <w:ind w:firstLine="420" w:firstLineChars="200"/>
    </w:pPr>
    <w:rPr>
      <w:sz w:val="21"/>
      <w:szCs w:val="24"/>
    </w:rPr>
  </w:style>
  <w:style w:type="paragraph" w:customStyle="1" w:styleId="403">
    <w:name w:val="UserStyle_312"/>
    <w:basedOn w:val="1"/>
    <w:qFormat/>
    <w:uiPriority w:val="0"/>
    <w:pPr>
      <w:ind w:firstLine="420" w:firstLineChars="200"/>
    </w:pPr>
    <w:rPr>
      <w:sz w:val="21"/>
      <w:szCs w:val="22"/>
    </w:rPr>
  </w:style>
  <w:style w:type="paragraph" w:customStyle="1" w:styleId="404">
    <w:name w:val="UserStyle_313"/>
    <w:basedOn w:val="1"/>
    <w:qFormat/>
    <w:uiPriority w:val="0"/>
    <w:pPr>
      <w:spacing w:line="400" w:lineRule="exact"/>
      <w:jc w:val="center"/>
    </w:pPr>
    <w:rPr>
      <w:sz w:val="24"/>
    </w:rPr>
  </w:style>
  <w:style w:type="paragraph" w:customStyle="1" w:styleId="405">
    <w:name w:val="UserStyle_314"/>
    <w:basedOn w:val="1"/>
    <w:qFormat/>
    <w:uiPriority w:val="0"/>
    <w:pPr>
      <w:spacing w:before="100" w:beforeAutospacing="1" w:after="100" w:afterAutospacing="1"/>
      <w:jc w:val="left"/>
    </w:pPr>
    <w:rPr>
      <w:rFonts w:ascii="宋体" w:hAnsi="宋体"/>
      <w:kern w:val="0"/>
      <w:sz w:val="18"/>
      <w:szCs w:val="18"/>
    </w:rPr>
  </w:style>
  <w:style w:type="paragraph" w:customStyle="1" w:styleId="406">
    <w:name w:val="UserStyle_315"/>
    <w:basedOn w:val="1"/>
    <w:qFormat/>
    <w:uiPriority w:val="0"/>
    <w:rPr>
      <w:sz w:val="21"/>
    </w:rPr>
  </w:style>
  <w:style w:type="paragraph" w:customStyle="1" w:styleId="407">
    <w:name w:val="UserStyle_316"/>
    <w:basedOn w:val="26"/>
    <w:next w:val="35"/>
    <w:qFormat/>
    <w:uiPriority w:val="0"/>
    <w:pPr>
      <w:tabs>
        <w:tab w:val="left" w:pos="1280"/>
        <w:tab w:val="right" w:leader="dot" w:pos="8777"/>
      </w:tabs>
      <w:spacing w:before="312" w:after="0" w:line="240" w:lineRule="auto"/>
      <w:ind w:left="851" w:hanging="851"/>
      <w:jc w:val="both"/>
    </w:pPr>
    <w:rPr>
      <w:rFonts w:ascii="黑体" w:hAnsi="宋体" w:eastAsia="黑体"/>
      <w:sz w:val="30"/>
    </w:rPr>
  </w:style>
  <w:style w:type="paragraph" w:customStyle="1" w:styleId="408">
    <w:name w:val="UserStyle_317"/>
    <w:basedOn w:val="1"/>
    <w:qFormat/>
    <w:uiPriority w:val="0"/>
    <w:pPr>
      <w:spacing w:before="100" w:beforeAutospacing="1" w:after="100" w:afterAutospacing="1"/>
      <w:jc w:val="left"/>
    </w:pPr>
    <w:rPr>
      <w:rFonts w:ascii="宋体" w:hAnsi="宋体"/>
      <w:kern w:val="0"/>
      <w:sz w:val="21"/>
    </w:rPr>
  </w:style>
  <w:style w:type="paragraph" w:customStyle="1" w:styleId="409">
    <w:name w:val="UserStyle_318"/>
    <w:basedOn w:val="1"/>
    <w:qFormat/>
    <w:uiPriority w:val="0"/>
    <w:pPr>
      <w:snapToGrid w:val="0"/>
      <w:spacing w:before="60" w:line="180" w:lineRule="exact"/>
      <w:jc w:val="center"/>
    </w:pPr>
    <w:rPr>
      <w:sz w:val="21"/>
    </w:rPr>
  </w:style>
  <w:style w:type="paragraph" w:customStyle="1" w:styleId="410">
    <w:name w:val="UserStyle_319"/>
    <w:basedOn w:val="1"/>
    <w:qFormat/>
    <w:uiPriority w:val="0"/>
    <w:pPr>
      <w:spacing w:before="60" w:after="60" w:line="360" w:lineRule="auto"/>
      <w:ind w:left="200" w:leftChars="200" w:firstLine="200" w:firstLineChars="200"/>
    </w:pPr>
    <w:rPr>
      <w:sz w:val="24"/>
    </w:rPr>
  </w:style>
  <w:style w:type="paragraph" w:customStyle="1" w:styleId="411">
    <w:name w:val="UserStyle_320"/>
    <w:basedOn w:val="1"/>
    <w:qFormat/>
    <w:uiPriority w:val="0"/>
    <w:pPr>
      <w:spacing w:line="360" w:lineRule="auto"/>
    </w:pPr>
    <w:rPr>
      <w:sz w:val="24"/>
    </w:rPr>
  </w:style>
  <w:style w:type="paragraph" w:customStyle="1" w:styleId="412">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13">
    <w:name w:val="UserStyle_3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414">
    <w:name w:val="UserStyle_323"/>
    <w:basedOn w:val="1"/>
    <w:qFormat/>
    <w:uiPriority w:val="0"/>
    <w:pPr>
      <w:ind w:firstLine="200" w:firstLineChars="200"/>
    </w:pPr>
    <w:rPr>
      <w:rFonts w:ascii="宋体" w:hAnsi="宋体"/>
      <w:spacing w:val="-2"/>
      <w:sz w:val="22"/>
      <w:szCs w:val="32"/>
    </w:rPr>
  </w:style>
  <w:style w:type="paragraph" w:customStyle="1" w:styleId="415">
    <w:name w:val="UserStyle_324"/>
    <w:basedOn w:val="1"/>
    <w:qFormat/>
    <w:uiPriority w:val="0"/>
    <w:pPr>
      <w:spacing w:before="120" w:line="360" w:lineRule="auto"/>
      <w:ind w:firstLine="480"/>
    </w:pPr>
    <w:rPr>
      <w:sz w:val="24"/>
    </w:rPr>
  </w:style>
  <w:style w:type="paragraph" w:customStyle="1" w:styleId="416">
    <w:name w:val="UserStyle_325"/>
    <w:basedOn w:val="1"/>
    <w:qFormat/>
    <w:uiPriority w:val="0"/>
    <w:pPr>
      <w:snapToGrid w:val="0"/>
      <w:spacing w:line="360" w:lineRule="exact"/>
      <w:ind w:firstLine="420" w:firstLineChars="200"/>
    </w:pPr>
  </w:style>
  <w:style w:type="paragraph" w:customStyle="1" w:styleId="417">
    <w:name w:val="UserStyle_326"/>
    <w:qFormat/>
    <w:uiPriority w:val="0"/>
    <w:pPr>
      <w:jc w:val="center"/>
      <w:textAlignment w:val="baseline"/>
    </w:pPr>
    <w:rPr>
      <w:rFonts w:ascii="Arial" w:hAnsi="Arial" w:eastAsia="宋体" w:cstheme="minorBidi"/>
      <w:b/>
      <w:sz w:val="21"/>
      <w:lang w:val="en-US" w:eastAsia="zh-CN" w:bidi="ar-SA"/>
    </w:rPr>
  </w:style>
  <w:style w:type="paragraph" w:customStyle="1" w:styleId="418">
    <w:name w:val="UserStyle_327"/>
    <w:qFormat/>
    <w:uiPriority w:val="0"/>
    <w:pPr>
      <w:textAlignment w:val="baseline"/>
    </w:pPr>
    <w:rPr>
      <w:rFonts w:ascii="宋体" w:hAnsi="Times New Roman" w:eastAsia="宋体" w:cstheme="minorBidi"/>
      <w:kern w:val="2"/>
      <w:lang w:val="en-US" w:eastAsia="zh-CN" w:bidi="ar-SA"/>
    </w:rPr>
  </w:style>
  <w:style w:type="paragraph" w:customStyle="1" w:styleId="419">
    <w:name w:val="UserStyle_328"/>
    <w:basedOn w:val="1"/>
    <w:semiHidden/>
    <w:qFormat/>
    <w:uiPriority w:val="0"/>
    <w:pPr>
      <w:snapToGrid w:val="0"/>
      <w:spacing w:line="360" w:lineRule="auto"/>
      <w:ind w:firstLine="200" w:firstLineChars="200"/>
    </w:pPr>
    <w:rPr>
      <w:rFonts w:ascii="宋体" w:hAnsi="宋体" w:eastAsia="仿宋_GB2312"/>
      <w:sz w:val="24"/>
      <w:szCs w:val="26"/>
    </w:rPr>
  </w:style>
  <w:style w:type="paragraph" w:customStyle="1" w:styleId="420">
    <w:name w:val="UserStyle_3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21">
    <w:name w:val="UserStyle_330"/>
    <w:basedOn w:val="1"/>
    <w:qFormat/>
    <w:uiPriority w:val="0"/>
    <w:pPr>
      <w:spacing w:before="100" w:beforeAutospacing="1" w:after="100" w:afterAutospacing="1"/>
      <w:jc w:val="center"/>
      <w:textAlignment w:val="center"/>
    </w:pPr>
    <w:rPr>
      <w:rFonts w:ascii="宋体" w:hAnsi="宋体"/>
      <w:color w:val="000000"/>
      <w:kern w:val="0"/>
      <w:sz w:val="24"/>
      <w:szCs w:val="24"/>
    </w:rPr>
  </w:style>
  <w:style w:type="paragraph" w:customStyle="1" w:styleId="422">
    <w:name w:val="UserStyle_331"/>
    <w:basedOn w:val="1"/>
    <w:qFormat/>
    <w:uiPriority w:val="0"/>
    <w:pPr>
      <w:ind w:firstLine="420" w:firstLineChars="200"/>
    </w:pPr>
    <w:rPr>
      <w:sz w:val="21"/>
      <w:szCs w:val="22"/>
    </w:rPr>
  </w:style>
  <w:style w:type="paragraph" w:customStyle="1" w:styleId="423">
    <w:name w:val="UserStyle_332"/>
    <w:basedOn w:val="1"/>
    <w:qFormat/>
    <w:uiPriority w:val="0"/>
    <w:pPr>
      <w:tabs>
        <w:tab w:val="left" w:pos="1050"/>
        <w:tab w:val="right" w:leader="dot" w:pos="8296"/>
      </w:tabs>
    </w:pPr>
    <w:rPr>
      <w:caps/>
      <w:spacing w:val="20"/>
      <w:sz w:val="24"/>
    </w:rPr>
  </w:style>
  <w:style w:type="paragraph" w:customStyle="1" w:styleId="424">
    <w:name w:val="UserStyle_3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25">
    <w:name w:val="UserStyle_334"/>
    <w:basedOn w:val="1"/>
    <w:qFormat/>
    <w:uiPriority w:val="0"/>
    <w:rPr>
      <w:rFonts w:ascii="Tahoma" w:hAnsi="Tahoma"/>
      <w:sz w:val="24"/>
    </w:rPr>
  </w:style>
  <w:style w:type="paragraph" w:customStyle="1" w:styleId="426">
    <w:name w:val="UserStyle_335"/>
    <w:basedOn w:val="1"/>
    <w:qFormat/>
    <w:uiPriority w:val="0"/>
    <w:pPr>
      <w:numPr>
        <w:ilvl w:val="0"/>
        <w:numId w:val="14"/>
      </w:numPr>
      <w:snapToGrid w:val="0"/>
      <w:spacing w:line="240" w:lineRule="atLeast"/>
      <w:textAlignment w:val="bottom"/>
    </w:pPr>
    <w:rPr>
      <w:rFonts w:ascii="昆仑楷体" w:eastAsia="楷体_GB2312"/>
      <w:kern w:val="0"/>
      <w:sz w:val="21"/>
    </w:rPr>
  </w:style>
  <w:style w:type="paragraph" w:customStyle="1" w:styleId="427">
    <w:name w:val="UserStyle_336"/>
    <w:basedOn w:val="1"/>
    <w:qFormat/>
    <w:uiPriority w:val="0"/>
    <w:pPr>
      <w:spacing w:before="100" w:beforeAutospacing="1" w:after="100" w:afterAutospacing="1"/>
      <w:jc w:val="left"/>
    </w:pPr>
    <w:rPr>
      <w:rFonts w:ascii="宋体" w:hAnsi="宋体"/>
      <w:kern w:val="0"/>
      <w:sz w:val="24"/>
      <w:szCs w:val="24"/>
    </w:rPr>
  </w:style>
  <w:style w:type="paragraph" w:customStyle="1" w:styleId="428">
    <w:name w:val="UserStyle_337"/>
    <w:basedOn w:val="1"/>
    <w:semiHidden/>
    <w:qFormat/>
    <w:uiPriority w:val="0"/>
    <w:pPr>
      <w:snapToGrid w:val="0"/>
      <w:spacing w:line="360" w:lineRule="auto"/>
      <w:ind w:firstLine="200" w:firstLineChars="200"/>
    </w:pPr>
    <w:rPr>
      <w:rFonts w:ascii="宋体" w:hAnsi="宋体" w:eastAsia="仿宋_GB2312"/>
      <w:sz w:val="24"/>
      <w:szCs w:val="26"/>
    </w:rPr>
  </w:style>
  <w:style w:type="paragraph" w:customStyle="1" w:styleId="429">
    <w:name w:val="UserStyle_33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30">
    <w:name w:val="UserStyle_339"/>
    <w:basedOn w:val="1"/>
    <w:qFormat/>
    <w:uiPriority w:val="0"/>
    <w:rPr>
      <w:rFonts w:ascii="Tahoma" w:hAnsi="Tahoma"/>
      <w:sz w:val="24"/>
    </w:rPr>
  </w:style>
  <w:style w:type="paragraph" w:customStyle="1" w:styleId="431">
    <w:name w:val="UserStyle_340"/>
    <w:basedOn w:val="1"/>
    <w:qFormat/>
    <w:uiPriority w:val="0"/>
    <w:pPr>
      <w:spacing w:before="100" w:beforeAutospacing="1" w:after="100" w:afterAutospacing="1"/>
      <w:jc w:val="left"/>
    </w:pPr>
    <w:rPr>
      <w:rFonts w:ascii="宋体" w:hAnsi="宋体"/>
      <w:kern w:val="0"/>
      <w:sz w:val="24"/>
      <w:szCs w:val="24"/>
    </w:rPr>
  </w:style>
  <w:style w:type="paragraph" w:customStyle="1" w:styleId="432">
    <w:name w:val="UserStyle_341"/>
    <w:basedOn w:val="1"/>
    <w:qFormat/>
    <w:uiPriority w:val="0"/>
    <w:pPr>
      <w:tabs>
        <w:tab w:val="left" w:pos="0"/>
      </w:tabs>
      <w:snapToGrid w:val="0"/>
      <w:spacing w:line="320" w:lineRule="atLeast"/>
    </w:pPr>
    <w:rPr>
      <w:rFonts w:ascii="宋体"/>
      <w:kern w:val="0"/>
      <w:sz w:val="21"/>
    </w:rPr>
  </w:style>
  <w:style w:type="paragraph" w:customStyle="1" w:styleId="433">
    <w:name w:val="UserStyle_342"/>
    <w:qFormat/>
    <w:uiPriority w:val="0"/>
    <w:pPr>
      <w:numPr>
        <w:ilvl w:val="0"/>
        <w:numId w:val="15"/>
      </w:numPr>
      <w:spacing w:line="300" w:lineRule="auto"/>
      <w:jc w:val="both"/>
    </w:pPr>
    <w:rPr>
      <w:rFonts w:ascii="Arial" w:hAnsi="Arial" w:eastAsia="宋体" w:cstheme="minorBidi"/>
      <w:sz w:val="21"/>
      <w:lang w:val="en-US" w:eastAsia="zh-CN" w:bidi="ar-SA"/>
    </w:rPr>
  </w:style>
  <w:style w:type="paragraph" w:customStyle="1" w:styleId="434">
    <w:name w:val="UserStyle_343"/>
    <w:basedOn w:val="1"/>
    <w:qFormat/>
    <w:uiPriority w:val="0"/>
    <w:pPr>
      <w:spacing w:before="100" w:beforeAutospacing="1" w:after="100" w:afterAutospacing="1"/>
      <w:jc w:val="left"/>
    </w:pPr>
    <w:rPr>
      <w:rFonts w:ascii="宋体" w:hAnsi="宋体"/>
      <w:kern w:val="0"/>
      <w:sz w:val="24"/>
      <w:szCs w:val="24"/>
    </w:rPr>
  </w:style>
  <w:style w:type="paragraph" w:customStyle="1" w:styleId="435">
    <w:name w:val="UserStyle_344"/>
    <w:basedOn w:val="1"/>
    <w:qFormat/>
    <w:uiPriority w:val="0"/>
    <w:pPr>
      <w:spacing w:line="440" w:lineRule="atLeast"/>
      <w:ind w:firstLine="510"/>
    </w:pPr>
    <w:rPr>
      <w:kern w:val="0"/>
      <w:sz w:val="24"/>
    </w:rPr>
  </w:style>
  <w:style w:type="paragraph" w:customStyle="1" w:styleId="436">
    <w:name w:val="UserStyle_345"/>
    <w:basedOn w:val="62"/>
    <w:qFormat/>
    <w:uiPriority w:val="0"/>
    <w:pPr>
      <w:spacing w:before="60" w:after="60" w:line="360" w:lineRule="auto"/>
      <w:ind w:left="0" w:firstLine="482"/>
    </w:pPr>
    <w:rPr>
      <w:rFonts w:ascii="Arial" w:hAnsi="Arial"/>
      <w:sz w:val="24"/>
    </w:rPr>
  </w:style>
  <w:style w:type="paragraph" w:customStyle="1" w:styleId="437">
    <w:name w:val="UserStyle_3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38">
    <w:name w:val="UserStyle_347"/>
    <w:basedOn w:val="27"/>
    <w:qFormat/>
    <w:uiPriority w:val="0"/>
    <w:pPr>
      <w:numPr>
        <w:numId w:val="0"/>
      </w:numPr>
      <w:snapToGrid w:val="0"/>
      <w:spacing w:before="280" w:line="372" w:lineRule="auto"/>
    </w:pPr>
  </w:style>
  <w:style w:type="paragraph" w:customStyle="1" w:styleId="439">
    <w:name w:val="UserStyle_348"/>
    <w:basedOn w:val="1"/>
    <w:qFormat/>
    <w:uiPriority w:val="0"/>
    <w:pPr>
      <w:ind w:firstLine="420" w:firstLineChars="200"/>
    </w:pPr>
    <w:rPr>
      <w:sz w:val="21"/>
      <w:szCs w:val="22"/>
    </w:rPr>
  </w:style>
  <w:style w:type="paragraph" w:customStyle="1" w:styleId="440">
    <w:name w:val="UserStyle_349"/>
    <w:basedOn w:val="1"/>
    <w:qFormat/>
    <w:uiPriority w:val="0"/>
    <w:pPr>
      <w:snapToGrid w:val="0"/>
      <w:spacing w:line="352" w:lineRule="auto"/>
    </w:pPr>
    <w:rPr>
      <w:rFonts w:ascii="Swis721 BT" w:hAnsi="Swis721 BT" w:eastAsia="黑体"/>
      <w:kern w:val="0"/>
    </w:rPr>
  </w:style>
  <w:style w:type="paragraph" w:customStyle="1" w:styleId="441">
    <w:name w:val="UserStyle_350"/>
    <w:basedOn w:val="1"/>
    <w:qFormat/>
    <w:uiPriority w:val="0"/>
    <w:pPr>
      <w:spacing w:after="160" w:line="240" w:lineRule="exact"/>
      <w:jc w:val="left"/>
    </w:pPr>
  </w:style>
  <w:style w:type="paragraph" w:customStyle="1" w:styleId="442">
    <w:name w:val="UserStyle_351"/>
    <w:basedOn w:val="1"/>
    <w:qFormat/>
    <w:uiPriority w:val="0"/>
    <w:pPr>
      <w:pBdr>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43">
    <w:name w:val="UserStyle_35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rPr>
  </w:style>
  <w:style w:type="paragraph" w:customStyle="1" w:styleId="444">
    <w:name w:val="UserStyle_3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445">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0"/>
    </w:rPr>
  </w:style>
  <w:style w:type="paragraph" w:customStyle="1" w:styleId="446">
    <w:name w:val="UserStyle_355"/>
    <w:basedOn w:val="1"/>
    <w:next w:val="1"/>
    <w:qFormat/>
    <w:uiPriority w:val="0"/>
    <w:pPr>
      <w:spacing w:line="288" w:lineRule="auto"/>
      <w:jc w:val="center"/>
    </w:pPr>
    <w:rPr>
      <w:rFonts w:ascii="宋体"/>
      <w:kern w:val="0"/>
      <w:sz w:val="18"/>
    </w:rPr>
  </w:style>
  <w:style w:type="paragraph" w:customStyle="1" w:styleId="447">
    <w:name w:val="UserStyle_356"/>
    <w:basedOn w:val="1"/>
    <w:qFormat/>
    <w:uiPriority w:val="0"/>
    <w:pPr>
      <w:ind w:firstLine="420" w:firstLineChars="200"/>
    </w:pPr>
    <w:rPr>
      <w:sz w:val="21"/>
      <w:szCs w:val="24"/>
    </w:rPr>
  </w:style>
  <w:style w:type="paragraph" w:customStyle="1" w:styleId="448">
    <w:name w:val="UserStyle_3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449">
    <w:name w:val="UserStyle_358"/>
    <w:basedOn w:val="1"/>
    <w:qFormat/>
    <w:uiPriority w:val="0"/>
    <w:pPr>
      <w:pBdr>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50">
    <w:name w:val="UserStyle_3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51">
    <w:name w:val="UserStyle_360"/>
    <w:basedOn w:val="26"/>
    <w:qFormat/>
    <w:uiPriority w:val="0"/>
    <w:pPr>
      <w:numPr>
        <w:ilvl w:val="2"/>
        <w:numId w:val="12"/>
      </w:numPr>
      <w:jc w:val="both"/>
    </w:pPr>
    <w:rPr>
      <w:sz w:val="32"/>
    </w:rPr>
  </w:style>
  <w:style w:type="paragraph" w:customStyle="1" w:styleId="452">
    <w:name w:val="UserStyle_3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olor w:val="000000"/>
      <w:kern w:val="0"/>
      <w:sz w:val="24"/>
      <w:szCs w:val="24"/>
    </w:rPr>
  </w:style>
  <w:style w:type="paragraph" w:customStyle="1" w:styleId="453">
    <w:name w:val="UserStyle_362"/>
    <w:basedOn w:val="1"/>
    <w:qFormat/>
    <w:uiPriority w:val="0"/>
    <w:pPr>
      <w:pBdr>
        <w:bottom w:val="single" w:color="000000" w:sz="4" w:space="0"/>
        <w:right w:val="single" w:color="000000" w:sz="4" w:space="0"/>
      </w:pBdr>
      <w:spacing w:before="100" w:beforeAutospacing="1" w:after="100" w:afterAutospacing="1"/>
      <w:jc w:val="left"/>
    </w:pPr>
    <w:rPr>
      <w:rFonts w:ascii="微软雅黑" w:hAnsi="微软雅黑" w:eastAsia="微软雅黑"/>
      <w:kern w:val="0"/>
      <w:sz w:val="22"/>
      <w:szCs w:val="22"/>
    </w:rPr>
  </w:style>
  <w:style w:type="paragraph" w:customStyle="1" w:styleId="454">
    <w:name w:val="UserStyle_363"/>
    <w:basedOn w:val="1"/>
    <w:qFormat/>
    <w:uiPriority w:val="0"/>
    <w:pPr>
      <w:ind w:firstLine="420" w:firstLineChars="200"/>
    </w:pPr>
    <w:rPr>
      <w:sz w:val="21"/>
      <w:szCs w:val="21"/>
    </w:rPr>
  </w:style>
  <w:style w:type="paragraph" w:customStyle="1" w:styleId="455">
    <w:name w:val="UserStyle_364"/>
    <w:basedOn w:val="1"/>
    <w:qFormat/>
    <w:uiPriority w:val="0"/>
    <w:pPr>
      <w:snapToGrid w:val="0"/>
      <w:spacing w:line="560" w:lineRule="exact"/>
      <w:ind w:firstLine="200" w:firstLineChars="200"/>
    </w:pPr>
    <w:rPr>
      <w:rFonts w:ascii="宋体" w:hAnsi="宋体"/>
      <w:szCs w:val="28"/>
    </w:rPr>
  </w:style>
  <w:style w:type="paragraph" w:customStyle="1" w:styleId="456">
    <w:name w:val="UserStyle_365"/>
    <w:basedOn w:val="1"/>
    <w:qFormat/>
    <w:uiPriority w:val="0"/>
    <w:pPr>
      <w:numPr>
        <w:ilvl w:val="0"/>
        <w:numId w:val="16"/>
      </w:numPr>
      <w:tabs>
        <w:tab w:val="left" w:pos="420"/>
      </w:tabs>
      <w:spacing w:line="288" w:lineRule="auto"/>
      <w:ind w:left="840" w:leftChars="200" w:hanging="420" w:hangingChars="200"/>
    </w:pPr>
    <w:rPr>
      <w:sz w:val="21"/>
    </w:rPr>
  </w:style>
  <w:style w:type="paragraph" w:customStyle="1" w:styleId="457">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58">
    <w:name w:val="UserStyle_367"/>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459">
    <w:name w:val="UserStyle_368"/>
    <w:basedOn w:val="1"/>
    <w:qFormat/>
    <w:uiPriority w:val="0"/>
    <w:pPr>
      <w:pBdr>
        <w:top w:val="single" w:color="000000" w:sz="18" w:space="12"/>
        <w:left w:val="single" w:color="FFFFFF" w:sz="6" w:space="12"/>
        <w:bottom w:val="single" w:color="000000" w:sz="6" w:space="12"/>
        <w:right w:val="single" w:color="FFFFFF" w:sz="6" w:space="12"/>
      </w:pBdr>
      <w:shd w:val="pct10" w:color="auto" w:fill="000000"/>
      <w:spacing w:before="120" w:after="240" w:line="288" w:lineRule="auto"/>
      <w:ind w:left="144" w:right="144"/>
      <w:jc w:val="center"/>
    </w:pPr>
    <w:rPr>
      <w:b/>
      <w:i/>
      <w:sz w:val="24"/>
    </w:rPr>
  </w:style>
  <w:style w:type="paragraph" w:customStyle="1" w:styleId="460">
    <w:name w:val="UserStyle_3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61">
    <w:name w:val="UserStyle_370"/>
    <w:next w:val="1"/>
    <w:qFormat/>
    <w:uiPriority w:val="0"/>
    <w:pPr>
      <w:snapToGrid w:val="0"/>
      <w:spacing w:before="80" w:after="320"/>
      <w:ind w:left="1134"/>
      <w:jc w:val="center"/>
      <w:textAlignment w:val="baseline"/>
    </w:pPr>
    <w:rPr>
      <w:rFonts w:ascii="Arial" w:hAnsi="Arial" w:eastAsia="黑体" w:cstheme="minorBidi"/>
      <w:sz w:val="18"/>
      <w:lang w:val="en-US" w:eastAsia="zh-CN" w:bidi="ar-SA"/>
    </w:rPr>
  </w:style>
  <w:style w:type="paragraph" w:customStyle="1" w:styleId="462">
    <w:name w:val="UserStyle_371"/>
    <w:basedOn w:val="1"/>
    <w:next w:val="1"/>
    <w:qFormat/>
    <w:uiPriority w:val="0"/>
    <w:pPr>
      <w:spacing w:line="360" w:lineRule="auto"/>
    </w:pPr>
    <w:rPr>
      <w:rFonts w:eastAsia="黑体"/>
      <w:sz w:val="20"/>
    </w:rPr>
  </w:style>
  <w:style w:type="paragraph" w:customStyle="1" w:styleId="463">
    <w:name w:val="UserStyle_372"/>
    <w:basedOn w:val="1"/>
    <w:qFormat/>
    <w:uiPriority w:val="0"/>
    <w:pPr>
      <w:spacing w:after="160" w:line="240" w:lineRule="exact"/>
      <w:jc w:val="left"/>
    </w:pPr>
  </w:style>
  <w:style w:type="paragraph" w:customStyle="1" w:styleId="464">
    <w:name w:val="UserStyle_3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kern w:val="0"/>
      <w:sz w:val="20"/>
    </w:rPr>
  </w:style>
  <w:style w:type="paragraph" w:customStyle="1" w:styleId="465">
    <w:name w:val="UserStyle_374"/>
    <w:basedOn w:val="1"/>
    <w:semiHidden/>
    <w:qFormat/>
    <w:uiPriority w:val="0"/>
    <w:pPr>
      <w:snapToGrid w:val="0"/>
      <w:spacing w:line="360" w:lineRule="auto"/>
      <w:ind w:firstLine="200" w:firstLineChars="200"/>
    </w:pPr>
    <w:rPr>
      <w:rFonts w:ascii="宋体" w:hAnsi="宋体" w:eastAsia="仿宋_GB2312"/>
      <w:sz w:val="24"/>
      <w:szCs w:val="26"/>
    </w:rPr>
  </w:style>
  <w:style w:type="paragraph" w:customStyle="1" w:styleId="466">
    <w:name w:val="UserStyle_375"/>
    <w:basedOn w:val="1"/>
    <w:qFormat/>
    <w:uiPriority w:val="0"/>
    <w:pPr>
      <w:spacing w:line="440" w:lineRule="exact"/>
      <w:ind w:firstLine="420"/>
    </w:pPr>
    <w:rPr>
      <w:rFonts w:ascii="Arial Narrow" w:hAnsi="Arial Narrow"/>
      <w:kern w:val="0"/>
      <w:sz w:val="24"/>
    </w:rPr>
  </w:style>
  <w:style w:type="paragraph" w:customStyle="1" w:styleId="467">
    <w:name w:val="UserStyle_3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68">
    <w:name w:val="UserStyle_377"/>
    <w:basedOn w:val="1"/>
    <w:qFormat/>
    <w:uiPriority w:val="0"/>
    <w:pPr>
      <w:spacing w:before="100" w:beforeAutospacing="1" w:after="100" w:afterAutospacing="1"/>
      <w:jc w:val="left"/>
    </w:pPr>
    <w:rPr>
      <w:rFonts w:ascii="宋体" w:hAnsi="宋体"/>
      <w:kern w:val="0"/>
      <w:sz w:val="24"/>
      <w:szCs w:val="24"/>
    </w:rPr>
  </w:style>
  <w:style w:type="paragraph" w:customStyle="1" w:styleId="469">
    <w:name w:val="UserStyle_378"/>
    <w:basedOn w:val="1"/>
    <w:qFormat/>
    <w:uiPriority w:val="0"/>
    <w:pPr>
      <w:spacing w:after="160" w:line="240" w:lineRule="exact"/>
      <w:jc w:val="left"/>
    </w:pPr>
    <w:rPr>
      <w:rFonts w:ascii="Verdana" w:hAnsi="Verdana"/>
      <w:kern w:val="0"/>
      <w:sz w:val="20"/>
      <w:lang w:eastAsia="en-US"/>
    </w:rPr>
  </w:style>
  <w:style w:type="paragraph" w:customStyle="1" w:styleId="470">
    <w:name w:val="UserStyle_379"/>
    <w:basedOn w:val="1"/>
    <w:qFormat/>
    <w:uiPriority w:val="0"/>
    <w:pPr>
      <w:ind w:firstLine="560" w:firstLineChars="200"/>
    </w:pPr>
    <w:rPr>
      <w:rFonts w:ascii="仿宋_GB2312" w:hAnsi="宋体" w:eastAsia="仿宋_GB2312"/>
      <w:color w:val="000000"/>
    </w:rPr>
  </w:style>
  <w:style w:type="paragraph" w:customStyle="1" w:styleId="471">
    <w:name w:val="UserStyle_380"/>
    <w:basedOn w:val="1"/>
    <w:qFormat/>
    <w:uiPriority w:val="0"/>
    <w:pPr>
      <w:spacing w:before="100" w:beforeAutospacing="1" w:after="100" w:afterAutospacing="1" w:line="360" w:lineRule="auto"/>
      <w:textAlignment w:val="top"/>
    </w:pPr>
    <w:rPr>
      <w:kern w:val="0"/>
      <w:sz w:val="24"/>
    </w:rPr>
  </w:style>
  <w:style w:type="paragraph" w:customStyle="1" w:styleId="472">
    <w:name w:val="UserStyle_381"/>
    <w:qFormat/>
    <w:uiPriority w:val="0"/>
    <w:pPr>
      <w:snapToGrid w:val="0"/>
      <w:spacing w:before="80" w:after="80"/>
      <w:textAlignment w:val="baseline"/>
    </w:pPr>
    <w:rPr>
      <w:rFonts w:ascii="Arial" w:hAnsi="Arial" w:eastAsia="宋体" w:cstheme="minorBidi"/>
      <w:kern w:val="2"/>
      <w:sz w:val="18"/>
      <w:lang w:val="en-US" w:eastAsia="zh-CN" w:bidi="ar-SA"/>
    </w:rPr>
  </w:style>
  <w:style w:type="paragraph" w:customStyle="1" w:styleId="473">
    <w:name w:val="UserStyle_382"/>
    <w:basedOn w:val="1"/>
    <w:qFormat/>
    <w:uiPriority w:val="0"/>
    <w:pPr>
      <w:ind w:firstLine="420" w:firstLineChars="200"/>
    </w:pPr>
    <w:rPr>
      <w:sz w:val="21"/>
      <w:szCs w:val="22"/>
    </w:rPr>
  </w:style>
  <w:style w:type="paragraph" w:customStyle="1" w:styleId="474">
    <w:name w:val="UserStyle_383"/>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75">
    <w:name w:val="UserStyle_384"/>
    <w:basedOn w:val="1"/>
    <w:qFormat/>
    <w:uiPriority w:val="0"/>
    <w:rPr>
      <w:kern w:val="0"/>
      <w:sz w:val="21"/>
      <w:szCs w:val="21"/>
    </w:rPr>
  </w:style>
  <w:style w:type="paragraph" w:customStyle="1" w:styleId="476">
    <w:name w:val="UserStyle_385"/>
    <w:basedOn w:val="1"/>
    <w:qFormat/>
    <w:uiPriority w:val="0"/>
    <w:pPr>
      <w:spacing w:line="360" w:lineRule="atLeast"/>
    </w:pPr>
    <w:rPr>
      <w:rFonts w:ascii="文鼎粗黑" w:eastAsia="文鼎粗黑"/>
      <w:kern w:val="0"/>
      <w:sz w:val="22"/>
    </w:rPr>
  </w:style>
  <w:style w:type="paragraph" w:customStyle="1" w:styleId="477">
    <w:name w:val="UserStyle_38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78">
    <w:name w:val="UserStyle_387"/>
    <w:basedOn w:val="1"/>
    <w:next w:val="1"/>
    <w:qFormat/>
    <w:uiPriority w:val="0"/>
    <w:pPr>
      <w:snapToGrid w:val="0"/>
      <w:spacing w:after="120"/>
      <w:ind w:firstLine="540" w:firstLineChars="257"/>
    </w:pPr>
    <w:rPr>
      <w:sz w:val="21"/>
    </w:rPr>
  </w:style>
  <w:style w:type="paragraph" w:customStyle="1" w:styleId="479">
    <w:name w:val="UserStyle_388"/>
    <w:basedOn w:val="1"/>
    <w:uiPriority w:val="0"/>
    <w:pPr>
      <w:jc w:val="left"/>
    </w:pPr>
    <w:rPr>
      <w:kern w:val="0"/>
      <w:sz w:val="24"/>
    </w:rPr>
  </w:style>
  <w:style w:type="paragraph" w:customStyle="1" w:styleId="480">
    <w:name w:val="UserStyle_3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481">
    <w:name w:val="UserStyle_390"/>
    <w:basedOn w:val="1"/>
    <w:uiPriority w:val="0"/>
    <w:pPr>
      <w:spacing w:before="100" w:beforeAutospacing="1" w:after="100" w:afterAutospacing="1"/>
      <w:jc w:val="left"/>
    </w:pPr>
    <w:rPr>
      <w:rFonts w:ascii="宋体" w:hAnsi="宋体" w:cs="宋体"/>
      <w:b/>
      <w:bCs/>
      <w:kern w:val="0"/>
      <w:sz w:val="24"/>
      <w:szCs w:val="24"/>
    </w:rPr>
  </w:style>
  <w:style w:type="paragraph" w:customStyle="1" w:styleId="482">
    <w:name w:val="UserStyle_391"/>
    <w:basedOn w:val="1"/>
    <w:qFormat/>
    <w:uiPriority w:val="0"/>
    <w:pPr>
      <w:spacing w:line="312" w:lineRule="atLeast"/>
      <w:jc w:val="center"/>
    </w:pPr>
    <w:rPr>
      <w:kern w:val="0"/>
      <w:sz w:val="18"/>
    </w:rPr>
  </w:style>
  <w:style w:type="paragraph" w:customStyle="1" w:styleId="483">
    <w:name w:val="UserStyle_392"/>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484">
    <w:name w:val="UserStyle_393"/>
    <w:basedOn w:val="1"/>
    <w:qFormat/>
    <w:uiPriority w:val="0"/>
    <w:pPr>
      <w:spacing w:before="120" w:line="360" w:lineRule="auto"/>
      <w:ind w:firstLine="480"/>
    </w:pPr>
    <w:rPr>
      <w:sz w:val="24"/>
    </w:rPr>
  </w:style>
  <w:style w:type="paragraph" w:customStyle="1" w:styleId="485">
    <w:name w:val="UserStyle_394"/>
    <w:basedOn w:val="1"/>
    <w:qFormat/>
    <w:uiPriority w:val="0"/>
    <w:pPr>
      <w:spacing w:after="160" w:line="240" w:lineRule="exact"/>
      <w:jc w:val="left"/>
    </w:pPr>
    <w:rPr>
      <w:rFonts w:ascii="Verdana" w:hAnsi="Verdana"/>
      <w:kern w:val="0"/>
      <w:sz w:val="21"/>
      <w:lang w:eastAsia="en-US"/>
    </w:rPr>
  </w:style>
  <w:style w:type="paragraph" w:customStyle="1" w:styleId="486">
    <w:name w:val="UserStyle_395"/>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87">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88">
    <w:name w:val="UserStyle_397"/>
    <w:basedOn w:val="1"/>
    <w:qFormat/>
    <w:uiPriority w:val="0"/>
    <w:rPr>
      <w:rFonts w:ascii="Tahoma" w:hAnsi="Tahoma"/>
      <w:sz w:val="24"/>
    </w:rPr>
  </w:style>
  <w:style w:type="paragraph" w:customStyle="1" w:styleId="489">
    <w:name w:val="UserStyle_398"/>
    <w:basedOn w:val="14"/>
    <w:qFormat/>
    <w:uiPriority w:val="0"/>
    <w:pPr>
      <w:spacing w:before="720"/>
    </w:pPr>
  </w:style>
  <w:style w:type="paragraph" w:customStyle="1" w:styleId="490">
    <w:name w:val="UserStyle_3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491">
    <w:name w:val="UserStyle_400"/>
    <w:qFormat/>
    <w:uiPriority w:val="0"/>
    <w:pPr>
      <w:tabs>
        <w:tab w:val="decimal" w:pos="0"/>
      </w:tabs>
      <w:textAlignment w:val="baseline"/>
    </w:pPr>
    <w:rPr>
      <w:rFonts w:ascii="Arial" w:hAnsi="Arial" w:eastAsia="宋体" w:cstheme="minorBidi"/>
      <w:sz w:val="21"/>
      <w:lang w:val="en-US" w:eastAsia="zh-CN" w:bidi="ar-SA"/>
    </w:rPr>
  </w:style>
  <w:style w:type="paragraph" w:customStyle="1" w:styleId="492">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493">
    <w:name w:val="UserStyle_40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494">
    <w:name w:val="UserStyle_4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rPr>
  </w:style>
  <w:style w:type="paragraph" w:customStyle="1" w:styleId="495">
    <w:name w:val="UserStyle_404"/>
    <w:basedOn w:val="1"/>
    <w:qFormat/>
    <w:uiPriority w:val="0"/>
    <w:rPr>
      <w:rFonts w:ascii="Tahoma" w:hAnsi="Tahoma"/>
      <w:sz w:val="24"/>
    </w:rPr>
  </w:style>
  <w:style w:type="paragraph" w:customStyle="1" w:styleId="496">
    <w:name w:val="UserStyle_405"/>
    <w:basedOn w:val="1"/>
    <w:qFormat/>
    <w:uiPriority w:val="0"/>
    <w:pPr>
      <w:spacing w:after="160" w:line="240" w:lineRule="exact"/>
      <w:jc w:val="left"/>
    </w:pPr>
    <w:rPr>
      <w:rFonts w:ascii="Verdana" w:hAnsi="Verdana" w:eastAsia="仿宋_GB2312"/>
      <w:kern w:val="0"/>
      <w:sz w:val="24"/>
      <w:lang w:eastAsia="en-US"/>
    </w:rPr>
  </w:style>
  <w:style w:type="paragraph" w:customStyle="1" w:styleId="497">
    <w:name w:val="UserStyle_406"/>
    <w:basedOn w:val="1"/>
    <w:qFormat/>
    <w:uiPriority w:val="0"/>
    <w:pPr>
      <w:tabs>
        <w:tab w:val="left" w:pos="1134"/>
        <w:tab w:val="left" w:pos="1280"/>
      </w:tabs>
      <w:snapToGrid w:val="0"/>
      <w:spacing w:line="280" w:lineRule="atLeast"/>
      <w:jc w:val="left"/>
    </w:pPr>
    <w:rPr>
      <w:rFonts w:eastAsia="PMingLiU"/>
      <w:kern w:val="0"/>
      <w:sz w:val="24"/>
      <w:lang w:eastAsia="zh-TW"/>
    </w:rPr>
  </w:style>
  <w:style w:type="paragraph" w:customStyle="1" w:styleId="498">
    <w:name w:val="UserStyle_407"/>
    <w:qFormat/>
    <w:uiPriority w:val="0"/>
    <w:pPr>
      <w:textAlignment w:val="baseline"/>
    </w:pPr>
    <w:rPr>
      <w:rFonts w:ascii="宋体" w:hAnsi="Times New Roman" w:eastAsia="宋体" w:cstheme="minorBidi"/>
      <w:color w:val="000000"/>
      <w:sz w:val="24"/>
      <w:lang w:val="en-US" w:eastAsia="zh-CN" w:bidi="ar-SA"/>
    </w:rPr>
  </w:style>
  <w:style w:type="table" w:customStyle="1" w:styleId="499">
    <w:name w:val="UserStyle_408"/>
    <w:basedOn w:val="34"/>
    <w:qFormat/>
    <w:uiPriority w:val="0"/>
    <w:tblPr>
      <w:tblCellMar>
        <w:top w:w="0" w:type="dxa"/>
        <w:left w:w="0" w:type="dxa"/>
        <w:bottom w:w="0" w:type="dxa"/>
        <w:right w:w="0" w:type="dxa"/>
      </w:tblCellMar>
    </w:tblPr>
  </w:style>
  <w:style w:type="table" w:customStyle="1" w:styleId="500">
    <w:name w:val="UserStyle_409"/>
    <w:basedOn w:val="34"/>
    <w:qFormat/>
    <w:uiPriority w:val="0"/>
    <w:tblPr>
      <w:tblCellMar>
        <w:top w:w="0" w:type="dxa"/>
        <w:left w:w="0" w:type="dxa"/>
        <w:bottom w:w="0" w:type="dxa"/>
        <w:right w:w="0" w:type="dxa"/>
      </w:tblCellMar>
    </w:tblPr>
  </w:style>
  <w:style w:type="paragraph" w:customStyle="1" w:styleId="501">
    <w:name w:val="UserStyle_410"/>
    <w:basedOn w:val="1"/>
    <w:qFormat/>
    <w:uiPriority w:val="0"/>
    <w:rPr>
      <w:rFonts w:ascii="宋体" w:hAnsi="宋体"/>
      <w:lang w:val="zh-CN" w:bidi="zh-CN"/>
    </w:rPr>
  </w:style>
  <w:style w:type="paragraph" w:customStyle="1" w:styleId="50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12996</Words>
  <Characters>13521</Characters>
  <Lines>112</Lines>
  <Paragraphs>31</Paragraphs>
  <TotalTime>5</TotalTime>
  <ScaleCrop>false</ScaleCrop>
  <LinksUpToDate>false</LinksUpToDate>
  <CharactersWithSpaces>14354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2022-06-06T12:13:00Z</dcterms:created>
  <dc:creator>ASUS</dc:creator>
  <cp:lastModifiedBy>裴洪彬</cp:lastModifiedBy>
  <dcterms:modified xsi:type="dcterms:W3CDTF">2023-02-21T03:21:42Z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6AC24536DD5E40F7B0263275CBFA23C0</vt:lpwstr>
  </property>
</Properties>
</file>