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6F5D0">
      <w:pPr>
        <w:pStyle w:val="4"/>
        <w:keepNext w:val="0"/>
        <w:keepLines w:val="0"/>
        <w:pageBreakBefore w:val="0"/>
        <w:kinsoku/>
        <w:wordWrap/>
        <w:overflowPunct/>
        <w:topLinePunct w:val="0"/>
        <w:autoSpaceDN/>
        <w:bidi w:val="0"/>
        <w:adjustRightInd/>
        <w:spacing w:before="0" w:beforeAutospacing="0" w:after="0" w:afterAutospacing="0" w:line="560" w:lineRule="exact"/>
        <w:ind w:left="338" w:hanging="370" w:hangingChars="94"/>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pacing w:val="-23"/>
          <w:w w:val="100"/>
          <w:sz w:val="44"/>
          <w:szCs w:val="44"/>
        </w:rPr>
        <w:t>重庆市彭水苗族土家族自治县经济和信息化委员会</w:t>
      </w:r>
      <w:r>
        <w:rPr>
          <w:rFonts w:hint="default" w:ascii="Times New Roman" w:hAnsi="Times New Roman" w:eastAsia="方正小标宋_GBK" w:cs="Times New Roman"/>
          <w:sz w:val="44"/>
          <w:szCs w:val="44"/>
        </w:rPr>
        <w:t>（本级）</w:t>
      </w:r>
      <w:r>
        <w:rPr>
          <w:rFonts w:hint="default" w:ascii="Times New Roman" w:hAnsi="Times New Roman" w:eastAsia="方正小标宋_GBK" w:cs="Times New Roman"/>
          <w:sz w:val="44"/>
          <w:szCs w:val="44"/>
          <w:shd w:val="clear" w:color="auto" w:fill="FFFFFF"/>
        </w:rPr>
        <w:t>2024年</w:t>
      </w:r>
      <w:bookmarkStart w:id="0" w:name="_GoBack"/>
      <w:bookmarkEnd w:id="0"/>
      <w:r>
        <w:rPr>
          <w:rFonts w:hint="default" w:ascii="Times New Roman" w:hAnsi="Times New Roman" w:eastAsia="方正小标宋_GBK" w:cs="Times New Roman"/>
          <w:sz w:val="44"/>
          <w:szCs w:val="44"/>
          <w:shd w:val="clear" w:color="auto" w:fill="FFFFFF"/>
        </w:rPr>
        <w:t>度决算情况说明</w:t>
      </w:r>
    </w:p>
    <w:p w14:paraId="21ED4059">
      <w:pPr>
        <w:pStyle w:val="4"/>
        <w:keepNext w:val="0"/>
        <w:keepLines w:val="0"/>
        <w:pageBreakBefore w:val="0"/>
        <w:kinsoku/>
        <w:wordWrap/>
        <w:overflowPunct/>
        <w:topLinePunct w:val="0"/>
        <w:autoSpaceDN/>
        <w:bidi w:val="0"/>
        <w:adjustRightInd/>
        <w:spacing w:before="0" w:beforeAutospacing="0" w:after="0" w:afterAutospacing="0" w:line="560" w:lineRule="exact"/>
        <w:ind w:left="338" w:hanging="413" w:hangingChars="94"/>
        <w:jc w:val="center"/>
        <w:textAlignment w:val="auto"/>
        <w:rPr>
          <w:rFonts w:hint="default" w:ascii="Times New Roman" w:hAnsi="Times New Roman" w:eastAsia="方正小标宋_GBK" w:cs="Times New Roman"/>
          <w:sz w:val="44"/>
          <w:szCs w:val="44"/>
          <w:shd w:val="clear" w:color="auto" w:fill="FFFFFF"/>
        </w:rPr>
      </w:pPr>
    </w:p>
    <w:p w14:paraId="72EF200A">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一、部门基本情况</w:t>
      </w:r>
    </w:p>
    <w:p w14:paraId="0664826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（一）职能职责</w:t>
      </w:r>
    </w:p>
    <w:p w14:paraId="521CAA12">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1.贯彻执行国家、市县有关工业、中小微企业、科技创新、大数据应用、军民融合、信息化发展的法律、法规、规章和方针政策，及其行业技术规范和标准，并组织实施和监督检查。</w:t>
      </w:r>
    </w:p>
    <w:p w14:paraId="1E9D7E53">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提出本县新型工业化、中小微企业、科技创新、大数据应用、军民融合、信息化发展等战略和政策建议；拟订工业、中小微企业、科技创新、大数据、人工智能、军民融合、信息化发展规划和年度计划经批准后并组织实施；协调解决新型工业化、中小微企业、科技创新、大数据应用、军民融合和信息化发展进程中的重大问题，推进工业化与信息化深度融合。</w:t>
      </w:r>
    </w:p>
    <w:p w14:paraId="0FAA0EF4">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负责提出工业、信息产业固定资产投资规模和方向并组织实施；负责全县工业和信息化技改投资项目审核、审批和核准备案；负责工业和信息化、中小微企业、科技领域各类财政专项资金的使用安排和监督管理；规划和组织重大工业和信息化建设项目，对重大技术改造项目实施监督管理。</w:t>
      </w:r>
    </w:p>
    <w:p w14:paraId="6D1C09D7">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4.监测分析工业和信息产业经济运行态势，统计并发布相关信息，进行预警预测和信息引导，协调解决行业运行发展中的有关问题并提出政策建议；负责工业应急管理、产业安全和国防动员有关工作。</w:t>
      </w:r>
    </w:p>
    <w:p w14:paraId="586242BD">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5.负责拟订年度工业调控目标并落实；承担煤、电、工业用油、气、运和重要物资平衡调度职责；负责工业品及重要物资运输的协调平衡和应急预案的编制工作；指导盐行业管理。</w:t>
      </w:r>
    </w:p>
    <w:p w14:paraId="2D69EC39">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拟订工业技术进步和高新技术产业发展规划和政策措施并组织实施，指导行业技术创新和技术进步，以先进适用技术改造提升传统产业；负责工业行业质量管理和品牌战略的推进；组织实施国家、市（县）有关科技重大专项，推进相关科研成果产业化；推动软件业、信息服务业和新兴产业发展。</w:t>
      </w:r>
    </w:p>
    <w:p w14:paraId="0EB77F6B">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承担振兴装备制造业组织协调责任，组织拟订重大技术装备发展和自主创新规划及地方性政策，依托国家和市重点工程建设，协调有关重大专项实施，推进重大技术装备的国产化，指导引进重大技术装备的消化创新。</w:t>
      </w:r>
    </w:p>
    <w:p w14:paraId="65053A70">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负责电力、天然气的行政管理；负责液化天然气、液化石油气、醇基燃料等管理职责；负责民用爆破器材的监督管理；组织实施工业的节约能源和资源综合利用、清洁生产促进政策；拟订工业节约能源和资源综合利用、清洁生产促进规划，组织协调相关重大示范工程和新产品、新技术、新设备、新材料的推广应用。</w:t>
      </w:r>
    </w:p>
    <w:p w14:paraId="7CDB2907">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9.推进工业体制改革和管理创新，提高行业综合素质和核心竞争力；指导相关行业加强安全生产管理；引导和规范生产性服务业发展，推进生产性服务业重点领域发展和重大项目建设；指导和促进创意产业发展。</w:t>
      </w:r>
    </w:p>
    <w:p w14:paraId="7477765E">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10.指导协调和促进全县工业经济发展、结构调整和产业企业布局调整；指导工业园区规划和建设，推进工业项目向园区集中，促进县域特色工业发展。</w:t>
      </w:r>
    </w:p>
    <w:p w14:paraId="1BE01C5C">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11.负责本县汽车、摩托车、装备、原材料、电子信息、消费品、建材、矿产品加工等工业系统行业管理，拟订并组织实施行业中长期规划、年度计划，执行行业技术规范。</w:t>
      </w:r>
    </w:p>
    <w:p w14:paraId="46BB4307">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pacing w:val="-20"/>
          <w:sz w:val="32"/>
          <w:szCs w:val="32"/>
        </w:rPr>
      </w:pPr>
      <w:r>
        <w:rPr>
          <w:rFonts w:hint="default" w:ascii="Times New Roman" w:hAnsi="Times New Roman" w:eastAsia="方正仿宋_GBK" w:cs="Times New Roman"/>
          <w:b w:val="0"/>
          <w:bCs w:val="0"/>
          <w:sz w:val="32"/>
          <w:szCs w:val="32"/>
        </w:rPr>
        <w:t>12.统筹推进全县信息化工作，贯彻执行相关政策并协调信息化建设中的重大问题；牵头协调电信、广播电视和计算机网络融合工作；指导协调信息资源开发利用、企业信息化以及社会和经济各领域的信息化应用推进工作；负责社会公共信息资源共享的协调管理；组织协调跨部门、跨行业、</w:t>
      </w:r>
      <w:r>
        <w:rPr>
          <w:rFonts w:hint="default" w:ascii="Times New Roman" w:hAnsi="Times New Roman" w:eastAsia="方正仿宋_GBK" w:cs="Times New Roman"/>
          <w:b w:val="0"/>
          <w:bCs w:val="0"/>
          <w:spacing w:val="-20"/>
          <w:sz w:val="32"/>
          <w:szCs w:val="32"/>
        </w:rPr>
        <w:t>跨领域的信息化应用。</w:t>
      </w:r>
    </w:p>
    <w:p w14:paraId="2D43CC7D">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13.负责信息基础设施建设的规划、协调工作；组织指导相关部门制定通信管线、公共通信网、专用信息网的规划并承担相应的管理工作；协调电信市场涉及社会公共利益的重大事宜；协调推进跨行业、跨部门面向社会服务网络的互联互通；统筹规划公用通信网，推进电信普遍服务，保障重要通信。</w:t>
      </w:r>
    </w:p>
    <w:p w14:paraId="570661A3">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14.承担工业、大数据领域信息安全管理，协调推进信息安全和信息安全保障体系建设，协同有关部门处理网络与信息安全重大事件。</w:t>
      </w:r>
    </w:p>
    <w:p w14:paraId="6FC96D4F">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15.协助市无线电管理机构开展无线电管理工作，协调处理电磁干扰事宜，维护空中电波秩序。</w:t>
      </w:r>
    </w:p>
    <w:p w14:paraId="0970D9B7">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16.负责工业、科技和信息化等领域行政执法工作，具体执法交由相关执法队伍承担，并以部门名义统一执法。</w:t>
      </w:r>
    </w:p>
    <w:p w14:paraId="3C69160C">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pacing w:val="-6"/>
          <w:sz w:val="32"/>
          <w:szCs w:val="32"/>
        </w:rPr>
      </w:pPr>
      <w:r>
        <w:rPr>
          <w:rFonts w:hint="default" w:ascii="Times New Roman" w:hAnsi="Times New Roman" w:eastAsia="方正仿宋_GBK" w:cs="Times New Roman"/>
          <w:b w:val="0"/>
          <w:bCs w:val="0"/>
          <w:sz w:val="32"/>
          <w:szCs w:val="32"/>
        </w:rPr>
        <w:t>17.负责中小微企业的行业管理和培育发展工作；承担中小微企业维权投诉和</w:t>
      </w:r>
      <w:r>
        <w:rPr>
          <w:rFonts w:hint="default" w:ascii="Times New Roman" w:hAnsi="Times New Roman" w:eastAsia="方正仿宋_GBK" w:cs="Times New Roman"/>
          <w:b w:val="0"/>
          <w:bCs w:val="0"/>
          <w:spacing w:val="-6"/>
          <w:sz w:val="32"/>
          <w:szCs w:val="32"/>
        </w:rPr>
        <w:t>减轻负担工作。</w:t>
      </w:r>
    </w:p>
    <w:p w14:paraId="476E1CB9">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18.牵头大数据应用发展工作，促进大数据政用、民用、商用；负责全县大数据应用发展管理和智慧城市建设；负责推动大数据、人工智能、信息化领域对外交流合作。</w:t>
      </w:r>
    </w:p>
    <w:p w14:paraId="44B93E36">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19.统筹推进县域科技体制改革；牵头推进全县科技管理平台和科技创新体系及能力建设；负责编制县级科技项目规划并监督实施；牵头组织实施重大技术攻关和成果应用示范；组织对外科技合作与交流工作，做好科技人才队伍建设，加强国内外专家、团队等科技智力引进工作</w:t>
      </w:r>
    </w:p>
    <w:p w14:paraId="1F1998EE">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20.牵头做好军民融合发展方面的工作；负责权限范围内国防科学技术工业和区域内军工科研生产的管理；对区域内民用飞机、民用航天、民用船舶、核电等军工主导民品实施行业管理和船舶建造质量安全监管。</w:t>
      </w:r>
    </w:p>
    <w:p w14:paraId="1CC222BA">
      <w:pPr>
        <w:keepNext w:val="0"/>
        <w:keepLines w:val="0"/>
        <w:pageBreakBefore w:val="0"/>
        <w:kinsoku/>
        <w:wordWrap/>
        <w:overflowPunct/>
        <w:topLinePunct w:val="0"/>
        <w:autoSpaceDN/>
        <w:bidi w:val="0"/>
        <w:adjustRightInd/>
        <w:spacing w:line="560" w:lineRule="exact"/>
        <w:ind w:firstLine="704" w:firstLineChars="22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21.负责编制工业、科技和信息化领域、经营管理的人才建设规划并组织实施；负责外国专家管理和工业企业培训体系的建设和管理。</w:t>
      </w:r>
    </w:p>
    <w:p w14:paraId="6B8CD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22.加强机关、直属事业单位和工业行业社会组织党建工作。</w:t>
      </w:r>
    </w:p>
    <w:p w14:paraId="0D271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 xml:space="preserve">3.完成县委和县政府交办的其他任务。 </w:t>
      </w:r>
    </w:p>
    <w:p w14:paraId="5BFCB89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（二）机构设置</w:t>
      </w:r>
    </w:p>
    <w:p w14:paraId="33ED932B">
      <w:pPr>
        <w:pStyle w:val="8"/>
        <w:keepNext w:val="0"/>
        <w:keepLines w:val="0"/>
        <w:pageBreakBefore w:val="0"/>
        <w:tabs>
          <w:tab w:val="center" w:pos="4153"/>
          <w:tab w:val="left" w:pos="7275"/>
        </w:tabs>
        <w:kinsoku/>
        <w:wordWrap/>
        <w:overflowPunct/>
        <w:topLinePunct w:val="0"/>
        <w:autoSpaceDN/>
        <w:bidi w:val="0"/>
        <w:adjustRightInd/>
        <w:spacing w:line="560" w:lineRule="exact"/>
        <w:ind w:firstLine="56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彭水苗族土家族自治县经济和信息化委员会（以下简称县经济信息委）是县政府工作部门，为正科级。加挂彭水苗族土家族自治县科学技术局（以下简称县科技局）牌子。</w:t>
      </w:r>
    </w:p>
    <w:p w14:paraId="5AC47DE8">
      <w:pPr>
        <w:pStyle w:val="8"/>
        <w:keepNext w:val="0"/>
        <w:keepLines w:val="0"/>
        <w:pageBreakBefore w:val="0"/>
        <w:tabs>
          <w:tab w:val="center" w:pos="4153"/>
          <w:tab w:val="left" w:pos="7275"/>
        </w:tabs>
        <w:kinsoku/>
        <w:wordWrap/>
        <w:overflowPunct/>
        <w:topLinePunct w:val="0"/>
        <w:autoSpaceDN/>
        <w:bidi w:val="0"/>
        <w:adjustRightInd/>
        <w:spacing w:line="560" w:lineRule="exact"/>
        <w:ind w:firstLineChars="15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县经济信息委下设8个内设机构分别是</w:t>
      </w:r>
      <w:r>
        <w:rPr>
          <w:rFonts w:hint="default" w:ascii="Times New Roman" w:hAnsi="Times New Roman" w:eastAsia="方正仿宋_GBK" w:cs="Times New Roman"/>
          <w:b w:val="0"/>
          <w:bCs w:val="0"/>
          <w:kern w:val="0"/>
          <w:sz w:val="32"/>
          <w:szCs w:val="32"/>
        </w:rPr>
        <w:t>办公室、经济运行科、投资规划科、小微企业科、</w:t>
      </w:r>
      <w:r>
        <w:rPr>
          <w:rFonts w:hint="default" w:ascii="Times New Roman" w:hAnsi="Times New Roman" w:eastAsia="方正仿宋_GBK" w:cs="Times New Roman"/>
          <w:b w:val="0"/>
          <w:bCs w:val="0"/>
          <w:sz w:val="32"/>
          <w:szCs w:val="32"/>
        </w:rPr>
        <w:t>信息化科（大数据科）、</w:t>
      </w:r>
      <w:r>
        <w:rPr>
          <w:rFonts w:hint="default" w:ascii="Times New Roman" w:hAnsi="Times New Roman" w:eastAsia="方正仿宋_GBK" w:cs="Times New Roman"/>
          <w:b w:val="0"/>
          <w:bCs w:val="0"/>
          <w:kern w:val="0"/>
          <w:sz w:val="32"/>
          <w:szCs w:val="32"/>
        </w:rPr>
        <w:t>环境资源科、政策法规科、</w:t>
      </w:r>
      <w:r>
        <w:rPr>
          <w:rFonts w:hint="default" w:ascii="Times New Roman" w:hAnsi="Times New Roman" w:eastAsia="方正仿宋_GBK" w:cs="Times New Roman"/>
          <w:b w:val="0"/>
          <w:bCs w:val="0"/>
          <w:sz w:val="32"/>
          <w:szCs w:val="32"/>
        </w:rPr>
        <w:t>科技发展科。</w:t>
      </w:r>
    </w:p>
    <w:p w14:paraId="3376AEB6">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（三）单位构成</w:t>
      </w:r>
    </w:p>
    <w:p w14:paraId="0ED01730">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从预算单位构成看，纳入本部门2024年度决算编制的二级预算单位为彭水苗族土家族自治县经济和信息化委员会（本级）</w:t>
      </w:r>
      <w:r>
        <w:rPr>
          <w:rFonts w:hint="eastAsia" w:ascii="Times New Roman" w:hAnsi="Times New Roman" w:eastAsia="方正仿宋_GBK" w:cs="Times New Roman"/>
          <w:b w:val="0"/>
          <w:bCs w:val="0"/>
          <w:color w:val="auto"/>
          <w:sz w:val="32"/>
          <w:szCs w:val="32"/>
          <w:lang w:eastAsia="zh-CN"/>
        </w:rPr>
        <w:t>。</w:t>
      </w:r>
    </w:p>
    <w:p w14:paraId="262DA50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lang w:eastAsia="zh-CN"/>
        </w:rPr>
        <w:t>二、</w:t>
      </w:r>
      <w:r>
        <w:rPr>
          <w:rStyle w:val="7"/>
          <w:rFonts w:hint="eastAsia" w:ascii="方正黑体_GBK" w:hAnsi="方正黑体_GBK" w:eastAsia="方正黑体_GBK" w:cs="方正黑体_GBK"/>
          <w:b w:val="0"/>
          <w:bCs w:val="0"/>
          <w:sz w:val="32"/>
          <w:szCs w:val="32"/>
        </w:rPr>
        <w:t>收入支出决算总体情况说明</w:t>
      </w:r>
    </w:p>
    <w:p w14:paraId="43F70FE7">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（一）收入支出决算总体情况说明</w:t>
      </w:r>
    </w:p>
    <w:p w14:paraId="57D81824">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b w:val="0"/>
          <w:bCs w:val="0"/>
          <w:sz w:val="32"/>
          <w:szCs w:val="32"/>
        </w:rPr>
        <w:t>2024年度收入总计 2023.95万元，支出总计, 2023.95万元。收支较上年决算数减少6386.04万元, 减少75.9%，主要原因是减少了6700万元城市燃气管道等老化更新改造和保障性安居工程专项。</w:t>
      </w:r>
    </w:p>
    <w:p w14:paraId="33C956CA">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b w:val="0"/>
          <w:bCs w:val="0"/>
          <w:sz w:val="32"/>
          <w:szCs w:val="32"/>
        </w:rPr>
        <w:t>2024年度收入合计2023.95万元，较上年决算数减少6386.04万元，减少75.9%，主要原因是减少了6700万元城市燃气管道等老化更新改造和保障性安居工程专项。其中：财政拨款收入2023.95万元，占100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p>
    <w:p w14:paraId="3F40B159">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3.支出情况。</w:t>
      </w:r>
      <w:r>
        <w:rPr>
          <w:rFonts w:hint="default" w:ascii="Times New Roman" w:hAnsi="Times New Roman" w:eastAsia="方正仿宋_GBK" w:cs="Times New Roman"/>
          <w:b w:val="0"/>
          <w:bCs w:val="0"/>
          <w:sz w:val="32"/>
          <w:szCs w:val="32"/>
        </w:rPr>
        <w:t>2024年度支出合计2023.95万元，较上年决算增加减少6386.04万元，减少75.9%，主要原因是主要原因是减少了6700万元城市燃气管道等老化更新改造和保障性安居工程专项。其中：基本支出642.75万元，占31.8%；项目支出1381.2万元，占68.2%。</w:t>
      </w:r>
    </w:p>
    <w:p w14:paraId="32E0092B">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7"/>
          <w:rFonts w:hint="default" w:ascii="Times New Roman" w:hAnsi="Times New Roman" w:eastAsia="方正仿宋_GBK" w:cs="Times New Roman"/>
          <w:b/>
          <w:bCs/>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万元，较上年决算数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，主要原因是单位收入和支出金额一样，单位资金使用余额。</w:t>
      </w:r>
    </w:p>
    <w:p w14:paraId="3191246B">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（二）财政拨款收入支出决算总体情况说明</w:t>
      </w:r>
    </w:p>
    <w:p w14:paraId="1EE0560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2024年度财政拨款收、支总计2023.95万元。与2023年相比，财政拨款收、支总计各减少6386.04万元，减少75.9%，主要原因是主要原因是减少了6700万元城市燃气管道等老化更新改造和保障性安居工程专项。</w:t>
      </w:r>
    </w:p>
    <w:p w14:paraId="149B1CFB">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 xml:space="preserve"> （三）一般公共预算财政拨款收入支出决算情况说明</w:t>
      </w:r>
    </w:p>
    <w:p w14:paraId="5F76D539">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b w:val="0"/>
          <w:bCs w:val="0"/>
          <w:sz w:val="32"/>
          <w:szCs w:val="32"/>
        </w:rPr>
        <w:t>2024年度一般公共预算财政拨款收入</w:t>
      </w:r>
      <w:r>
        <w:rPr>
          <w:rFonts w:hint="default" w:ascii="Times New Roman" w:hAnsi="Times New Roman" w:eastAsia="方正仿宋_GBK" w:cs="Times New Roman"/>
          <w:b w:val="0"/>
          <w:bCs w:val="0"/>
          <w:color w:val="000000"/>
          <w:sz w:val="32"/>
          <w:szCs w:val="32"/>
        </w:rPr>
        <w:t>1740.76</w:t>
      </w:r>
      <w:r>
        <w:rPr>
          <w:rFonts w:hint="default" w:ascii="Times New Roman" w:hAnsi="Times New Roman" w:eastAsia="方正仿宋_GBK" w:cs="Times New Roman"/>
          <w:b w:val="0"/>
          <w:bCs w:val="0"/>
          <w:sz w:val="32"/>
          <w:szCs w:val="32"/>
        </w:rPr>
        <w:t>万元，较上年决算数减少6669.23万元，减少79.3%。主要原因是减少了6700万元城市燃气管道等老化更新改造和保障性安居工程专项。较年初预算数增加365.46万元，增长19</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%。主要原因是增加了科学技术支出191.03万元；社会保障和就业支出17万元；资源勘探工业信息等支出35.59万元</w:t>
      </w:r>
      <w:r>
        <w:rPr>
          <w:rFonts w:hint="default" w:ascii="Times New Roman" w:hAnsi="Times New Roman" w:eastAsia="方正仿宋_GBK" w:cs="Times New Roman"/>
          <w:b w:val="0"/>
          <w:bCs w:val="0"/>
          <w:color w:val="000000"/>
          <w:sz w:val="32"/>
          <w:szCs w:val="32"/>
        </w:rPr>
        <w:t>；金融支出121万元。</w:t>
      </w:r>
      <w:r>
        <w:rPr>
          <w:rFonts w:hint="default" w:ascii="Times New Roman" w:hAnsi="Times New Roman" w:eastAsia="方正仿宋_GBK" w:cs="Times New Roman"/>
          <w:b w:val="0"/>
          <w:bCs w:val="0"/>
          <w:sz w:val="32"/>
          <w:szCs w:val="32"/>
        </w:rPr>
        <w:t>此外，无年初财政拨款结转和结余。</w:t>
      </w:r>
    </w:p>
    <w:p w14:paraId="0E728495">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rPr>
      </w:pPr>
      <w:r>
        <w:rPr>
          <w:rStyle w:val="7"/>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b w:val="0"/>
          <w:bCs w:val="0"/>
          <w:sz w:val="32"/>
          <w:szCs w:val="32"/>
        </w:rPr>
        <w:t>2024年度一般公共预算财政拨款支出</w:t>
      </w:r>
      <w:r>
        <w:rPr>
          <w:rFonts w:hint="default" w:ascii="Times New Roman" w:hAnsi="Times New Roman" w:eastAsia="方正仿宋_GBK" w:cs="Times New Roman"/>
          <w:b w:val="0"/>
          <w:bCs w:val="0"/>
          <w:color w:val="000000"/>
          <w:sz w:val="32"/>
          <w:szCs w:val="32"/>
        </w:rPr>
        <w:t>1740.76</w:t>
      </w:r>
      <w:r>
        <w:rPr>
          <w:rFonts w:hint="default" w:ascii="Times New Roman" w:hAnsi="Times New Roman" w:eastAsia="方正仿宋_GBK" w:cs="Times New Roman"/>
          <w:b w:val="0"/>
          <w:bCs w:val="0"/>
          <w:sz w:val="32"/>
          <w:szCs w:val="32"/>
        </w:rPr>
        <w:t>万元，较上年决算数减少6669.23万元，减少79.3%。主要原因是减少了6700万元城市燃气管道等老化更新改造和保障性安居工程专项。较年初预算数增加368.57万元，增长27%。主要原因是增加了科学技术支出133万元；社会保障和就业支出13.77万元；资源勘探工业信息等支出99.97万元</w:t>
      </w:r>
      <w:r>
        <w:rPr>
          <w:rFonts w:hint="default" w:ascii="Times New Roman" w:hAnsi="Times New Roman" w:eastAsia="方正仿宋_GBK" w:cs="Times New Roman"/>
          <w:b w:val="0"/>
          <w:bCs w:val="0"/>
          <w:color w:val="000000"/>
          <w:sz w:val="32"/>
          <w:szCs w:val="32"/>
        </w:rPr>
        <w:t>；金融支出121万元。</w:t>
      </w:r>
    </w:p>
    <w:p w14:paraId="11482089">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Style w:val="7"/>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b w:val="0"/>
          <w:bCs w:val="0"/>
          <w:sz w:val="32"/>
          <w:szCs w:val="32"/>
        </w:rPr>
        <w:t>2024年度年末一般公共预算财政拨款结无转和结余，较上年决算数</w:t>
      </w:r>
      <w:r>
        <w:rPr>
          <w:rFonts w:hint="default" w:ascii="Times New Roman" w:hAnsi="Times New Roman" w:eastAsia="方正仿宋_GBK" w:cs="Times New Roman"/>
          <w:b w:val="0"/>
          <w:bCs w:val="0"/>
          <w:sz w:val="32"/>
          <w:szCs w:val="32"/>
          <w:lang w:eastAsia="zh-CN"/>
        </w:rPr>
        <w:t>持平</w:t>
      </w:r>
      <w:r>
        <w:rPr>
          <w:rFonts w:hint="default" w:ascii="Times New Roman" w:hAnsi="Times New Roman" w:eastAsia="方正仿宋_GBK" w:cs="Times New Roman"/>
          <w:b w:val="0"/>
          <w:bCs w:val="0"/>
          <w:sz w:val="32"/>
          <w:szCs w:val="32"/>
        </w:rPr>
        <w:t>。</w:t>
      </w:r>
    </w:p>
    <w:p w14:paraId="4A6D9697">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b w:val="0"/>
          <w:bCs w:val="0"/>
          <w:sz w:val="32"/>
          <w:szCs w:val="32"/>
        </w:rPr>
        <w:t>本部门2024年度一般公共预算财政拨款支出主要用于以下几个方面：</w:t>
      </w:r>
    </w:p>
    <w:p w14:paraId="44882798">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（1）一般公共服务支出0.83万元，占比极小，较年初预算数增加0.83万元，增长100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%，主要原因是本年为解决信访疑难支出0.83万元，上年度无此类支出。</w:t>
      </w:r>
    </w:p>
    <w:p w14:paraId="007B13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rPr>
        <w:t>（2）科学技术支出</w:t>
      </w:r>
      <w:r>
        <w:rPr>
          <w:rFonts w:hint="default" w:ascii="Times New Roman" w:hAnsi="Times New Roman" w:eastAsia="方正仿宋_GBK" w:cs="Times New Roman"/>
          <w:b w:val="0"/>
          <w:bCs w:val="0"/>
          <w:color w:val="000000"/>
          <w:kern w:val="0"/>
          <w:sz w:val="32"/>
          <w:szCs w:val="32"/>
        </w:rPr>
        <w:t>642</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shd w:val="clear" w:color="auto" w:fill="FFFFFF"/>
        </w:rPr>
        <w:t>37</w:t>
      </w:r>
      <w:r>
        <w:rPr>
          <w:rFonts w:hint="default" w:ascii="Times New Roman" w:hAnsi="Times New Roman" w:eastAsia="方正仿宋_GBK" w:cs="Times New Roman"/>
          <w:b w:val="0"/>
          <w:bCs w:val="0"/>
          <w:sz w:val="32"/>
          <w:szCs w:val="32"/>
        </w:rPr>
        <w:t>%，较年初预算数增加</w:t>
      </w:r>
      <w:r>
        <w:rPr>
          <w:rFonts w:hint="default" w:ascii="Times New Roman" w:hAnsi="Times New Roman" w:eastAsia="方正仿宋_GBK" w:cs="Times New Roman"/>
          <w:b w:val="0"/>
          <w:bCs w:val="0"/>
          <w:color w:val="000000"/>
          <w:kern w:val="0"/>
          <w:sz w:val="32"/>
          <w:szCs w:val="32"/>
        </w:rPr>
        <w:t>133</w:t>
      </w:r>
      <w:r>
        <w:rPr>
          <w:rFonts w:hint="default" w:ascii="Times New Roman" w:hAnsi="Times New Roman" w:eastAsia="方正仿宋_GBK" w:cs="Times New Roman"/>
          <w:b w:val="0"/>
          <w:bCs w:val="0"/>
          <w:sz w:val="32"/>
          <w:szCs w:val="32"/>
        </w:rPr>
        <w:t>万元，增长</w:t>
      </w:r>
      <w:r>
        <w:rPr>
          <w:rFonts w:hint="default" w:ascii="Times New Roman" w:hAnsi="Times New Roman" w:eastAsia="方正仿宋_GBK" w:cs="Times New Roman"/>
          <w:b w:val="0"/>
          <w:bCs w:val="0"/>
          <w:sz w:val="32"/>
          <w:szCs w:val="32"/>
          <w:shd w:val="clear" w:color="auto" w:fill="FFFFFF"/>
        </w:rPr>
        <w:t>26</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rPr>
        <w:t>%，主要原因是增加了市级引导区县科技发展专项资金130万元。</w:t>
      </w:r>
    </w:p>
    <w:p w14:paraId="71D72B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shd w:val="clear" w:color="auto" w:fill="FFFFFF"/>
        </w:rPr>
        <w:t>（3）社会保障与就业支出</w:t>
      </w:r>
      <w:r>
        <w:rPr>
          <w:rFonts w:hint="default" w:ascii="Times New Roman" w:hAnsi="Times New Roman" w:eastAsia="方正仿宋_GBK" w:cs="Times New Roman"/>
          <w:b w:val="0"/>
          <w:bCs w:val="0"/>
          <w:color w:val="000000"/>
          <w:kern w:val="0"/>
          <w:sz w:val="32"/>
          <w:szCs w:val="32"/>
        </w:rPr>
        <w:t>168.96</w:t>
      </w:r>
      <w:r>
        <w:rPr>
          <w:rFonts w:hint="default" w:ascii="Times New Roman" w:hAnsi="Times New Roman" w:eastAsia="方正仿宋_GBK" w:cs="Times New Roman"/>
          <w:b w:val="0"/>
          <w:bCs w:val="0"/>
          <w:sz w:val="32"/>
          <w:szCs w:val="32"/>
          <w:shd w:val="clear" w:color="auto" w:fill="FFFFFF"/>
        </w:rPr>
        <w:t>万元，占10</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%，较年初预算数增加13.77万元，增长9</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%。主要原因是将奖金纳入了基数。</w:t>
      </w:r>
    </w:p>
    <w:p w14:paraId="0C296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shd w:val="clear" w:color="auto" w:fill="FFFFFF"/>
        </w:rPr>
        <w:t>（4）卫生健康支出</w:t>
      </w:r>
      <w:r>
        <w:rPr>
          <w:rFonts w:hint="default" w:ascii="Times New Roman" w:hAnsi="Times New Roman" w:eastAsia="方正仿宋_GBK" w:cs="Times New Roman"/>
          <w:b w:val="0"/>
          <w:bCs w:val="0"/>
          <w:color w:val="000000"/>
          <w:kern w:val="0"/>
          <w:sz w:val="32"/>
          <w:szCs w:val="32"/>
        </w:rPr>
        <w:t>27.25</w:t>
      </w:r>
      <w:r>
        <w:rPr>
          <w:rFonts w:hint="default" w:ascii="Times New Roman" w:hAnsi="Times New Roman" w:eastAsia="方正仿宋_GBK" w:cs="Times New Roman"/>
          <w:b w:val="0"/>
          <w:bCs w:val="0"/>
          <w:sz w:val="32"/>
          <w:szCs w:val="32"/>
          <w:shd w:val="clear" w:color="auto" w:fill="FFFFFF"/>
        </w:rPr>
        <w:t>万元，占2.0%，较年初预算数没有变化。</w:t>
      </w:r>
    </w:p>
    <w:p w14:paraId="11F904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shd w:val="clear" w:color="auto" w:fill="FFFFFF"/>
        </w:rPr>
        <w:t>（5）资源勘探工业信息等支出</w:t>
      </w:r>
      <w:r>
        <w:rPr>
          <w:rFonts w:hint="default" w:ascii="Times New Roman" w:hAnsi="Times New Roman" w:eastAsia="方正仿宋_GBK" w:cs="Times New Roman"/>
          <w:b w:val="0"/>
          <w:bCs w:val="0"/>
          <w:color w:val="000000"/>
          <w:kern w:val="0"/>
          <w:sz w:val="32"/>
          <w:szCs w:val="32"/>
        </w:rPr>
        <w:t>753.97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43</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较年初预算数增加99.97万元，增长15</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kern w:val="0"/>
          <w:sz w:val="32"/>
          <w:szCs w:val="32"/>
        </w:rPr>
        <w:t>主要</w:t>
      </w:r>
      <w:r>
        <w:rPr>
          <w:rFonts w:hint="default" w:ascii="Times New Roman" w:hAnsi="Times New Roman" w:eastAsia="方正仿宋_GBK" w:cs="Times New Roman"/>
          <w:b w:val="0"/>
          <w:bCs w:val="0"/>
          <w:sz w:val="32"/>
          <w:szCs w:val="32"/>
          <w:shd w:val="clear" w:color="auto" w:fill="FFFFFF"/>
        </w:rPr>
        <w:t>原因一</w:t>
      </w:r>
      <w:r>
        <w:rPr>
          <w:rFonts w:hint="default" w:ascii="Times New Roman" w:hAnsi="Times New Roman" w:eastAsia="方正仿宋_GBK" w:cs="Times New Roman"/>
          <w:b w:val="0"/>
          <w:bCs w:val="0"/>
          <w:kern w:val="0"/>
          <w:sz w:val="32"/>
          <w:szCs w:val="32"/>
        </w:rPr>
        <w:t>是增加了争资以奖代补工作经费44万元。二是公务员资金纳入五险一金基数。</w:t>
      </w:r>
    </w:p>
    <w:p w14:paraId="239CCA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rPr>
        <w:t>（6）金融支出121万元，</w:t>
      </w:r>
      <w:r>
        <w:rPr>
          <w:rFonts w:hint="default" w:ascii="Times New Roman" w:hAnsi="Times New Roman" w:eastAsia="方正仿宋_GBK" w:cs="Times New Roman"/>
          <w:b w:val="0"/>
          <w:bCs w:val="0"/>
          <w:sz w:val="32"/>
          <w:szCs w:val="32"/>
          <w:shd w:val="clear" w:color="auto" w:fill="FFFFFF"/>
        </w:rPr>
        <w:t>占7%较年初预算数增加121万元，增长100</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%。主要原因是新增</w:t>
      </w:r>
      <w:r>
        <w:rPr>
          <w:rFonts w:hint="default" w:ascii="Times New Roman" w:hAnsi="Times New Roman" w:eastAsia="方正仿宋_GBK" w:cs="Times New Roman"/>
          <w:b w:val="0"/>
          <w:bCs w:val="0"/>
          <w:sz w:val="32"/>
          <w:szCs w:val="32"/>
        </w:rPr>
        <w:t>融资担保降费奖补项目。</w:t>
      </w:r>
    </w:p>
    <w:p w14:paraId="0CB653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shd w:val="clear" w:color="auto" w:fill="FFFFFF"/>
        </w:rPr>
        <w:t>（7）</w:t>
      </w:r>
      <w:r>
        <w:rPr>
          <w:rFonts w:hint="default" w:ascii="Times New Roman" w:hAnsi="Times New Roman" w:eastAsia="方正仿宋_GBK" w:cs="Times New Roman"/>
          <w:b w:val="0"/>
          <w:bCs w:val="0"/>
          <w:color w:val="000000"/>
          <w:sz w:val="32"/>
          <w:szCs w:val="32"/>
        </w:rPr>
        <w:t>住房保障支出</w:t>
      </w:r>
      <w:r>
        <w:rPr>
          <w:rFonts w:hint="default" w:ascii="Times New Roman" w:hAnsi="Times New Roman" w:eastAsia="方正仿宋_GBK" w:cs="Times New Roman"/>
          <w:b w:val="0"/>
          <w:bCs w:val="0"/>
          <w:color w:val="000000"/>
          <w:kern w:val="0"/>
          <w:sz w:val="32"/>
          <w:szCs w:val="32"/>
        </w:rPr>
        <w:t>26.76</w:t>
      </w:r>
      <w:r>
        <w:rPr>
          <w:rFonts w:hint="default" w:ascii="Times New Roman" w:hAnsi="Times New Roman" w:eastAsia="方正仿宋_GBK" w:cs="Times New Roman"/>
          <w:b w:val="0"/>
          <w:bCs w:val="0"/>
          <w:color w:val="000000"/>
          <w:sz w:val="32"/>
          <w:szCs w:val="32"/>
        </w:rPr>
        <w:t>万元，</w:t>
      </w:r>
      <w:r>
        <w:rPr>
          <w:rFonts w:hint="default" w:ascii="Times New Roman" w:hAnsi="Times New Roman" w:eastAsia="方正仿宋_GBK" w:cs="Times New Roman"/>
          <w:b w:val="0"/>
          <w:bCs w:val="0"/>
          <w:sz w:val="32"/>
          <w:szCs w:val="32"/>
          <w:shd w:val="clear" w:color="auto" w:fill="FFFFFF"/>
        </w:rPr>
        <w:t>占2.0%，较年初预算数无变化。</w:t>
      </w:r>
    </w:p>
    <w:p w14:paraId="1F08439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（四）一般公共预算财政拨款基本支出决算情况说明</w:t>
      </w:r>
    </w:p>
    <w:p w14:paraId="36043FF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rPr>
        <w:t>2024年度一般公共预算财政拨款基本支出642.75万元。其中：人员经费</w:t>
      </w:r>
      <w:r>
        <w:rPr>
          <w:rFonts w:hint="default" w:ascii="Times New Roman" w:hAnsi="Times New Roman" w:eastAsia="方正仿宋_GBK" w:cs="Times New Roman"/>
          <w:b w:val="0"/>
          <w:bCs w:val="0"/>
          <w:color w:val="000000"/>
          <w:kern w:val="0"/>
          <w:sz w:val="32"/>
          <w:szCs w:val="32"/>
        </w:rPr>
        <w:t>533.34</w:t>
      </w:r>
      <w:r>
        <w:rPr>
          <w:rFonts w:hint="default" w:ascii="Times New Roman" w:hAnsi="Times New Roman" w:eastAsia="方正仿宋_GBK" w:cs="Times New Roman"/>
          <w:b w:val="0"/>
          <w:bCs w:val="0"/>
          <w:sz w:val="32"/>
          <w:szCs w:val="32"/>
        </w:rPr>
        <w:t>万元，较上年决算数减少166.04万元，减少23.7%，主要原因一是当年退休4人，二是2024年将原关停办人员和企业三类人员共112.98万元纳入项目支出决算。人员经费用途主要包括</w:t>
      </w:r>
      <w:r>
        <w:rPr>
          <w:rFonts w:hint="default" w:ascii="Times New Roman" w:hAnsi="Times New Roman" w:eastAsia="方正仿宋_GBK" w:cs="Times New Roman"/>
          <w:b w:val="0"/>
          <w:bCs w:val="0"/>
          <w:sz w:val="32"/>
          <w:szCs w:val="32"/>
          <w:shd w:val="clear" w:color="auto" w:fill="FFFFFF"/>
        </w:rPr>
        <w:t>基本工资、津贴补贴、奖金、绩效工资、 机关事业单位基本养老</w:t>
      </w:r>
      <w:r>
        <w:rPr>
          <w:rFonts w:hint="default" w:ascii="Times New Roman" w:hAnsi="Times New Roman" w:eastAsia="方正仿宋_GBK" w:cs="Times New Roman"/>
          <w:b w:val="0"/>
          <w:bCs w:val="0"/>
          <w:sz w:val="32"/>
          <w:szCs w:val="32"/>
        </w:rPr>
        <w:t>保险</w:t>
      </w:r>
      <w:r>
        <w:rPr>
          <w:rFonts w:hint="default" w:ascii="Times New Roman" w:hAnsi="Times New Roman" w:eastAsia="方正仿宋_GBK" w:cs="Times New Roman"/>
          <w:b w:val="0"/>
          <w:bCs w:val="0"/>
          <w:sz w:val="32"/>
          <w:szCs w:val="32"/>
          <w:shd w:val="clear" w:color="auto" w:fill="FFFFFF"/>
        </w:rPr>
        <w:t>缴费、职业年金缴费、  职工基本医疗保险缴费、</w:t>
      </w:r>
      <w:r>
        <w:rPr>
          <w:rFonts w:hint="default" w:ascii="Times New Roman" w:hAnsi="Times New Roman" w:eastAsia="方正仿宋_GBK" w:cs="Times New Roman"/>
          <w:b w:val="0"/>
          <w:bCs w:val="0"/>
          <w:color w:val="000000"/>
          <w:kern w:val="0"/>
          <w:sz w:val="32"/>
          <w:szCs w:val="32"/>
        </w:rPr>
        <w:t>住房公积金</w:t>
      </w:r>
      <w:r>
        <w:rPr>
          <w:rFonts w:hint="default" w:ascii="Times New Roman" w:hAnsi="Times New Roman" w:eastAsia="方正仿宋_GBK" w:cs="Times New Roman"/>
          <w:b w:val="0"/>
          <w:bCs w:val="0"/>
          <w:sz w:val="32"/>
          <w:szCs w:val="32"/>
          <w:shd w:val="clear" w:color="auto" w:fill="FFFFFF"/>
        </w:rPr>
        <w:t>等各种费用。</w:t>
      </w:r>
      <w:r>
        <w:rPr>
          <w:rFonts w:hint="default" w:ascii="Times New Roman" w:hAnsi="Times New Roman" w:eastAsia="方正仿宋_GBK" w:cs="Times New Roman"/>
          <w:b w:val="0"/>
          <w:bCs w:val="0"/>
          <w:sz w:val="32"/>
          <w:szCs w:val="32"/>
        </w:rPr>
        <w:t>公用经费109.41万元，较上年决算数减少23.2万元，下降17.5%，主要原因是当年退休4人，减少了公用经费支出。公用经费用途主要包括</w:t>
      </w:r>
      <w:r>
        <w:rPr>
          <w:rFonts w:hint="default" w:ascii="Times New Roman" w:hAnsi="Times New Roman" w:eastAsia="方正仿宋_GBK" w:cs="Times New Roman"/>
          <w:b w:val="0"/>
          <w:bCs w:val="0"/>
          <w:color w:val="000000"/>
          <w:sz w:val="32"/>
          <w:szCs w:val="32"/>
        </w:rPr>
        <w:t>办公费、邮电费、物业管理费、差旅费、培训费、公务接待费、劳务费、工会经费、公务用车运行维护费等。</w:t>
      </w:r>
    </w:p>
    <w:p w14:paraId="0013D34F">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（五）政府性基金预算收支决算情况说明</w:t>
      </w:r>
    </w:p>
    <w:p w14:paraId="6F7CDD3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2024年度政府性基金预算财政拨款本年收入</w:t>
      </w:r>
      <w:r>
        <w:rPr>
          <w:rFonts w:hint="default" w:ascii="Times New Roman" w:hAnsi="Times New Roman" w:eastAsia="方正仿宋_GBK" w:cs="Times New Roman"/>
          <w:b w:val="0"/>
          <w:bCs w:val="0"/>
          <w:color w:val="000000"/>
          <w:sz w:val="32"/>
          <w:szCs w:val="32"/>
        </w:rPr>
        <w:t>283.19</w:t>
      </w:r>
      <w:r>
        <w:rPr>
          <w:rFonts w:hint="default" w:ascii="Times New Roman" w:hAnsi="Times New Roman" w:eastAsia="方正仿宋_GBK" w:cs="Times New Roman"/>
          <w:b w:val="0"/>
          <w:bCs w:val="0"/>
          <w:sz w:val="32"/>
          <w:szCs w:val="32"/>
        </w:rPr>
        <w:t>万元，较上年决算数增加</w:t>
      </w:r>
      <w:r>
        <w:rPr>
          <w:rFonts w:hint="default" w:ascii="Times New Roman" w:hAnsi="Times New Roman" w:eastAsia="方正仿宋_GBK" w:cs="Times New Roman"/>
          <w:b w:val="0"/>
          <w:bCs w:val="0"/>
          <w:color w:val="000000"/>
          <w:sz w:val="32"/>
          <w:szCs w:val="32"/>
        </w:rPr>
        <w:t>283.19</w:t>
      </w:r>
      <w:r>
        <w:rPr>
          <w:rFonts w:hint="default" w:ascii="Times New Roman" w:hAnsi="Times New Roman" w:eastAsia="方正仿宋_GBK" w:cs="Times New Roman"/>
          <w:b w:val="0"/>
          <w:bCs w:val="0"/>
          <w:sz w:val="32"/>
          <w:szCs w:val="32"/>
        </w:rPr>
        <w:t>万元，增长100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%，主要原因是当年新增项目。本年支出</w:t>
      </w:r>
      <w:r>
        <w:rPr>
          <w:rFonts w:hint="default" w:ascii="Times New Roman" w:hAnsi="Times New Roman" w:eastAsia="方正仿宋_GBK" w:cs="Times New Roman"/>
          <w:b w:val="0"/>
          <w:bCs w:val="0"/>
          <w:color w:val="000000"/>
          <w:sz w:val="32"/>
          <w:szCs w:val="32"/>
        </w:rPr>
        <w:t>283.19</w:t>
      </w:r>
      <w:r>
        <w:rPr>
          <w:rFonts w:hint="default" w:ascii="Times New Roman" w:hAnsi="Times New Roman" w:eastAsia="方正仿宋_GBK" w:cs="Times New Roman"/>
          <w:b w:val="0"/>
          <w:bCs w:val="0"/>
          <w:sz w:val="32"/>
          <w:szCs w:val="32"/>
        </w:rPr>
        <w:t>万元，较上年决算数增加</w:t>
      </w:r>
      <w:r>
        <w:rPr>
          <w:rFonts w:hint="default" w:ascii="Times New Roman" w:hAnsi="Times New Roman" w:eastAsia="方正仿宋_GBK" w:cs="Times New Roman"/>
          <w:b w:val="0"/>
          <w:bCs w:val="0"/>
          <w:color w:val="000000"/>
          <w:sz w:val="32"/>
          <w:szCs w:val="32"/>
        </w:rPr>
        <w:t>283.19</w:t>
      </w:r>
      <w:r>
        <w:rPr>
          <w:rFonts w:hint="default" w:ascii="Times New Roman" w:hAnsi="Times New Roman" w:eastAsia="方正仿宋_GBK" w:cs="Times New Roman"/>
          <w:b w:val="0"/>
          <w:bCs w:val="0"/>
          <w:sz w:val="32"/>
          <w:szCs w:val="32"/>
        </w:rPr>
        <w:t>万元，增长100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%，主要原因是主要原因是当年新增项目。</w:t>
      </w:r>
    </w:p>
    <w:p w14:paraId="5230294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（六）国有资本经营预算财政拨款支出决算情况说明</w:t>
      </w:r>
    </w:p>
    <w:p w14:paraId="3BCB68E5">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本部门2024度无国有资本经营预算财政拨款支出。</w:t>
      </w:r>
    </w:p>
    <w:p w14:paraId="0317A521">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三、“三公”经费情况说明</w:t>
      </w:r>
    </w:p>
    <w:p w14:paraId="25536D4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（一）“三公”经费支出总体情况说明</w:t>
      </w:r>
    </w:p>
    <w:p w14:paraId="4F3E8F9F">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9.1万元，较年初预算数减少16.8万元，主要原因是为落实过紧日子政策，减少三公经费的开支，并且在本年度公务用车的使用减少，相应燃油费等开支减少。较上年决算支出数减少0.08元，下降0.</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w:t>
      </w:r>
    </w:p>
    <w:p w14:paraId="09334E7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（二）“三公”经费分项支出情况</w:t>
      </w:r>
    </w:p>
    <w:p w14:paraId="26FC0BB0">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2024年度本部门因公出国（境）费用</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万元，主要是用于本单位无因公出国出境的情况。费用支出较年初预算数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，较上年支出数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，主要原因是本单位无因公出国出境的情况。 </w:t>
      </w:r>
    </w:p>
    <w:p w14:paraId="5A9739EB">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万元，费用支出较年初预算数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，主要原因是本年度单位无新购置公务车的情况。较上年支出数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，主要原因是本年度单位无新购置公务车的情况。 </w:t>
      </w:r>
    </w:p>
    <w:p w14:paraId="0C66D6A6">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车运行维护费5.33万元，主要用于单位公务车的维修保养、停车洗车等费用。费用支出较年初预算数减少10.57万元，下降66.4%，主要原因是公务车外出出差减少，相对上一年度，公务车磨损减少。较上年支出数减少2.67万元，下降33.3%，主要原因是公务车外出出差减少，相对上一年度，公务车磨损减少。</w:t>
      </w:r>
    </w:p>
    <w:p w14:paraId="7DC29FB5">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接待费3.77万元，主要用于接待外来企业和客商的住宿和用餐。费用支出较年初预算数减少6.23万元，下降62.3%。较上年支出数增加2.57万元，增长216.5%。主要原因是本年度加大招商引资力度，加之上年度基数太小。</w:t>
      </w:r>
    </w:p>
    <w:p w14:paraId="3EEF7BFF">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（三）“三公”经费实物量情况</w:t>
      </w:r>
    </w:p>
    <w:p w14:paraId="39C01915">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2024年度本部门因公出国（境）共计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辆，公务车保有量为2辆；国内公务接待46批次408人，其中：国内外事接待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人。2024年本部门人均接待费29元，车均购置费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万元，车均维护费2.67万元。</w:t>
      </w:r>
    </w:p>
    <w:p w14:paraId="5283CB5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四、其他需要说明的事项</w:t>
      </w:r>
    </w:p>
    <w:p w14:paraId="0C5EB32B">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（一）财政拨款会议费和培训费情况说明</w:t>
      </w:r>
    </w:p>
    <w:p w14:paraId="2CE5FA67">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本年度会议费支出0.24万元，较上年决算数增加0.12万元，增长92</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%。本年度培训费支出3.98万元，较上年决算数增加0.38万元，增长10.</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w:t>
      </w:r>
    </w:p>
    <w:p w14:paraId="50066C36">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（二）机关运行经费情况说明</w:t>
      </w:r>
    </w:p>
    <w:p w14:paraId="20CB2C89">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本年度机关运行经费109.41万元，上年决算数减少23.21万元，减少17.5%。</w:t>
      </w:r>
    </w:p>
    <w:p w14:paraId="0BED503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（三）国有资产占用情况说明</w:t>
      </w:r>
    </w:p>
    <w:p w14:paraId="5B72F046">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截至2024年12月31日，本部门共有车辆2辆，其中，副部（省）级及以上领导用车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辆、应急保障用车2辆、执法执勤用车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203E72E5">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（四）政府采购支出情况说明</w:t>
      </w:r>
    </w:p>
    <w:p w14:paraId="140248EA">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00"/>
        </w:rPr>
      </w:pPr>
      <w:r>
        <w:rPr>
          <w:rFonts w:hint="default" w:ascii="Times New Roman" w:hAnsi="Times New Roman" w:eastAsia="方正仿宋_GBK" w:cs="Times New Roman"/>
          <w:b w:val="0"/>
          <w:bCs w:val="0"/>
          <w:sz w:val="32"/>
          <w:szCs w:val="32"/>
          <w:shd w:val="clear" w:color="auto" w:fill="FFFFFF"/>
        </w:rPr>
        <w:t>  2024年度我单位未发生政府采购事项，无相关经费支出。</w:t>
      </w:r>
    </w:p>
    <w:p w14:paraId="43818B9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五、专业名词解释</w:t>
      </w:r>
    </w:p>
    <w:p w14:paraId="1DF0487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eastAsia" w:ascii="方正楷体_GBK" w:hAnsi="方正楷体_GBK" w:eastAsia="方正楷体_GBK" w:cs="方正楷体_GBK"/>
          <w:b w:val="0"/>
          <w:bCs w:val="0"/>
          <w:sz w:val="32"/>
          <w:szCs w:val="32"/>
        </w:rPr>
        <w:t>（一）财政拨款收入</w:t>
      </w:r>
      <w:r>
        <w:rPr>
          <w:rFonts w:hint="eastAsia" w:ascii="方正楷体_GBK" w:hAnsi="方正楷体_GBK" w:eastAsia="方正楷体_GBK" w:cs="方正楷体_GBK"/>
          <w:b w:val="0"/>
          <w:bCs w:val="0"/>
          <w:sz w:val="32"/>
          <w:szCs w:val="32"/>
        </w:rPr>
        <w:t>：</w:t>
      </w:r>
      <w:r>
        <w:rPr>
          <w:rFonts w:hint="default" w:ascii="Times New Roman" w:hAnsi="Times New Roman" w:eastAsia="方正仿宋_GBK" w:cs="Times New Roman"/>
          <w:b w:val="0"/>
          <w:bCs w:val="0"/>
          <w:sz w:val="32"/>
          <w:szCs w:val="32"/>
        </w:rPr>
        <w:t>指本年度从本级财政部门取得的财政拨款，包括一般公共预算财政拨款和政府性基金预算财政拨款。</w:t>
      </w:r>
    </w:p>
    <w:p w14:paraId="35A57BF6">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（二）事业收入：</w:t>
      </w:r>
      <w:r>
        <w:rPr>
          <w:rFonts w:hint="default" w:ascii="Times New Roman" w:hAnsi="Times New Roman" w:eastAsia="方正仿宋_GBK" w:cs="Times New Roman"/>
          <w:b w:val="0"/>
          <w:bCs w:val="0"/>
          <w:sz w:val="32"/>
          <w:szCs w:val="32"/>
        </w:rPr>
        <w:t>指事业单位开展专业业务活动及其辅助活动取得的现金流入；事业单位收到的财政专户实际核拨的教育收费等资金在此反映。</w:t>
      </w:r>
    </w:p>
    <w:p w14:paraId="15E95E66">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（三）经营收入：</w:t>
      </w:r>
      <w:r>
        <w:rPr>
          <w:rFonts w:hint="default" w:ascii="Times New Roman" w:hAnsi="Times New Roman" w:eastAsia="方正仿宋_GBK" w:cs="Times New Roman"/>
          <w:b w:val="0"/>
          <w:bCs w:val="0"/>
          <w:sz w:val="32"/>
          <w:szCs w:val="32"/>
        </w:rPr>
        <w:t>指事业单位在专业业务活动及其辅助活动之外开展非独立核算经营活动取得的现金流入。</w:t>
      </w:r>
    </w:p>
    <w:p w14:paraId="37F1AAB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（四）其他收入：</w:t>
      </w:r>
      <w:r>
        <w:rPr>
          <w:rFonts w:hint="default" w:ascii="Times New Roman" w:hAnsi="Times New Roman" w:eastAsia="方正仿宋_GBK" w:cs="Times New Roman"/>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0549F44">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（五）使用非财政拨款结余：</w:t>
      </w:r>
      <w:r>
        <w:rPr>
          <w:rFonts w:hint="default" w:ascii="Times New Roman" w:hAnsi="Times New Roman" w:eastAsia="方正仿宋_GBK" w:cs="Times New Roman"/>
          <w:b w:val="0"/>
          <w:bCs w:val="0"/>
          <w:sz w:val="32"/>
          <w:szCs w:val="32"/>
        </w:rPr>
        <w:t>指单位在当年的“财政拨款收入”、“事业收入”、“经营收入”、“其他收入”等不足以安排当年支出的情况下，使用以前年度积累的非财政拨款结余弥补本年度收支缺口的资金。</w:t>
      </w:r>
    </w:p>
    <w:p w14:paraId="2F2E0D4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（六）年初结转和结余：</w:t>
      </w:r>
      <w:r>
        <w:rPr>
          <w:rFonts w:hint="default" w:ascii="Times New Roman" w:hAnsi="Times New Roman" w:eastAsia="方正仿宋_GBK" w:cs="Times New Roman"/>
          <w:b w:val="0"/>
          <w:bCs w:val="0"/>
          <w:sz w:val="32"/>
          <w:szCs w:val="32"/>
        </w:rPr>
        <w:t>指单位上年结转本年使用的基本支出结转、项目支出结转和结余、经营结余。</w:t>
      </w:r>
    </w:p>
    <w:p w14:paraId="5DE3297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（七）结余分配：</w:t>
      </w:r>
      <w:r>
        <w:rPr>
          <w:rFonts w:hint="default" w:ascii="Times New Roman" w:hAnsi="Times New Roman" w:eastAsia="方正仿宋_GBK" w:cs="Times New Roman"/>
          <w:b w:val="0"/>
          <w:bCs w:val="0"/>
          <w:sz w:val="32"/>
          <w:szCs w:val="32"/>
        </w:rPr>
        <w:t>指单位按照国家有关规定，缴纳所得税、提取专用基金、转入非财政拨款结余等当年结余的分配情况。</w:t>
      </w:r>
    </w:p>
    <w:p w14:paraId="4C323F4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（八）年末结转和结余：</w:t>
      </w:r>
      <w:r>
        <w:rPr>
          <w:rFonts w:hint="default" w:ascii="Times New Roman" w:hAnsi="Times New Roman" w:eastAsia="方正仿宋_GBK" w:cs="Times New Roman"/>
          <w:b w:val="0"/>
          <w:bCs w:val="0"/>
          <w:sz w:val="32"/>
          <w:szCs w:val="32"/>
        </w:rPr>
        <w:t>指单位结转下年的基本支出结转、项目支出结转和结余、经营结余。</w:t>
      </w:r>
    </w:p>
    <w:p w14:paraId="26EFC8D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（九）基本支出：</w:t>
      </w:r>
      <w:r>
        <w:rPr>
          <w:rFonts w:hint="default" w:ascii="Times New Roman" w:hAnsi="Times New Roman" w:eastAsia="方正仿宋_GBK" w:cs="Times New Roman"/>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F84CB5">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（十）项目支出：</w:t>
      </w:r>
      <w:r>
        <w:rPr>
          <w:rFonts w:hint="default" w:ascii="Times New Roman" w:hAnsi="Times New Roman" w:eastAsia="方正仿宋_GBK" w:cs="Times New Roman"/>
          <w:b w:val="0"/>
          <w:bCs w:val="0"/>
          <w:sz w:val="32"/>
          <w:szCs w:val="32"/>
        </w:rPr>
        <w:t>指在基本支出之外为完成特定行政任务和事业发展目标所发生的支出。</w:t>
      </w:r>
    </w:p>
    <w:p w14:paraId="78357A0A">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（十一）经营支出：</w:t>
      </w:r>
      <w:r>
        <w:rPr>
          <w:rFonts w:hint="default" w:ascii="Times New Roman" w:hAnsi="Times New Roman" w:eastAsia="方正仿宋_GBK" w:cs="Times New Roman"/>
          <w:b w:val="0"/>
          <w:bCs w:val="0"/>
          <w:sz w:val="32"/>
          <w:szCs w:val="32"/>
        </w:rPr>
        <w:t>指事业单位在专业业务活动及其辅助活动之外开展非独立核算经营活动发生的支出。</w:t>
      </w:r>
    </w:p>
    <w:p w14:paraId="60F131E2">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（十二）“三公”经费：</w:t>
      </w:r>
      <w:r>
        <w:rPr>
          <w:rFonts w:hint="default" w:ascii="Times New Roman" w:hAnsi="Times New Roman" w:eastAsia="方正仿宋_GBK" w:cs="Times New Roman"/>
          <w:b w:val="0"/>
          <w:bCs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97CB30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（十三）机关运行经费：</w:t>
      </w:r>
      <w:r>
        <w:rPr>
          <w:rFonts w:hint="default" w:ascii="Times New Roman" w:hAnsi="Times New Roman" w:eastAsia="方正仿宋_GBK" w:cs="Times New Roman"/>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w:t>
      </w:r>
      <w:r>
        <w:rPr>
          <w:rStyle w:val="7"/>
          <w:rFonts w:hint="default" w:ascii="方正楷体_GBK" w:hAnsi="方正楷体_GBK" w:eastAsia="方正楷体_GBK" w:cs="方正楷体_GBK"/>
          <w:b w:val="0"/>
          <w:bCs w:val="0"/>
          <w:sz w:val="32"/>
          <w:szCs w:val="32"/>
        </w:rPr>
        <w:t>用。</w:t>
      </w:r>
    </w:p>
    <w:p w14:paraId="1D87606B">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（十四）工资福利支出（支出经济分类科目类级）：</w:t>
      </w:r>
      <w:r>
        <w:rPr>
          <w:rFonts w:hint="default" w:ascii="Times New Roman" w:hAnsi="Times New Roman" w:eastAsia="方正仿宋_GBK" w:cs="Times New Roman"/>
          <w:b w:val="0"/>
          <w:bCs w:val="0"/>
          <w:sz w:val="32"/>
          <w:szCs w:val="32"/>
        </w:rPr>
        <w:t>反映单位开支的在职职工和编制外长期聘用人员的各类劳动报酬，以及为上述人员缴纳的各项社会保险费等。</w:t>
      </w:r>
    </w:p>
    <w:p w14:paraId="20BDAEC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（十五）商品和服务支出（支出经济分类科目类级）：</w:t>
      </w:r>
      <w:r>
        <w:rPr>
          <w:rFonts w:hint="default" w:ascii="Times New Roman" w:hAnsi="Times New Roman" w:eastAsia="方正仿宋_GBK" w:cs="Times New Roman"/>
          <w:b w:val="0"/>
          <w:bCs w:val="0"/>
          <w:sz w:val="32"/>
          <w:szCs w:val="32"/>
        </w:rPr>
        <w:t>反映单位购买商品和服务的支出（不包括用于购置固定资产的支出、战略性和应急储备支出）。</w:t>
      </w:r>
    </w:p>
    <w:p w14:paraId="7A6198B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（十六）对个人和家庭的补助（支出经济分类科目类级）：</w:t>
      </w:r>
      <w:r>
        <w:rPr>
          <w:rFonts w:hint="default" w:ascii="Times New Roman" w:hAnsi="Times New Roman" w:eastAsia="方正仿宋_GBK" w:cs="Times New Roman"/>
          <w:b w:val="0"/>
          <w:bCs w:val="0"/>
          <w:sz w:val="32"/>
          <w:szCs w:val="32"/>
        </w:rPr>
        <w:t>反映用于对个人和家庭的补助支出。</w:t>
      </w:r>
    </w:p>
    <w:p w14:paraId="1E5C188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（十七）其他资本性支出（支出经济分类科目类级）：</w:t>
      </w:r>
      <w:r>
        <w:rPr>
          <w:rFonts w:hint="default" w:ascii="Times New Roman" w:hAnsi="Times New Roman" w:eastAsia="方正仿宋_GBK" w:cs="Times New Roman"/>
          <w:b w:val="0"/>
          <w:bCs w:val="0"/>
          <w:sz w:val="32"/>
          <w:szCs w:val="32"/>
        </w:rPr>
        <w:t>反映非各级发展与改革部门集中安排的用于购置固定资产、战略性和应急性储备、土地和无形资产，以及构建基础设施、大型修缮和财政支持企业更新改造所发生的支出。</w:t>
      </w:r>
    </w:p>
    <w:p w14:paraId="57DB1504">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六、决算公开联系方式及信息反馈渠道</w:t>
      </w:r>
    </w:p>
    <w:p w14:paraId="01460B4F">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本单位决算公开信息反馈和联系方式：</w:t>
      </w:r>
    </w:p>
    <w:p w14:paraId="713EE1A4">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联系人：庹垒强       02378442291  </w:t>
      </w:r>
    </w:p>
    <w:p w14:paraId="70C4ED53">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AC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2F521">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0EA2F521">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236D2"/>
    <w:rsid w:val="00023E88"/>
    <w:rsid w:val="0002514C"/>
    <w:rsid w:val="00031082"/>
    <w:rsid w:val="00041502"/>
    <w:rsid w:val="00047568"/>
    <w:rsid w:val="00047B56"/>
    <w:rsid w:val="00054942"/>
    <w:rsid w:val="00054E11"/>
    <w:rsid w:val="00057B0E"/>
    <w:rsid w:val="000740B1"/>
    <w:rsid w:val="00077A1C"/>
    <w:rsid w:val="00084E44"/>
    <w:rsid w:val="00096DCD"/>
    <w:rsid w:val="000A0A18"/>
    <w:rsid w:val="000A0CB6"/>
    <w:rsid w:val="000A7E34"/>
    <w:rsid w:val="000B39B2"/>
    <w:rsid w:val="000B5C74"/>
    <w:rsid w:val="000D06C0"/>
    <w:rsid w:val="000E2C07"/>
    <w:rsid w:val="000F40CA"/>
    <w:rsid w:val="00101195"/>
    <w:rsid w:val="00104470"/>
    <w:rsid w:val="00125A4C"/>
    <w:rsid w:val="00130542"/>
    <w:rsid w:val="001377E9"/>
    <w:rsid w:val="001430C8"/>
    <w:rsid w:val="00146737"/>
    <w:rsid w:val="00154D80"/>
    <w:rsid w:val="001552B2"/>
    <w:rsid w:val="001766F0"/>
    <w:rsid w:val="00180E14"/>
    <w:rsid w:val="0018586B"/>
    <w:rsid w:val="0019254A"/>
    <w:rsid w:val="00192A6F"/>
    <w:rsid w:val="001976C5"/>
    <w:rsid w:val="001A31F1"/>
    <w:rsid w:val="001B3233"/>
    <w:rsid w:val="001C0510"/>
    <w:rsid w:val="001D19DA"/>
    <w:rsid w:val="001D6199"/>
    <w:rsid w:val="001E5933"/>
    <w:rsid w:val="001F2DC2"/>
    <w:rsid w:val="0020187D"/>
    <w:rsid w:val="00211C82"/>
    <w:rsid w:val="0023701C"/>
    <w:rsid w:val="002514EC"/>
    <w:rsid w:val="00256F9F"/>
    <w:rsid w:val="002638D4"/>
    <w:rsid w:val="00277979"/>
    <w:rsid w:val="00295CAB"/>
    <w:rsid w:val="00297D26"/>
    <w:rsid w:val="002A1074"/>
    <w:rsid w:val="002A7A81"/>
    <w:rsid w:val="002B2EBE"/>
    <w:rsid w:val="002D0413"/>
    <w:rsid w:val="002D10CC"/>
    <w:rsid w:val="002D1C8E"/>
    <w:rsid w:val="002D2AD0"/>
    <w:rsid w:val="002D532E"/>
    <w:rsid w:val="002E4081"/>
    <w:rsid w:val="002F5F0F"/>
    <w:rsid w:val="00312ABF"/>
    <w:rsid w:val="003172C5"/>
    <w:rsid w:val="00317FE8"/>
    <w:rsid w:val="00333505"/>
    <w:rsid w:val="003336E0"/>
    <w:rsid w:val="003423BC"/>
    <w:rsid w:val="00353156"/>
    <w:rsid w:val="00363EB1"/>
    <w:rsid w:val="00370FA5"/>
    <w:rsid w:val="00394B16"/>
    <w:rsid w:val="003961BE"/>
    <w:rsid w:val="003B207D"/>
    <w:rsid w:val="003D09E0"/>
    <w:rsid w:val="003D4AE8"/>
    <w:rsid w:val="003D6A71"/>
    <w:rsid w:val="003F1409"/>
    <w:rsid w:val="003F69F4"/>
    <w:rsid w:val="00400393"/>
    <w:rsid w:val="00417AC4"/>
    <w:rsid w:val="0044191E"/>
    <w:rsid w:val="00444972"/>
    <w:rsid w:val="00455757"/>
    <w:rsid w:val="00463A3B"/>
    <w:rsid w:val="00467B1B"/>
    <w:rsid w:val="00477B88"/>
    <w:rsid w:val="004847BD"/>
    <w:rsid w:val="00485E4E"/>
    <w:rsid w:val="00491809"/>
    <w:rsid w:val="004A2EE6"/>
    <w:rsid w:val="004A5982"/>
    <w:rsid w:val="004B4946"/>
    <w:rsid w:val="004D3EAF"/>
    <w:rsid w:val="004F2F5C"/>
    <w:rsid w:val="004F7122"/>
    <w:rsid w:val="004F7EA2"/>
    <w:rsid w:val="0050057A"/>
    <w:rsid w:val="005020AE"/>
    <w:rsid w:val="00542808"/>
    <w:rsid w:val="0055068B"/>
    <w:rsid w:val="0055421C"/>
    <w:rsid w:val="00556811"/>
    <w:rsid w:val="00582C69"/>
    <w:rsid w:val="0058565A"/>
    <w:rsid w:val="00593437"/>
    <w:rsid w:val="00595247"/>
    <w:rsid w:val="005B1790"/>
    <w:rsid w:val="005B2776"/>
    <w:rsid w:val="005B7104"/>
    <w:rsid w:val="005C7301"/>
    <w:rsid w:val="005C74A6"/>
    <w:rsid w:val="005D7E8E"/>
    <w:rsid w:val="005E263A"/>
    <w:rsid w:val="005E3609"/>
    <w:rsid w:val="005E6096"/>
    <w:rsid w:val="005E7517"/>
    <w:rsid w:val="005E7670"/>
    <w:rsid w:val="005F7478"/>
    <w:rsid w:val="006121B2"/>
    <w:rsid w:val="0061593D"/>
    <w:rsid w:val="00647E6F"/>
    <w:rsid w:val="00660BE1"/>
    <w:rsid w:val="00660C95"/>
    <w:rsid w:val="00661740"/>
    <w:rsid w:val="00662DC5"/>
    <w:rsid w:val="006713E6"/>
    <w:rsid w:val="00677DB4"/>
    <w:rsid w:val="00681180"/>
    <w:rsid w:val="00681D39"/>
    <w:rsid w:val="006945E4"/>
    <w:rsid w:val="006A47DA"/>
    <w:rsid w:val="006B6818"/>
    <w:rsid w:val="006D1ECF"/>
    <w:rsid w:val="006D3378"/>
    <w:rsid w:val="006D3E78"/>
    <w:rsid w:val="006D5AB8"/>
    <w:rsid w:val="00706436"/>
    <w:rsid w:val="007108F3"/>
    <w:rsid w:val="00715B14"/>
    <w:rsid w:val="00723114"/>
    <w:rsid w:val="00740190"/>
    <w:rsid w:val="00741163"/>
    <w:rsid w:val="00744524"/>
    <w:rsid w:val="00753E80"/>
    <w:rsid w:val="007555C2"/>
    <w:rsid w:val="0075583A"/>
    <w:rsid w:val="00761A03"/>
    <w:rsid w:val="00764677"/>
    <w:rsid w:val="00764FA9"/>
    <w:rsid w:val="0077161D"/>
    <w:rsid w:val="00791703"/>
    <w:rsid w:val="0079253F"/>
    <w:rsid w:val="0079460C"/>
    <w:rsid w:val="007D12D4"/>
    <w:rsid w:val="007D1DF9"/>
    <w:rsid w:val="007D6AD8"/>
    <w:rsid w:val="007F3047"/>
    <w:rsid w:val="007F3CCE"/>
    <w:rsid w:val="007F4343"/>
    <w:rsid w:val="00806523"/>
    <w:rsid w:val="008066C8"/>
    <w:rsid w:val="008107D7"/>
    <w:rsid w:val="00813805"/>
    <w:rsid w:val="0082263B"/>
    <w:rsid w:val="00824F17"/>
    <w:rsid w:val="008268B7"/>
    <w:rsid w:val="00827A6A"/>
    <w:rsid w:val="00834742"/>
    <w:rsid w:val="00863536"/>
    <w:rsid w:val="00883226"/>
    <w:rsid w:val="00883A57"/>
    <w:rsid w:val="00884EAB"/>
    <w:rsid w:val="00885A62"/>
    <w:rsid w:val="00894933"/>
    <w:rsid w:val="008B0775"/>
    <w:rsid w:val="008B1A67"/>
    <w:rsid w:val="008B3900"/>
    <w:rsid w:val="008B476D"/>
    <w:rsid w:val="008B5D0F"/>
    <w:rsid w:val="008C4E8F"/>
    <w:rsid w:val="008D1ACB"/>
    <w:rsid w:val="008D2370"/>
    <w:rsid w:val="008D4578"/>
    <w:rsid w:val="008E008F"/>
    <w:rsid w:val="008F1FD3"/>
    <w:rsid w:val="008F21C4"/>
    <w:rsid w:val="008F63C3"/>
    <w:rsid w:val="00901A08"/>
    <w:rsid w:val="00902A0C"/>
    <w:rsid w:val="00910C15"/>
    <w:rsid w:val="009155B8"/>
    <w:rsid w:val="009203BD"/>
    <w:rsid w:val="00950535"/>
    <w:rsid w:val="009554D6"/>
    <w:rsid w:val="00962690"/>
    <w:rsid w:val="00981A62"/>
    <w:rsid w:val="009972E1"/>
    <w:rsid w:val="009A39C2"/>
    <w:rsid w:val="009A6A75"/>
    <w:rsid w:val="009A71DC"/>
    <w:rsid w:val="009B66C1"/>
    <w:rsid w:val="009B74B9"/>
    <w:rsid w:val="009C257E"/>
    <w:rsid w:val="009C52DA"/>
    <w:rsid w:val="009D3E8F"/>
    <w:rsid w:val="009E18EE"/>
    <w:rsid w:val="009E7182"/>
    <w:rsid w:val="009E71DE"/>
    <w:rsid w:val="009F50CA"/>
    <w:rsid w:val="009F57FA"/>
    <w:rsid w:val="00A05A45"/>
    <w:rsid w:val="00A104AC"/>
    <w:rsid w:val="00A15C9F"/>
    <w:rsid w:val="00A15DC1"/>
    <w:rsid w:val="00A2231A"/>
    <w:rsid w:val="00A26F5C"/>
    <w:rsid w:val="00A34C5E"/>
    <w:rsid w:val="00A363B2"/>
    <w:rsid w:val="00A4224C"/>
    <w:rsid w:val="00A460E3"/>
    <w:rsid w:val="00A51E79"/>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33CF"/>
    <w:rsid w:val="00AF463A"/>
    <w:rsid w:val="00B06F55"/>
    <w:rsid w:val="00B132EB"/>
    <w:rsid w:val="00B35CAD"/>
    <w:rsid w:val="00B47335"/>
    <w:rsid w:val="00B72B4B"/>
    <w:rsid w:val="00B94F06"/>
    <w:rsid w:val="00B96327"/>
    <w:rsid w:val="00BA2523"/>
    <w:rsid w:val="00BB53AA"/>
    <w:rsid w:val="00BB66B2"/>
    <w:rsid w:val="00BC026B"/>
    <w:rsid w:val="00BD609C"/>
    <w:rsid w:val="00BF0A6D"/>
    <w:rsid w:val="00BF0C7C"/>
    <w:rsid w:val="00BF103F"/>
    <w:rsid w:val="00BF57C8"/>
    <w:rsid w:val="00C05FEC"/>
    <w:rsid w:val="00C15259"/>
    <w:rsid w:val="00C50A02"/>
    <w:rsid w:val="00C56C42"/>
    <w:rsid w:val="00C6635D"/>
    <w:rsid w:val="00C708B7"/>
    <w:rsid w:val="00C70EA1"/>
    <w:rsid w:val="00C77F4F"/>
    <w:rsid w:val="00C86328"/>
    <w:rsid w:val="00C876E8"/>
    <w:rsid w:val="00CC12D9"/>
    <w:rsid w:val="00CC1B42"/>
    <w:rsid w:val="00CC3157"/>
    <w:rsid w:val="00CD5038"/>
    <w:rsid w:val="00CE2E5F"/>
    <w:rsid w:val="00CF09B4"/>
    <w:rsid w:val="00D11A69"/>
    <w:rsid w:val="00D329C3"/>
    <w:rsid w:val="00D4263A"/>
    <w:rsid w:val="00D4534B"/>
    <w:rsid w:val="00D525EC"/>
    <w:rsid w:val="00D60A72"/>
    <w:rsid w:val="00D63528"/>
    <w:rsid w:val="00D6543A"/>
    <w:rsid w:val="00D70F74"/>
    <w:rsid w:val="00D83D02"/>
    <w:rsid w:val="00D92B5C"/>
    <w:rsid w:val="00DA4A93"/>
    <w:rsid w:val="00DA4FF5"/>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2786"/>
    <w:rsid w:val="00E4349C"/>
    <w:rsid w:val="00E45D51"/>
    <w:rsid w:val="00E512B7"/>
    <w:rsid w:val="00E650CD"/>
    <w:rsid w:val="00EA7797"/>
    <w:rsid w:val="00EC1981"/>
    <w:rsid w:val="00EC57B2"/>
    <w:rsid w:val="00EE357E"/>
    <w:rsid w:val="00F03980"/>
    <w:rsid w:val="00F05736"/>
    <w:rsid w:val="00F11F2A"/>
    <w:rsid w:val="00F16050"/>
    <w:rsid w:val="00F30167"/>
    <w:rsid w:val="00F34724"/>
    <w:rsid w:val="00F3692D"/>
    <w:rsid w:val="00F45E99"/>
    <w:rsid w:val="00F54CA8"/>
    <w:rsid w:val="00F667F8"/>
    <w:rsid w:val="00F73440"/>
    <w:rsid w:val="00F8050B"/>
    <w:rsid w:val="00F844B0"/>
    <w:rsid w:val="00F92501"/>
    <w:rsid w:val="00F96BAD"/>
    <w:rsid w:val="00FA609C"/>
    <w:rsid w:val="00FA745B"/>
    <w:rsid w:val="00FB1E2E"/>
    <w:rsid w:val="00FD26D6"/>
    <w:rsid w:val="00FD6FA6"/>
    <w:rsid w:val="00FE3BC8"/>
    <w:rsid w:val="00FE5FF0"/>
    <w:rsid w:val="23C055CD"/>
    <w:rsid w:val="3BFD357E"/>
    <w:rsid w:val="7CBA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Calibri" w:hAnsi="Calibri" w:eastAsia="宋体" w:cs="Times New Roman"/>
      <w:sz w:val="18"/>
      <w:szCs w:val="18"/>
    </w:rPr>
  </w:style>
  <w:style w:type="paragraph" w:customStyle="1" w:styleId="10">
    <w:name w:val="列出段落2"/>
    <w:basedOn w:val="1"/>
    <w:qFormat/>
    <w:uiPriority w:val="0"/>
    <w:pPr>
      <w:widowControl/>
      <w:ind w:firstLine="420" w:firstLineChars="200"/>
      <w:jc w:val="left"/>
    </w:pPr>
    <w:rPr>
      <w:rFonts w:ascii="宋体" w:hAnsi="宋体"/>
      <w:kern w:val="0"/>
      <w:sz w:val="24"/>
      <w:szCs w:val="24"/>
    </w:rPr>
  </w:style>
  <w:style w:type="character" w:customStyle="1" w:styleId="11">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6301</Words>
  <Characters>6852</Characters>
  <Lines>50</Lines>
  <Paragraphs>14</Paragraphs>
  <TotalTime>13</TotalTime>
  <ScaleCrop>false</ScaleCrop>
  <LinksUpToDate>false</LinksUpToDate>
  <CharactersWithSpaces>6877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2025-09-08T03:24:00Z</dcterms:created>
  <dc:creator>彭水苗族土家族自治县经济和信息化委员会</dc:creator>
  <cp:lastModifiedBy>董长生</cp:lastModifiedBy>
  <dcterms:modified xsi:type="dcterms:W3CDTF">2025-09-09T07:46:04Z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eyJoZGlkIjoiYzQwMDAxOTJiMzUwYjk4NWMzNTJkMjhjNjU2Y2RhNGUiLCJ1c2VySWQiOiIxNDc4ODMxOTIxIn0=</vt:lpwstr>
  </property>
  <property fmtid="{D5CDD505-2E9C-101B-9397-08002B2CF9AE}" pid="3" name="KSOProductBuildVer">
    <vt:lpwstr>2052-12.1.0.22529</vt:lpwstr>
  </property>
  <property fmtid="{D5CDD505-2E9C-101B-9397-08002B2CF9AE}" pid="4" name="ICV">
    <vt:lpwstr>C660FEE217E047F6A4B80F08E5CD61CF_12</vt:lpwstr>
  </property>
</Properties>
</file>