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411" w:rsidRDefault="00F71100">
      <w:pPr>
        <w:pStyle w:val="a5"/>
        <w:spacing w:before="0" w:beforeAutospacing="0" w:after="0" w:afterAutospacing="0" w:line="560" w:lineRule="exact"/>
        <w:jc w:val="center"/>
        <w:rPr>
          <w:rFonts w:ascii="Times New Roman" w:eastAsia="方正小标宋_GBK" w:hAnsi="Times New Roman" w:cs="Times New Roman"/>
          <w:w w:val="90"/>
          <w:sz w:val="44"/>
          <w:szCs w:val="44"/>
        </w:rPr>
      </w:pPr>
      <w:r>
        <w:rPr>
          <w:rFonts w:ascii="Times New Roman" w:eastAsia="方正小标宋_GBK" w:hAnsi="Times New Roman" w:cs="Times New Roman"/>
          <w:w w:val="90"/>
          <w:sz w:val="44"/>
          <w:szCs w:val="44"/>
        </w:rPr>
        <w:t>重庆市彭水苗族土家族自治县</w:t>
      </w:r>
      <w:r>
        <w:rPr>
          <w:rFonts w:ascii="Times New Roman" w:eastAsia="方正小标宋_GBK" w:hAnsi="Times New Roman" w:cs="Times New Roman" w:hint="eastAsia"/>
          <w:w w:val="90"/>
          <w:sz w:val="44"/>
          <w:szCs w:val="44"/>
        </w:rPr>
        <w:t>生产力促进中心</w:t>
      </w:r>
    </w:p>
    <w:p w:rsidR="00B11411" w:rsidRDefault="00F71100">
      <w:pPr>
        <w:pStyle w:val="a5"/>
        <w:spacing w:before="0" w:beforeAutospacing="0" w:after="0" w:afterAutospacing="0" w:line="560" w:lineRule="exact"/>
        <w:jc w:val="center"/>
        <w:rPr>
          <w:rFonts w:ascii="Times New Roman" w:eastAsia="方正小标宋_GBK" w:hAnsi="Times New Roman" w:cs="Times New Roman"/>
          <w:w w:val="90"/>
          <w:sz w:val="44"/>
          <w:szCs w:val="44"/>
        </w:rPr>
      </w:pPr>
      <w:r>
        <w:rPr>
          <w:rFonts w:ascii="Times New Roman" w:eastAsia="方正小标宋_GBK" w:hAnsi="Times New Roman" w:cs="Times New Roman"/>
          <w:w w:val="90"/>
          <w:sz w:val="44"/>
          <w:szCs w:val="44"/>
        </w:rPr>
        <w:t>202</w:t>
      </w:r>
      <w:r>
        <w:rPr>
          <w:rFonts w:ascii="Times New Roman" w:eastAsia="方正小标宋_GBK" w:hAnsi="Times New Roman" w:cs="Times New Roman" w:hint="eastAsia"/>
          <w:w w:val="90"/>
          <w:sz w:val="44"/>
          <w:szCs w:val="44"/>
        </w:rPr>
        <w:t>4</w:t>
      </w:r>
      <w:r>
        <w:rPr>
          <w:rFonts w:ascii="Times New Roman" w:eastAsia="方正小标宋_GBK" w:hAnsi="Times New Roman" w:cs="Times New Roman"/>
          <w:w w:val="90"/>
          <w:sz w:val="44"/>
          <w:szCs w:val="44"/>
        </w:rPr>
        <w:t>年度决算情况说明</w:t>
      </w:r>
    </w:p>
    <w:p w:rsidR="00B11411" w:rsidRDefault="00B11411">
      <w:pPr>
        <w:pStyle w:val="a5"/>
        <w:spacing w:before="0" w:beforeAutospacing="0" w:after="0" w:afterAutospacing="0" w:line="560" w:lineRule="exact"/>
        <w:ind w:firstLineChars="200" w:firstLine="562"/>
        <w:rPr>
          <w:rStyle w:val="a6"/>
          <w:rFonts w:asciiTheme="minorEastAsia" w:eastAsiaTheme="minorEastAsia" w:hAnsiTheme="minorEastAsia" w:cstheme="minorEastAsia"/>
          <w:sz w:val="28"/>
          <w:szCs w:val="28"/>
        </w:rPr>
      </w:pPr>
    </w:p>
    <w:p w:rsidR="00B11411" w:rsidRDefault="00F71100">
      <w:pPr>
        <w:spacing w:line="560"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hint="eastAsia"/>
          <w:sz w:val="32"/>
        </w:rPr>
        <w:t>一、部门基本情况</w:t>
      </w:r>
    </w:p>
    <w:p w:rsidR="00B11411" w:rsidRDefault="00F7110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（一）职能职责</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1.</w:t>
      </w:r>
      <w:r>
        <w:rPr>
          <w:rFonts w:ascii="Times New Roman" w:eastAsia="方正仿宋_GBK" w:hAnsi="Times New Roman" w:hint="eastAsia"/>
          <w:sz w:val="32"/>
        </w:rPr>
        <w:t>宣传贯彻国家和重庆市的有关科技工作的相关政策。</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2.</w:t>
      </w:r>
      <w:r>
        <w:rPr>
          <w:rFonts w:ascii="Times New Roman" w:eastAsia="方正仿宋_GBK" w:hAnsi="Times New Roman" w:hint="eastAsia"/>
          <w:sz w:val="32"/>
        </w:rPr>
        <w:t>协助企业开展各类科技项目的组织申报、受理、初审、跟踪管理及组织绩效评估工作。</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3.</w:t>
      </w:r>
      <w:r>
        <w:rPr>
          <w:rFonts w:ascii="Times New Roman" w:eastAsia="方正仿宋_GBK" w:hAnsi="Times New Roman" w:hint="eastAsia"/>
          <w:sz w:val="32"/>
        </w:rPr>
        <w:t>组织与研究开发机构的交流与合作，建立“产、学、研”平台，为产业发展提供科技、政策法规、技术市场、投融资、人才和管理等方面的信息与咨询服务。</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4.</w:t>
      </w:r>
      <w:r>
        <w:rPr>
          <w:rFonts w:ascii="Times New Roman" w:eastAsia="方正仿宋_GBK" w:hAnsi="Times New Roman" w:hint="eastAsia"/>
          <w:sz w:val="32"/>
        </w:rPr>
        <w:t>开展新技术、新产品和新工艺推广，开展企业诊断、项目可靠性论证、决策咨询、政策法规研究等服务。</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5.</w:t>
      </w:r>
      <w:r>
        <w:rPr>
          <w:rFonts w:ascii="Times New Roman" w:eastAsia="方正仿宋_GBK" w:hAnsi="Times New Roman" w:hint="eastAsia"/>
          <w:sz w:val="32"/>
        </w:rPr>
        <w:t>协助科技主管部门组织先进适用技术培训、企业管理培训、农民工转移就业技能培训。</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6.</w:t>
      </w:r>
      <w:r>
        <w:rPr>
          <w:rFonts w:ascii="Times New Roman" w:eastAsia="方正仿宋_GBK" w:hAnsi="Times New Roman" w:hint="eastAsia"/>
          <w:sz w:val="32"/>
        </w:rPr>
        <w:t>组织开展科技成果登记及科技统计工作。</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7.</w:t>
      </w:r>
      <w:r>
        <w:rPr>
          <w:rFonts w:ascii="Times New Roman" w:eastAsia="方正仿宋_GBK" w:hAnsi="Times New Roman" w:hint="eastAsia"/>
          <w:sz w:val="32"/>
        </w:rPr>
        <w:t>协助做好科技智力引进和外国专家引进工作，做好市县级科技特派员和国家级三区人才引进选派工作。</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8.</w:t>
      </w:r>
      <w:r>
        <w:rPr>
          <w:rFonts w:ascii="Times New Roman" w:eastAsia="方正仿宋_GBK" w:hAnsi="Times New Roman" w:hint="eastAsia"/>
          <w:sz w:val="32"/>
        </w:rPr>
        <w:t>完成主管部门交办的其他任务。</w:t>
      </w:r>
    </w:p>
    <w:p w:rsidR="00B11411" w:rsidRDefault="00F7110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（二）机构设置</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彭水苗族土家族自治县生产力促进中心，为县经济信息委管理的副科级公益一类事业单位。</w:t>
      </w:r>
    </w:p>
    <w:p w:rsidR="00B11411" w:rsidRDefault="00F7110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（三）单位构成</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从预算单位构成看，纳入本单位</w:t>
      </w:r>
      <w:r>
        <w:rPr>
          <w:rFonts w:ascii="Times New Roman" w:eastAsia="方正仿宋_GBK" w:hAnsi="Times New Roman" w:hint="eastAsia"/>
          <w:sz w:val="32"/>
        </w:rPr>
        <w:t>2024</w:t>
      </w:r>
      <w:r>
        <w:rPr>
          <w:rFonts w:ascii="Times New Roman" w:eastAsia="方正仿宋_GBK" w:hAnsi="Times New Roman" w:hint="eastAsia"/>
          <w:sz w:val="32"/>
        </w:rPr>
        <w:t>年度决算编制的</w:t>
      </w:r>
      <w:bookmarkStart w:id="0" w:name="_GoBack"/>
      <w:bookmarkEnd w:id="0"/>
      <w:r>
        <w:rPr>
          <w:rFonts w:ascii="Times New Roman" w:eastAsia="方正仿宋_GBK" w:hAnsi="Times New Roman" w:hint="eastAsia"/>
          <w:sz w:val="32"/>
        </w:rPr>
        <w:lastRenderedPageBreak/>
        <w:t>二级预算单位为彭水苗族土家族自治县生产力促进中心。</w:t>
      </w:r>
    </w:p>
    <w:p w:rsidR="00B11411" w:rsidRDefault="00F71100">
      <w:pPr>
        <w:spacing w:line="560"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hint="eastAsia"/>
          <w:sz w:val="32"/>
        </w:rPr>
        <w:t>二、</w:t>
      </w:r>
      <w:r>
        <w:rPr>
          <w:rFonts w:ascii="方正黑体_GBK" w:eastAsia="方正黑体_GBK" w:hAnsi="方正黑体_GBK" w:cs="方正黑体_GBK"/>
          <w:sz w:val="32"/>
        </w:rPr>
        <w:t>收入支出决算总体情况说明</w:t>
      </w:r>
    </w:p>
    <w:p w:rsidR="00B11411" w:rsidRDefault="00F7110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（一）收入支出决算总体情况说明</w:t>
      </w:r>
    </w:p>
    <w:p w:rsidR="00B11411" w:rsidRDefault="00F71100">
      <w:pPr>
        <w:spacing w:line="560" w:lineRule="exact"/>
        <w:ind w:firstLineChars="200" w:firstLine="643"/>
        <w:rPr>
          <w:rFonts w:ascii="Times New Roman" w:eastAsia="方正仿宋_GBK" w:hAnsi="Times New Roman"/>
          <w:sz w:val="32"/>
        </w:rPr>
      </w:pPr>
      <w:r>
        <w:rPr>
          <w:rFonts w:ascii="Times New Roman" w:eastAsia="方正仿宋_GBK" w:hAnsi="Times New Roman"/>
          <w:b/>
          <w:bCs/>
          <w:sz w:val="32"/>
        </w:rPr>
        <w:t>1.</w:t>
      </w:r>
      <w:r>
        <w:rPr>
          <w:rFonts w:ascii="Times New Roman" w:eastAsia="方正仿宋_GBK" w:hAnsi="Times New Roman"/>
          <w:b/>
          <w:bCs/>
          <w:sz w:val="32"/>
        </w:rPr>
        <w:t>总体情况。</w:t>
      </w:r>
      <w:r>
        <w:rPr>
          <w:rFonts w:ascii="Times New Roman" w:eastAsia="方正仿宋_GBK" w:hAnsi="Times New Roman"/>
          <w:sz w:val="32"/>
        </w:rPr>
        <w:t>2024</w:t>
      </w:r>
      <w:r>
        <w:rPr>
          <w:rFonts w:ascii="Times New Roman" w:eastAsia="方正仿宋_GBK" w:hAnsi="Times New Roman"/>
          <w:sz w:val="32"/>
        </w:rPr>
        <w:t>年度收入总计</w:t>
      </w:r>
      <w:r>
        <w:rPr>
          <w:rFonts w:ascii="Times New Roman" w:eastAsia="方正仿宋_GBK" w:hAnsi="Times New Roman"/>
          <w:sz w:val="32"/>
        </w:rPr>
        <w:t>233.12</w:t>
      </w:r>
      <w:r>
        <w:rPr>
          <w:rFonts w:ascii="Times New Roman" w:eastAsia="方正仿宋_GBK" w:hAnsi="Times New Roman"/>
          <w:sz w:val="32"/>
        </w:rPr>
        <w:t>万元，支出总计</w:t>
      </w:r>
      <w:r>
        <w:rPr>
          <w:rFonts w:ascii="Times New Roman" w:eastAsia="方正仿宋_GBK" w:hAnsi="Times New Roman"/>
          <w:sz w:val="32"/>
        </w:rPr>
        <w:t>233.12</w:t>
      </w:r>
      <w:r>
        <w:rPr>
          <w:rFonts w:ascii="Times New Roman" w:eastAsia="方正仿宋_GBK" w:hAnsi="Times New Roman"/>
          <w:sz w:val="32"/>
        </w:rPr>
        <w:t>万元。收支较上年决算数增加</w:t>
      </w:r>
      <w:r>
        <w:rPr>
          <w:rFonts w:ascii="Times New Roman" w:eastAsia="方正仿宋_GBK" w:hAnsi="Times New Roman"/>
          <w:sz w:val="32"/>
        </w:rPr>
        <w:t>47.41</w:t>
      </w:r>
      <w:r>
        <w:rPr>
          <w:rFonts w:ascii="Times New Roman" w:eastAsia="方正仿宋_GBK" w:hAnsi="Times New Roman"/>
          <w:sz w:val="32"/>
        </w:rPr>
        <w:t>元</w:t>
      </w:r>
      <w:r>
        <w:rPr>
          <w:rFonts w:ascii="Times New Roman" w:eastAsia="方正仿宋_GBK" w:hAnsi="Times New Roman"/>
          <w:sz w:val="32"/>
        </w:rPr>
        <w:t>,</w:t>
      </w:r>
      <w:r>
        <w:rPr>
          <w:rFonts w:ascii="Times New Roman" w:eastAsia="方正仿宋_GBK" w:hAnsi="Times New Roman"/>
          <w:sz w:val="32"/>
        </w:rPr>
        <w:t>增加</w:t>
      </w:r>
      <w:r>
        <w:rPr>
          <w:rFonts w:ascii="Times New Roman" w:eastAsia="方正仿宋_GBK" w:hAnsi="Times New Roman"/>
          <w:sz w:val="32"/>
        </w:rPr>
        <w:t>25.53%</w:t>
      </w:r>
      <w:r>
        <w:rPr>
          <w:rFonts w:ascii="Times New Roman" w:eastAsia="方正仿宋_GBK" w:hAnsi="Times New Roman"/>
          <w:sz w:val="32"/>
        </w:rPr>
        <w:t>，主要原因是机构改革单位撒并，原大数据事务中心、县经济信息委执法支队人员工资统发部分由生产力促进中心发放。</w:t>
      </w:r>
    </w:p>
    <w:p w:rsidR="00B11411" w:rsidRDefault="00F71100">
      <w:pPr>
        <w:spacing w:line="560" w:lineRule="exact"/>
        <w:ind w:firstLineChars="200" w:firstLine="643"/>
        <w:rPr>
          <w:rFonts w:ascii="Times New Roman" w:eastAsia="方正仿宋_GBK" w:hAnsi="Times New Roman"/>
          <w:sz w:val="32"/>
        </w:rPr>
      </w:pPr>
      <w:r>
        <w:rPr>
          <w:rFonts w:ascii="Times New Roman" w:eastAsia="方正仿宋_GBK" w:hAnsi="Times New Roman"/>
          <w:b/>
          <w:bCs/>
          <w:sz w:val="32"/>
        </w:rPr>
        <w:t>2.</w:t>
      </w:r>
      <w:r>
        <w:rPr>
          <w:rFonts w:ascii="Times New Roman" w:eastAsia="方正仿宋_GBK" w:hAnsi="Times New Roman"/>
          <w:b/>
          <w:bCs/>
          <w:sz w:val="32"/>
        </w:rPr>
        <w:t>收入情况。</w:t>
      </w:r>
      <w:r>
        <w:rPr>
          <w:rFonts w:ascii="Times New Roman" w:eastAsia="方正仿宋_GBK" w:hAnsi="Times New Roman"/>
          <w:sz w:val="32"/>
        </w:rPr>
        <w:t>2024</w:t>
      </w:r>
      <w:r>
        <w:rPr>
          <w:rFonts w:ascii="Times New Roman" w:eastAsia="方正仿宋_GBK" w:hAnsi="Times New Roman"/>
          <w:sz w:val="32"/>
        </w:rPr>
        <w:t>年度收入合计</w:t>
      </w:r>
      <w:r>
        <w:rPr>
          <w:rFonts w:ascii="Times New Roman" w:eastAsia="方正仿宋_GBK" w:hAnsi="Times New Roman"/>
          <w:sz w:val="32"/>
        </w:rPr>
        <w:t>233.12</w:t>
      </w:r>
      <w:r>
        <w:rPr>
          <w:rFonts w:ascii="Times New Roman" w:eastAsia="方正仿宋_GBK" w:hAnsi="Times New Roman"/>
          <w:sz w:val="32"/>
        </w:rPr>
        <w:t>万元，较上年决算数增加</w:t>
      </w:r>
      <w:r>
        <w:rPr>
          <w:rFonts w:ascii="Times New Roman" w:eastAsia="方正仿宋_GBK" w:hAnsi="Times New Roman"/>
          <w:sz w:val="32"/>
        </w:rPr>
        <w:t>47.41</w:t>
      </w:r>
      <w:r>
        <w:rPr>
          <w:rFonts w:ascii="Times New Roman" w:eastAsia="方正仿宋_GBK" w:hAnsi="Times New Roman"/>
          <w:sz w:val="32"/>
        </w:rPr>
        <w:t>万元，增加</w:t>
      </w:r>
      <w:r>
        <w:rPr>
          <w:rFonts w:ascii="Times New Roman" w:eastAsia="方正仿宋_GBK" w:hAnsi="Times New Roman"/>
          <w:sz w:val="32"/>
        </w:rPr>
        <w:t>25.5%</w:t>
      </w:r>
      <w:r>
        <w:rPr>
          <w:rFonts w:ascii="Times New Roman" w:eastAsia="方正仿宋_GBK" w:hAnsi="Times New Roman"/>
          <w:sz w:val="32"/>
        </w:rPr>
        <w:t>，主要原因是机构改革单位撒并，原大数据事务中心、县经济信息委执法支队人员工资统发部分由生产力促进中心发放。其中：财政拨款收入</w:t>
      </w:r>
      <w:r>
        <w:rPr>
          <w:rFonts w:ascii="Times New Roman" w:eastAsia="方正仿宋_GBK" w:hAnsi="Times New Roman"/>
          <w:sz w:val="32"/>
        </w:rPr>
        <w:t>233.12</w:t>
      </w:r>
      <w:r>
        <w:rPr>
          <w:rFonts w:ascii="Times New Roman" w:eastAsia="方正仿宋_GBK" w:hAnsi="Times New Roman"/>
          <w:sz w:val="32"/>
        </w:rPr>
        <w:t>万元，占</w:t>
      </w:r>
      <w:r>
        <w:rPr>
          <w:rFonts w:ascii="Times New Roman" w:eastAsia="方正仿宋_GBK" w:hAnsi="Times New Roman"/>
          <w:sz w:val="32"/>
        </w:rPr>
        <w:t>1</w:t>
      </w:r>
      <w:r>
        <w:rPr>
          <w:rFonts w:ascii="Times New Roman" w:eastAsia="方正仿宋_GBK" w:hAnsi="Times New Roman"/>
          <w:sz w:val="32"/>
        </w:rPr>
        <w:t>00.0%</w:t>
      </w:r>
      <w:r>
        <w:rPr>
          <w:rFonts w:ascii="Times New Roman" w:eastAsia="方正仿宋_GBK" w:hAnsi="Times New Roman"/>
          <w:sz w:val="32"/>
        </w:rPr>
        <w:t>。</w:t>
      </w:r>
    </w:p>
    <w:p w:rsidR="00B11411" w:rsidRDefault="00F71100">
      <w:pPr>
        <w:spacing w:line="560" w:lineRule="exact"/>
        <w:ind w:firstLineChars="200" w:firstLine="643"/>
        <w:rPr>
          <w:rFonts w:ascii="Times New Roman" w:eastAsia="方正仿宋_GBK" w:hAnsi="Times New Roman"/>
          <w:sz w:val="32"/>
        </w:rPr>
      </w:pPr>
      <w:r>
        <w:rPr>
          <w:rFonts w:ascii="Times New Roman" w:eastAsia="方正仿宋_GBK" w:hAnsi="Times New Roman"/>
          <w:b/>
          <w:bCs/>
          <w:sz w:val="32"/>
        </w:rPr>
        <w:t>3.</w:t>
      </w:r>
      <w:r>
        <w:rPr>
          <w:rFonts w:ascii="Times New Roman" w:eastAsia="方正仿宋_GBK" w:hAnsi="Times New Roman"/>
          <w:b/>
          <w:bCs/>
          <w:sz w:val="32"/>
        </w:rPr>
        <w:t>支出情况。</w:t>
      </w:r>
      <w:r>
        <w:rPr>
          <w:rFonts w:ascii="Times New Roman" w:eastAsia="方正仿宋_GBK" w:hAnsi="Times New Roman"/>
          <w:sz w:val="32"/>
        </w:rPr>
        <w:t>2024</w:t>
      </w:r>
      <w:r>
        <w:rPr>
          <w:rFonts w:ascii="Times New Roman" w:eastAsia="方正仿宋_GBK" w:hAnsi="Times New Roman"/>
          <w:sz w:val="32"/>
        </w:rPr>
        <w:t>年度支出合计</w:t>
      </w:r>
      <w:r>
        <w:rPr>
          <w:rFonts w:ascii="Times New Roman" w:eastAsia="方正仿宋_GBK" w:hAnsi="Times New Roman"/>
          <w:sz w:val="32"/>
        </w:rPr>
        <w:t>233.12</w:t>
      </w:r>
      <w:r>
        <w:rPr>
          <w:rFonts w:ascii="Times New Roman" w:eastAsia="方正仿宋_GBK" w:hAnsi="Times New Roman"/>
          <w:sz w:val="32"/>
        </w:rPr>
        <w:t>万元，较上年决算增加</w:t>
      </w:r>
      <w:r>
        <w:rPr>
          <w:rFonts w:ascii="Times New Roman" w:eastAsia="方正仿宋_GBK" w:hAnsi="Times New Roman"/>
          <w:sz w:val="32"/>
        </w:rPr>
        <w:t>47.41</w:t>
      </w:r>
      <w:r>
        <w:rPr>
          <w:rFonts w:ascii="Times New Roman" w:eastAsia="方正仿宋_GBK" w:hAnsi="Times New Roman"/>
          <w:sz w:val="32"/>
        </w:rPr>
        <w:t>万元，增加</w:t>
      </w:r>
      <w:r>
        <w:rPr>
          <w:rFonts w:ascii="Times New Roman" w:eastAsia="方正仿宋_GBK" w:hAnsi="Times New Roman"/>
          <w:sz w:val="32"/>
        </w:rPr>
        <w:t>25.5%</w:t>
      </w:r>
      <w:r>
        <w:rPr>
          <w:rFonts w:ascii="Times New Roman" w:eastAsia="方正仿宋_GBK" w:hAnsi="Times New Roman"/>
          <w:sz w:val="32"/>
        </w:rPr>
        <w:t>，主要原因是机构改革单位撒并，原大数据事务中心、县经济信息委执法支队人员工资统发部分由生产力促进中心发放。其中：基本支出</w:t>
      </w:r>
      <w:r>
        <w:rPr>
          <w:rFonts w:ascii="Times New Roman" w:eastAsia="方正仿宋_GBK" w:hAnsi="Times New Roman"/>
          <w:sz w:val="32"/>
        </w:rPr>
        <w:t>233.12</w:t>
      </w:r>
      <w:r>
        <w:rPr>
          <w:rFonts w:ascii="Times New Roman" w:eastAsia="方正仿宋_GBK" w:hAnsi="Times New Roman"/>
          <w:sz w:val="32"/>
        </w:rPr>
        <w:t>万元，占</w:t>
      </w:r>
      <w:r>
        <w:rPr>
          <w:rFonts w:ascii="Times New Roman" w:eastAsia="方正仿宋_GBK" w:hAnsi="Times New Roman"/>
          <w:sz w:val="32"/>
        </w:rPr>
        <w:t>100.0%</w:t>
      </w:r>
      <w:r>
        <w:rPr>
          <w:rFonts w:ascii="Times New Roman" w:eastAsia="方正仿宋_GBK" w:hAnsi="Times New Roman"/>
          <w:sz w:val="32"/>
        </w:rPr>
        <w:t>。</w:t>
      </w:r>
    </w:p>
    <w:p w:rsidR="00B11411" w:rsidRDefault="00F71100">
      <w:pPr>
        <w:spacing w:line="560" w:lineRule="exact"/>
        <w:ind w:firstLineChars="200" w:firstLine="643"/>
        <w:rPr>
          <w:rFonts w:ascii="Times New Roman" w:eastAsia="方正仿宋_GBK" w:hAnsi="Times New Roman"/>
          <w:sz w:val="32"/>
        </w:rPr>
      </w:pPr>
      <w:r>
        <w:rPr>
          <w:rFonts w:ascii="Times New Roman" w:eastAsia="方正仿宋_GBK" w:hAnsi="Times New Roman"/>
          <w:b/>
          <w:bCs/>
          <w:sz w:val="32"/>
        </w:rPr>
        <w:t>4.</w:t>
      </w:r>
      <w:r>
        <w:rPr>
          <w:rFonts w:ascii="Times New Roman" w:eastAsia="方正仿宋_GBK" w:hAnsi="Times New Roman"/>
          <w:b/>
          <w:bCs/>
          <w:sz w:val="32"/>
        </w:rPr>
        <w:t>结转结余情况。</w:t>
      </w:r>
      <w:r>
        <w:rPr>
          <w:rFonts w:ascii="Times New Roman" w:eastAsia="方正仿宋_GBK" w:hAnsi="Times New Roman"/>
          <w:sz w:val="32"/>
        </w:rPr>
        <w:t>20</w:t>
      </w:r>
      <w:r>
        <w:rPr>
          <w:rFonts w:ascii="Times New Roman" w:eastAsia="方正仿宋_GBK" w:hAnsi="Times New Roman" w:hint="eastAsia"/>
          <w:sz w:val="32"/>
        </w:rPr>
        <w:t>24</w:t>
      </w:r>
      <w:r>
        <w:rPr>
          <w:rFonts w:ascii="Times New Roman" w:eastAsia="方正仿宋_GBK" w:hAnsi="Times New Roman" w:hint="eastAsia"/>
          <w:sz w:val="32"/>
        </w:rPr>
        <w:t>年度年末结转和结余</w:t>
      </w:r>
      <w:r>
        <w:rPr>
          <w:rFonts w:ascii="Times New Roman" w:eastAsia="方正仿宋_GBK" w:hAnsi="Times New Roman" w:hint="eastAsia"/>
          <w:sz w:val="32"/>
        </w:rPr>
        <w:t>0</w:t>
      </w:r>
      <w:r>
        <w:rPr>
          <w:rFonts w:ascii="Times New Roman" w:eastAsia="方正仿宋_GBK" w:hAnsi="Times New Roman" w:hint="eastAsia"/>
          <w:sz w:val="32"/>
        </w:rPr>
        <w:t>万元，较上年决算数持平，主要原因是单位收入和支出金额一样，单位资金使用余额。</w:t>
      </w:r>
    </w:p>
    <w:p w:rsidR="00B11411" w:rsidRDefault="00F7110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（二）财政拨款收入支出决算总体情况说明</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2024</w:t>
      </w:r>
      <w:r>
        <w:rPr>
          <w:rFonts w:ascii="Times New Roman" w:eastAsia="方正仿宋_GBK" w:hAnsi="Times New Roman" w:hint="eastAsia"/>
          <w:sz w:val="32"/>
        </w:rPr>
        <w:t>年度财政拨款收、支总计</w:t>
      </w:r>
      <w:r>
        <w:rPr>
          <w:rFonts w:ascii="Times New Roman" w:eastAsia="方正仿宋_GBK" w:hAnsi="Times New Roman" w:hint="eastAsia"/>
          <w:sz w:val="32"/>
        </w:rPr>
        <w:t>233.12</w:t>
      </w:r>
      <w:r>
        <w:rPr>
          <w:rFonts w:ascii="Times New Roman" w:eastAsia="方正仿宋_GBK" w:hAnsi="Times New Roman" w:hint="eastAsia"/>
          <w:sz w:val="32"/>
        </w:rPr>
        <w:t>万元。与</w:t>
      </w:r>
      <w:r>
        <w:rPr>
          <w:rFonts w:ascii="Times New Roman" w:eastAsia="方正仿宋_GBK" w:hAnsi="Times New Roman" w:hint="eastAsia"/>
          <w:sz w:val="32"/>
        </w:rPr>
        <w:t>2023</w:t>
      </w:r>
      <w:r>
        <w:rPr>
          <w:rFonts w:ascii="Times New Roman" w:eastAsia="方正仿宋_GBK" w:hAnsi="Times New Roman" w:hint="eastAsia"/>
          <w:sz w:val="32"/>
        </w:rPr>
        <w:t>年相比，财政拨款收、支总计各增加</w:t>
      </w:r>
      <w:r>
        <w:rPr>
          <w:rFonts w:ascii="Times New Roman" w:eastAsia="方正仿宋_GBK" w:hAnsi="Times New Roman" w:hint="eastAsia"/>
          <w:sz w:val="32"/>
        </w:rPr>
        <w:t>47.41</w:t>
      </w:r>
      <w:r>
        <w:rPr>
          <w:rFonts w:ascii="Times New Roman" w:eastAsia="方正仿宋_GBK" w:hAnsi="Times New Roman" w:hint="eastAsia"/>
          <w:sz w:val="32"/>
        </w:rPr>
        <w:t>万元，增加</w:t>
      </w:r>
      <w:r>
        <w:rPr>
          <w:rFonts w:ascii="Times New Roman" w:eastAsia="方正仿宋_GBK" w:hAnsi="Times New Roman" w:hint="eastAsia"/>
          <w:sz w:val="32"/>
        </w:rPr>
        <w:t>25.5%</w:t>
      </w:r>
      <w:r>
        <w:rPr>
          <w:rFonts w:ascii="Times New Roman" w:eastAsia="方正仿宋_GBK" w:hAnsi="Times New Roman" w:hint="eastAsia"/>
          <w:sz w:val="32"/>
        </w:rPr>
        <w:t>，主要原因是机构改革单位撒并，原大数据事务中心、县经济</w:t>
      </w:r>
      <w:r>
        <w:rPr>
          <w:rFonts w:ascii="Times New Roman" w:eastAsia="方正仿宋_GBK" w:hAnsi="Times New Roman" w:hint="eastAsia"/>
          <w:sz w:val="32"/>
        </w:rPr>
        <w:lastRenderedPageBreak/>
        <w:t>信息委执法支队人员工资统发部分由生产力促进中心发放。其中：基本支出</w:t>
      </w:r>
      <w:r>
        <w:rPr>
          <w:rFonts w:ascii="Times New Roman" w:eastAsia="方正仿宋_GBK" w:hAnsi="Times New Roman" w:hint="eastAsia"/>
          <w:sz w:val="32"/>
        </w:rPr>
        <w:t>233.12</w:t>
      </w:r>
      <w:r>
        <w:rPr>
          <w:rFonts w:ascii="Times New Roman" w:eastAsia="方正仿宋_GBK" w:hAnsi="Times New Roman" w:hint="eastAsia"/>
          <w:sz w:val="32"/>
        </w:rPr>
        <w:t>万元，占</w:t>
      </w:r>
      <w:r>
        <w:rPr>
          <w:rFonts w:ascii="Times New Roman" w:eastAsia="方正仿宋_GBK" w:hAnsi="Times New Roman" w:hint="eastAsia"/>
          <w:sz w:val="32"/>
        </w:rPr>
        <w:t>100.0%</w:t>
      </w:r>
      <w:r>
        <w:rPr>
          <w:rFonts w:ascii="Times New Roman" w:eastAsia="方正仿宋_GBK" w:hAnsi="Times New Roman" w:hint="eastAsia"/>
          <w:sz w:val="32"/>
        </w:rPr>
        <w:t>。</w:t>
      </w:r>
    </w:p>
    <w:p w:rsidR="00B11411" w:rsidRDefault="00F7110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（三）一般公共预算财政拨款收入支出决算情况说明</w:t>
      </w:r>
    </w:p>
    <w:p w:rsidR="00B11411" w:rsidRDefault="00F71100">
      <w:pPr>
        <w:spacing w:line="560" w:lineRule="exact"/>
        <w:ind w:firstLineChars="200" w:firstLine="643"/>
        <w:rPr>
          <w:rFonts w:ascii="Times New Roman" w:eastAsia="方正仿宋_GBK" w:hAnsi="Times New Roman"/>
          <w:sz w:val="32"/>
        </w:rPr>
      </w:pPr>
      <w:r>
        <w:rPr>
          <w:rFonts w:ascii="Times New Roman" w:eastAsia="方正仿宋_GBK" w:hAnsi="Times New Roman" w:hint="eastAsia"/>
          <w:b/>
          <w:bCs/>
          <w:sz w:val="32"/>
        </w:rPr>
        <w:t>1.</w:t>
      </w:r>
      <w:r>
        <w:rPr>
          <w:rFonts w:ascii="Times New Roman" w:eastAsia="方正仿宋_GBK" w:hAnsi="Times New Roman" w:hint="eastAsia"/>
          <w:b/>
          <w:bCs/>
          <w:sz w:val="32"/>
        </w:rPr>
        <w:t>收入情况。</w:t>
      </w:r>
      <w:r>
        <w:rPr>
          <w:rFonts w:ascii="Times New Roman" w:eastAsia="方正仿宋_GBK" w:hAnsi="Times New Roman" w:hint="eastAsia"/>
          <w:sz w:val="32"/>
        </w:rPr>
        <w:t>2024</w:t>
      </w:r>
      <w:r>
        <w:rPr>
          <w:rFonts w:ascii="Times New Roman" w:eastAsia="方正仿宋_GBK" w:hAnsi="Times New Roman" w:hint="eastAsia"/>
          <w:sz w:val="32"/>
        </w:rPr>
        <w:t>年度一般公共预算财政拨款收入</w:t>
      </w:r>
      <w:r>
        <w:rPr>
          <w:rFonts w:ascii="Times New Roman" w:eastAsia="方正仿宋_GBK" w:hAnsi="Times New Roman" w:hint="eastAsia"/>
          <w:sz w:val="32"/>
        </w:rPr>
        <w:t>233.12</w:t>
      </w:r>
      <w:r>
        <w:rPr>
          <w:rFonts w:ascii="Times New Roman" w:eastAsia="方正仿宋_GBK" w:hAnsi="Times New Roman" w:hint="eastAsia"/>
          <w:sz w:val="32"/>
        </w:rPr>
        <w:t>万元，较上年决算数增加</w:t>
      </w:r>
      <w:r>
        <w:rPr>
          <w:rFonts w:ascii="Times New Roman" w:eastAsia="方正仿宋_GBK" w:hAnsi="Times New Roman" w:hint="eastAsia"/>
          <w:sz w:val="32"/>
        </w:rPr>
        <w:t>47.41</w:t>
      </w:r>
      <w:r>
        <w:rPr>
          <w:rFonts w:ascii="Times New Roman" w:eastAsia="方正仿宋_GBK" w:hAnsi="Times New Roman" w:hint="eastAsia"/>
          <w:sz w:val="32"/>
        </w:rPr>
        <w:t>万元，增加</w:t>
      </w:r>
      <w:r>
        <w:rPr>
          <w:rFonts w:ascii="Times New Roman" w:eastAsia="方正仿宋_GBK" w:hAnsi="Times New Roman" w:hint="eastAsia"/>
          <w:sz w:val="32"/>
        </w:rPr>
        <w:t>25.5%</w:t>
      </w:r>
      <w:r>
        <w:rPr>
          <w:rFonts w:ascii="Times New Roman" w:eastAsia="方正仿宋_GBK" w:hAnsi="Times New Roman" w:hint="eastAsia"/>
          <w:sz w:val="32"/>
        </w:rPr>
        <w:t>。较年初预算数减少</w:t>
      </w:r>
      <w:r>
        <w:rPr>
          <w:rFonts w:ascii="Times New Roman" w:eastAsia="方正仿宋_GBK" w:hAnsi="Times New Roman" w:hint="eastAsia"/>
          <w:sz w:val="32"/>
        </w:rPr>
        <w:t>26.54</w:t>
      </w:r>
      <w:r>
        <w:rPr>
          <w:rFonts w:ascii="Times New Roman" w:eastAsia="方正仿宋_GBK" w:hAnsi="Times New Roman" w:hint="eastAsia"/>
          <w:sz w:val="32"/>
        </w:rPr>
        <w:t>万元，减少</w:t>
      </w:r>
      <w:r>
        <w:rPr>
          <w:rFonts w:ascii="Times New Roman" w:eastAsia="方正仿宋_GBK" w:hAnsi="Times New Roman" w:hint="eastAsia"/>
          <w:sz w:val="32"/>
        </w:rPr>
        <w:t>18.0%</w:t>
      </w:r>
      <w:r>
        <w:rPr>
          <w:rFonts w:ascii="Times New Roman" w:eastAsia="方正仿宋_GBK" w:hAnsi="Times New Roman" w:hint="eastAsia"/>
          <w:sz w:val="32"/>
        </w:rPr>
        <w:t>。主要原因是主要原因是机构</w:t>
      </w:r>
      <w:r>
        <w:rPr>
          <w:rFonts w:ascii="Times New Roman" w:eastAsia="方正仿宋_GBK" w:hAnsi="Times New Roman" w:hint="eastAsia"/>
          <w:sz w:val="32"/>
        </w:rPr>
        <w:t>改革单位撒并，工资统发部分由生产力促进中心发放。此外，无年初财政拨款结转和结余。</w:t>
      </w:r>
    </w:p>
    <w:p w:rsidR="00B11411" w:rsidRDefault="00F71100">
      <w:pPr>
        <w:spacing w:line="560" w:lineRule="exact"/>
        <w:ind w:firstLineChars="200" w:firstLine="643"/>
        <w:rPr>
          <w:rFonts w:ascii="Times New Roman" w:eastAsia="方正仿宋_GBK" w:hAnsi="Times New Roman"/>
          <w:sz w:val="32"/>
        </w:rPr>
      </w:pPr>
      <w:r>
        <w:rPr>
          <w:rFonts w:ascii="Times New Roman" w:eastAsia="方正仿宋_GBK" w:hAnsi="Times New Roman" w:hint="eastAsia"/>
          <w:b/>
          <w:bCs/>
          <w:sz w:val="32"/>
        </w:rPr>
        <w:t>2.</w:t>
      </w:r>
      <w:r>
        <w:rPr>
          <w:rFonts w:ascii="Times New Roman" w:eastAsia="方正仿宋_GBK" w:hAnsi="Times New Roman" w:hint="eastAsia"/>
          <w:b/>
          <w:bCs/>
          <w:sz w:val="32"/>
        </w:rPr>
        <w:t>支出情况。</w:t>
      </w:r>
      <w:r>
        <w:rPr>
          <w:rFonts w:ascii="Times New Roman" w:eastAsia="方正仿宋_GBK" w:hAnsi="Times New Roman" w:hint="eastAsia"/>
          <w:sz w:val="32"/>
        </w:rPr>
        <w:t>2024</w:t>
      </w:r>
      <w:r>
        <w:rPr>
          <w:rFonts w:ascii="Times New Roman" w:eastAsia="方正仿宋_GBK" w:hAnsi="Times New Roman" w:hint="eastAsia"/>
          <w:sz w:val="32"/>
        </w:rPr>
        <w:t>年度一般公共预算财政拨款支出</w:t>
      </w:r>
      <w:r>
        <w:rPr>
          <w:rFonts w:ascii="Times New Roman" w:eastAsia="方正仿宋_GBK" w:hAnsi="Times New Roman" w:hint="eastAsia"/>
          <w:sz w:val="32"/>
        </w:rPr>
        <w:t>233.12</w:t>
      </w:r>
      <w:r>
        <w:rPr>
          <w:rFonts w:ascii="Times New Roman" w:eastAsia="方正仿宋_GBK" w:hAnsi="Times New Roman" w:hint="eastAsia"/>
          <w:sz w:val="32"/>
        </w:rPr>
        <w:t>万元，较上年决算数增加</w:t>
      </w:r>
      <w:r>
        <w:rPr>
          <w:rFonts w:ascii="Times New Roman" w:eastAsia="方正仿宋_GBK" w:hAnsi="Times New Roman" w:hint="eastAsia"/>
          <w:sz w:val="32"/>
        </w:rPr>
        <w:t>47.41</w:t>
      </w:r>
      <w:r>
        <w:rPr>
          <w:rFonts w:ascii="Times New Roman" w:eastAsia="方正仿宋_GBK" w:hAnsi="Times New Roman" w:hint="eastAsia"/>
          <w:sz w:val="32"/>
        </w:rPr>
        <w:t>万元，增加</w:t>
      </w:r>
      <w:r>
        <w:rPr>
          <w:rFonts w:ascii="Times New Roman" w:eastAsia="方正仿宋_GBK" w:hAnsi="Times New Roman" w:hint="eastAsia"/>
          <w:sz w:val="32"/>
        </w:rPr>
        <w:t>25.5%</w:t>
      </w:r>
      <w:r>
        <w:rPr>
          <w:rFonts w:ascii="Times New Roman" w:eastAsia="方正仿宋_GBK" w:hAnsi="Times New Roman" w:hint="eastAsia"/>
          <w:sz w:val="32"/>
        </w:rPr>
        <w:t>。主要原因是主要原因是机构改革单位撒并，工资统发部分由生产力促进中心发放。较年初预算数增加</w:t>
      </w:r>
      <w:r>
        <w:rPr>
          <w:rFonts w:ascii="Times New Roman" w:eastAsia="方正仿宋_GBK" w:hAnsi="Times New Roman" w:hint="eastAsia"/>
          <w:sz w:val="32"/>
        </w:rPr>
        <w:t>26.54</w:t>
      </w:r>
      <w:r>
        <w:rPr>
          <w:rFonts w:ascii="Times New Roman" w:eastAsia="方正仿宋_GBK" w:hAnsi="Times New Roman" w:hint="eastAsia"/>
          <w:sz w:val="32"/>
        </w:rPr>
        <w:t>万元，减少</w:t>
      </w:r>
      <w:r>
        <w:rPr>
          <w:rFonts w:ascii="Times New Roman" w:eastAsia="方正仿宋_GBK" w:hAnsi="Times New Roman" w:hint="eastAsia"/>
          <w:sz w:val="32"/>
        </w:rPr>
        <w:t>18.0%</w:t>
      </w:r>
      <w:r>
        <w:rPr>
          <w:rFonts w:ascii="Times New Roman" w:eastAsia="方正仿宋_GBK" w:hAnsi="Times New Roman" w:hint="eastAsia"/>
          <w:sz w:val="32"/>
        </w:rPr>
        <w:t>。主要原因是主要原因是机构改革单位撒并，工资统发部分由生产力促进中心发放。</w:t>
      </w:r>
    </w:p>
    <w:p w:rsidR="00B11411" w:rsidRDefault="00F71100">
      <w:pPr>
        <w:spacing w:line="560" w:lineRule="exact"/>
        <w:ind w:firstLineChars="200" w:firstLine="643"/>
        <w:rPr>
          <w:rFonts w:ascii="Times New Roman" w:eastAsia="方正仿宋_GBK" w:hAnsi="Times New Roman"/>
          <w:sz w:val="32"/>
        </w:rPr>
      </w:pPr>
      <w:r>
        <w:rPr>
          <w:rFonts w:ascii="Times New Roman" w:eastAsia="方正仿宋_GBK" w:hAnsi="Times New Roman" w:hint="eastAsia"/>
          <w:b/>
          <w:bCs/>
          <w:sz w:val="32"/>
        </w:rPr>
        <w:t>3.</w:t>
      </w:r>
      <w:r>
        <w:rPr>
          <w:rFonts w:ascii="Times New Roman" w:eastAsia="方正仿宋_GBK" w:hAnsi="Times New Roman" w:hint="eastAsia"/>
          <w:b/>
          <w:bCs/>
          <w:sz w:val="32"/>
        </w:rPr>
        <w:t>结转结余情况。</w:t>
      </w:r>
      <w:r>
        <w:rPr>
          <w:rFonts w:ascii="Times New Roman" w:eastAsia="方正仿宋_GBK" w:hAnsi="Times New Roman" w:hint="eastAsia"/>
          <w:sz w:val="32"/>
        </w:rPr>
        <w:t>2024</w:t>
      </w:r>
      <w:r>
        <w:rPr>
          <w:rFonts w:ascii="Times New Roman" w:eastAsia="方正仿宋_GBK" w:hAnsi="Times New Roman" w:hint="eastAsia"/>
          <w:sz w:val="32"/>
        </w:rPr>
        <w:t>年度年末一般公共预算财政拨款结无转和结余，较上年决算数持平。</w:t>
      </w:r>
    </w:p>
    <w:p w:rsidR="00B11411" w:rsidRDefault="00F71100">
      <w:pPr>
        <w:spacing w:line="560" w:lineRule="exact"/>
        <w:ind w:firstLineChars="200" w:firstLine="643"/>
        <w:rPr>
          <w:rFonts w:ascii="Times New Roman" w:eastAsia="方正仿宋_GBK" w:hAnsi="Times New Roman"/>
          <w:sz w:val="32"/>
        </w:rPr>
      </w:pPr>
      <w:r>
        <w:rPr>
          <w:rFonts w:ascii="Times New Roman" w:eastAsia="方正仿宋_GBK" w:hAnsi="Times New Roman" w:hint="eastAsia"/>
          <w:b/>
          <w:bCs/>
          <w:sz w:val="32"/>
        </w:rPr>
        <w:t>4.</w:t>
      </w:r>
      <w:r>
        <w:rPr>
          <w:rFonts w:ascii="Times New Roman" w:eastAsia="方正仿宋_GBK" w:hAnsi="Times New Roman" w:hint="eastAsia"/>
          <w:b/>
          <w:bCs/>
          <w:sz w:val="32"/>
        </w:rPr>
        <w:t>比较情况。</w:t>
      </w:r>
      <w:r>
        <w:rPr>
          <w:rFonts w:ascii="Times New Roman" w:eastAsia="方正仿宋_GBK" w:hAnsi="Times New Roman" w:hint="eastAsia"/>
          <w:sz w:val="32"/>
        </w:rPr>
        <w:t>本部门</w:t>
      </w:r>
      <w:r>
        <w:rPr>
          <w:rFonts w:ascii="Times New Roman" w:eastAsia="方正仿宋_GBK" w:hAnsi="Times New Roman" w:hint="eastAsia"/>
          <w:sz w:val="32"/>
        </w:rPr>
        <w:t>2024</w:t>
      </w:r>
      <w:r>
        <w:rPr>
          <w:rFonts w:ascii="Times New Roman" w:eastAsia="方正仿宋_GBK" w:hAnsi="Times New Roman" w:hint="eastAsia"/>
          <w:sz w:val="32"/>
        </w:rPr>
        <w:t>年度</w:t>
      </w:r>
      <w:r>
        <w:rPr>
          <w:rFonts w:ascii="Times New Roman" w:eastAsia="方正仿宋_GBK" w:hAnsi="Times New Roman" w:hint="eastAsia"/>
          <w:sz w:val="32"/>
        </w:rPr>
        <w:t>一般公共预算财政拨款支出主要用于以下几个方面：</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w:t>
      </w:r>
      <w:r>
        <w:rPr>
          <w:rFonts w:ascii="Times New Roman" w:eastAsia="方正仿宋_GBK" w:hAnsi="Times New Roman" w:hint="eastAsia"/>
          <w:sz w:val="32"/>
        </w:rPr>
        <w:t>1</w:t>
      </w:r>
      <w:r>
        <w:rPr>
          <w:rFonts w:ascii="Times New Roman" w:eastAsia="方正仿宋_GBK" w:hAnsi="Times New Roman" w:hint="eastAsia"/>
          <w:sz w:val="32"/>
        </w:rPr>
        <w:t>）社会保障与就业支出</w:t>
      </w:r>
      <w:r>
        <w:rPr>
          <w:rFonts w:ascii="Times New Roman" w:eastAsia="方正仿宋_GBK" w:hAnsi="Times New Roman" w:hint="eastAsia"/>
          <w:sz w:val="32"/>
        </w:rPr>
        <w:t>29.95</w:t>
      </w:r>
      <w:r>
        <w:rPr>
          <w:rFonts w:ascii="Times New Roman" w:eastAsia="方正仿宋_GBK" w:hAnsi="Times New Roman" w:hint="eastAsia"/>
          <w:sz w:val="32"/>
        </w:rPr>
        <w:t>万元，占</w:t>
      </w:r>
      <w:r>
        <w:rPr>
          <w:rFonts w:ascii="Times New Roman" w:eastAsia="方正仿宋_GBK" w:hAnsi="Times New Roman" w:hint="eastAsia"/>
          <w:sz w:val="32"/>
        </w:rPr>
        <w:t>13</w:t>
      </w:r>
      <w:r w:rsidR="002169D1">
        <w:rPr>
          <w:rFonts w:ascii="Times New Roman" w:eastAsia="方正仿宋_GBK" w:hAnsi="Times New Roman" w:hint="eastAsia"/>
          <w:sz w:val="32"/>
        </w:rPr>
        <w:t>.0</w:t>
      </w:r>
      <w:r>
        <w:rPr>
          <w:rFonts w:ascii="Times New Roman" w:eastAsia="方正仿宋_GBK" w:hAnsi="Times New Roman" w:hint="eastAsia"/>
          <w:sz w:val="32"/>
        </w:rPr>
        <w:t>%</w:t>
      </w:r>
      <w:r>
        <w:rPr>
          <w:rFonts w:ascii="Times New Roman" w:eastAsia="方正仿宋_GBK" w:hAnsi="Times New Roman" w:hint="eastAsia"/>
          <w:sz w:val="32"/>
        </w:rPr>
        <w:t>，较年初预算数减少</w:t>
      </w:r>
      <w:r>
        <w:rPr>
          <w:rFonts w:ascii="Times New Roman" w:eastAsia="方正仿宋_GBK" w:hAnsi="Times New Roman" w:hint="eastAsia"/>
          <w:sz w:val="32"/>
        </w:rPr>
        <w:t>4.24</w:t>
      </w:r>
      <w:r>
        <w:rPr>
          <w:rFonts w:ascii="Times New Roman" w:eastAsia="方正仿宋_GBK" w:hAnsi="Times New Roman" w:hint="eastAsia"/>
          <w:sz w:val="32"/>
        </w:rPr>
        <w:t>万元，减少</w:t>
      </w:r>
      <w:r>
        <w:rPr>
          <w:rFonts w:ascii="Times New Roman" w:eastAsia="方正仿宋_GBK" w:hAnsi="Times New Roman" w:hint="eastAsia"/>
          <w:sz w:val="32"/>
        </w:rPr>
        <w:t>12.0%</w:t>
      </w:r>
      <w:r>
        <w:rPr>
          <w:rFonts w:ascii="Times New Roman" w:eastAsia="方正仿宋_GBK" w:hAnsi="Times New Roman" w:hint="eastAsia"/>
          <w:sz w:val="32"/>
        </w:rPr>
        <w:t>。。主要原因年初人员调出。</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w:t>
      </w:r>
      <w:r>
        <w:rPr>
          <w:rFonts w:ascii="Times New Roman" w:eastAsia="方正仿宋_GBK" w:hAnsi="Times New Roman" w:hint="eastAsia"/>
          <w:sz w:val="32"/>
        </w:rPr>
        <w:t>2</w:t>
      </w:r>
      <w:r>
        <w:rPr>
          <w:rFonts w:ascii="Times New Roman" w:eastAsia="方正仿宋_GBK" w:hAnsi="Times New Roman" w:hint="eastAsia"/>
          <w:sz w:val="32"/>
        </w:rPr>
        <w:t>）卫生健康支出</w:t>
      </w:r>
      <w:r>
        <w:rPr>
          <w:rFonts w:ascii="Times New Roman" w:eastAsia="方正仿宋_GBK" w:hAnsi="Times New Roman" w:hint="eastAsia"/>
          <w:sz w:val="32"/>
        </w:rPr>
        <w:t>26.76</w:t>
      </w:r>
      <w:r>
        <w:rPr>
          <w:rFonts w:ascii="Times New Roman" w:eastAsia="方正仿宋_GBK" w:hAnsi="Times New Roman" w:hint="eastAsia"/>
          <w:sz w:val="32"/>
        </w:rPr>
        <w:t>万元，占</w:t>
      </w:r>
      <w:r>
        <w:rPr>
          <w:rFonts w:ascii="Times New Roman" w:eastAsia="方正仿宋_GBK" w:hAnsi="Times New Roman" w:hint="eastAsia"/>
          <w:sz w:val="32"/>
        </w:rPr>
        <w:t>4.0%</w:t>
      </w:r>
      <w:r>
        <w:rPr>
          <w:rFonts w:ascii="Times New Roman" w:eastAsia="方正仿宋_GBK" w:hAnsi="Times New Roman" w:hint="eastAsia"/>
          <w:sz w:val="32"/>
        </w:rPr>
        <w:t>，较年初预算数持平。</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w:t>
      </w:r>
      <w:r>
        <w:rPr>
          <w:rFonts w:ascii="Times New Roman" w:eastAsia="方正仿宋_GBK" w:hAnsi="Times New Roman" w:hint="eastAsia"/>
          <w:sz w:val="32"/>
        </w:rPr>
        <w:t>3</w:t>
      </w:r>
      <w:r>
        <w:rPr>
          <w:rFonts w:ascii="Times New Roman" w:eastAsia="方正仿宋_GBK" w:hAnsi="Times New Roman" w:hint="eastAsia"/>
          <w:sz w:val="32"/>
        </w:rPr>
        <w:t>）科学技术支出：</w:t>
      </w:r>
      <w:r>
        <w:rPr>
          <w:rFonts w:ascii="Times New Roman" w:eastAsia="方正仿宋_GBK" w:hAnsi="Times New Roman" w:hint="eastAsia"/>
          <w:sz w:val="32"/>
        </w:rPr>
        <w:t>160.25</w:t>
      </w:r>
      <w:r>
        <w:rPr>
          <w:rFonts w:ascii="Times New Roman" w:eastAsia="方正仿宋_GBK" w:hAnsi="Times New Roman" w:hint="eastAsia"/>
          <w:sz w:val="32"/>
        </w:rPr>
        <w:t>万元，占</w:t>
      </w:r>
      <w:r>
        <w:rPr>
          <w:rFonts w:ascii="Times New Roman" w:eastAsia="方正仿宋_GBK" w:hAnsi="Times New Roman" w:hint="eastAsia"/>
          <w:sz w:val="32"/>
        </w:rPr>
        <w:t>69%</w:t>
      </w:r>
      <w:r>
        <w:rPr>
          <w:rFonts w:ascii="Times New Roman" w:eastAsia="方正仿宋_GBK" w:hAnsi="Times New Roman" w:hint="eastAsia"/>
          <w:sz w:val="32"/>
        </w:rPr>
        <w:t>，较年初预</w:t>
      </w:r>
      <w:r>
        <w:rPr>
          <w:rFonts w:ascii="Times New Roman" w:eastAsia="方正仿宋_GBK" w:hAnsi="Times New Roman" w:hint="eastAsia"/>
          <w:sz w:val="32"/>
        </w:rPr>
        <w:lastRenderedPageBreak/>
        <w:t>算数增加</w:t>
      </w:r>
      <w:r>
        <w:rPr>
          <w:rFonts w:ascii="Times New Roman" w:eastAsia="方正仿宋_GBK" w:hAnsi="Times New Roman" w:hint="eastAsia"/>
          <w:sz w:val="32"/>
        </w:rPr>
        <w:t>58.02</w:t>
      </w:r>
      <w:r>
        <w:rPr>
          <w:rFonts w:ascii="Times New Roman" w:eastAsia="方正仿宋_GBK" w:hAnsi="Times New Roman" w:hint="eastAsia"/>
          <w:sz w:val="32"/>
        </w:rPr>
        <w:t>万元，增加</w:t>
      </w:r>
      <w:r>
        <w:rPr>
          <w:rFonts w:ascii="Times New Roman" w:eastAsia="方正仿宋_GBK" w:hAnsi="Times New Roman" w:hint="eastAsia"/>
          <w:sz w:val="32"/>
        </w:rPr>
        <w:t>57.0%</w:t>
      </w:r>
      <w:r>
        <w:rPr>
          <w:rFonts w:ascii="Times New Roman" w:eastAsia="方正仿宋_GBK" w:hAnsi="Times New Roman" w:hint="eastAsia"/>
          <w:sz w:val="32"/>
        </w:rPr>
        <w:t>，要原因是机构改革单位撒并，原大数据事务中心、县经济信息委执法支队人员工资统发部分由生产力促进中心发放。</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w:t>
      </w:r>
      <w:r>
        <w:rPr>
          <w:rFonts w:ascii="Times New Roman" w:eastAsia="方正仿宋_GBK" w:hAnsi="Times New Roman" w:hint="eastAsia"/>
          <w:sz w:val="32"/>
        </w:rPr>
        <w:t>4</w:t>
      </w:r>
      <w:r>
        <w:rPr>
          <w:rFonts w:ascii="Times New Roman" w:eastAsia="方正仿宋_GBK" w:hAnsi="Times New Roman" w:hint="eastAsia"/>
          <w:sz w:val="32"/>
        </w:rPr>
        <w:t>）住房保障支出</w:t>
      </w:r>
      <w:r>
        <w:rPr>
          <w:rFonts w:ascii="Times New Roman" w:eastAsia="方正仿宋_GBK" w:hAnsi="Times New Roman" w:hint="eastAsia"/>
          <w:sz w:val="32"/>
        </w:rPr>
        <w:t>7.7</w:t>
      </w:r>
      <w:r>
        <w:rPr>
          <w:rFonts w:ascii="Times New Roman" w:eastAsia="方正仿宋_GBK" w:hAnsi="Times New Roman" w:hint="eastAsia"/>
          <w:sz w:val="32"/>
        </w:rPr>
        <w:t>元，占</w:t>
      </w:r>
      <w:r>
        <w:rPr>
          <w:rFonts w:ascii="Times New Roman" w:eastAsia="方正仿宋_GBK" w:hAnsi="Times New Roman" w:hint="eastAsia"/>
          <w:sz w:val="32"/>
        </w:rPr>
        <w:t>3.0%</w:t>
      </w:r>
      <w:r>
        <w:rPr>
          <w:rFonts w:ascii="Times New Roman" w:eastAsia="方正仿宋_GBK" w:hAnsi="Times New Roman" w:hint="eastAsia"/>
          <w:sz w:val="32"/>
        </w:rPr>
        <w:t>，与年初预算数持平。</w:t>
      </w:r>
    </w:p>
    <w:p w:rsidR="00B11411" w:rsidRDefault="00F7110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（四）一般公共预算财政拨款基本支出决算情况说明</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2024</w:t>
      </w:r>
      <w:r>
        <w:rPr>
          <w:rFonts w:ascii="Times New Roman" w:eastAsia="方正仿宋_GBK" w:hAnsi="Times New Roman" w:hint="eastAsia"/>
          <w:sz w:val="32"/>
        </w:rPr>
        <w:t>年度一般公共预算财政拨款基本支出</w:t>
      </w:r>
      <w:r>
        <w:rPr>
          <w:rFonts w:ascii="Times New Roman" w:eastAsia="方正仿宋_GBK" w:hAnsi="Times New Roman" w:hint="eastAsia"/>
          <w:sz w:val="32"/>
        </w:rPr>
        <w:t>233.12</w:t>
      </w:r>
      <w:r>
        <w:rPr>
          <w:rFonts w:ascii="Times New Roman" w:eastAsia="方正仿宋_GBK" w:hAnsi="Times New Roman" w:hint="eastAsia"/>
          <w:sz w:val="32"/>
        </w:rPr>
        <w:t>万元。其中：人员经费</w:t>
      </w:r>
      <w:r>
        <w:rPr>
          <w:rFonts w:ascii="Times New Roman" w:eastAsia="方正仿宋_GBK" w:hAnsi="Times New Roman" w:hint="eastAsia"/>
          <w:sz w:val="32"/>
        </w:rPr>
        <w:t>207.85</w:t>
      </w:r>
      <w:r>
        <w:rPr>
          <w:rFonts w:ascii="Times New Roman" w:eastAsia="方正仿宋_GBK" w:hAnsi="Times New Roman" w:hint="eastAsia"/>
          <w:sz w:val="32"/>
        </w:rPr>
        <w:t>万元，较上年决算数增加</w:t>
      </w:r>
      <w:r>
        <w:rPr>
          <w:rFonts w:ascii="Times New Roman" w:eastAsia="方正仿宋_GBK" w:hAnsi="Times New Roman" w:hint="eastAsia"/>
          <w:sz w:val="32"/>
        </w:rPr>
        <w:t>47.41</w:t>
      </w:r>
      <w:r>
        <w:rPr>
          <w:rFonts w:ascii="Times New Roman" w:eastAsia="方正仿宋_GBK" w:hAnsi="Times New Roman" w:hint="eastAsia"/>
          <w:sz w:val="32"/>
        </w:rPr>
        <w:t>万元，增加</w:t>
      </w:r>
      <w:r>
        <w:rPr>
          <w:rFonts w:ascii="Times New Roman" w:eastAsia="方正仿宋_GBK" w:hAnsi="Times New Roman" w:hint="eastAsia"/>
          <w:sz w:val="32"/>
        </w:rPr>
        <w:t>25.5%</w:t>
      </w:r>
      <w:r>
        <w:rPr>
          <w:rFonts w:ascii="Times New Roman" w:eastAsia="方正仿宋_GBK" w:hAnsi="Times New Roman" w:hint="eastAsia"/>
          <w:sz w:val="32"/>
        </w:rPr>
        <w:t>，主要原因是机构改革单位撒并，原大数据事务中心、县经济信息委执法支队人员工资统发部分由生产力促进中心发放。人员经费用途主要包括基本工资、津贴补贴、奖金、绩效工资、</w:t>
      </w:r>
      <w:r>
        <w:rPr>
          <w:rFonts w:ascii="Times New Roman" w:eastAsia="方正仿宋_GBK" w:hAnsi="Times New Roman" w:hint="eastAsia"/>
          <w:sz w:val="32"/>
        </w:rPr>
        <w:t xml:space="preserve"> </w:t>
      </w:r>
      <w:r>
        <w:rPr>
          <w:rFonts w:ascii="Times New Roman" w:eastAsia="方正仿宋_GBK" w:hAnsi="Times New Roman" w:hint="eastAsia"/>
          <w:sz w:val="32"/>
        </w:rPr>
        <w:t>机关事业单位基本养老保险缴费、职业年金缴费、</w:t>
      </w:r>
      <w:r>
        <w:rPr>
          <w:rFonts w:ascii="Times New Roman" w:eastAsia="方正仿宋_GBK" w:hAnsi="Times New Roman" w:hint="eastAsia"/>
          <w:sz w:val="32"/>
        </w:rPr>
        <w:t xml:space="preserve">  </w:t>
      </w:r>
      <w:r>
        <w:rPr>
          <w:rFonts w:ascii="Times New Roman" w:eastAsia="方正仿宋_GBK" w:hAnsi="Times New Roman" w:hint="eastAsia"/>
          <w:sz w:val="32"/>
        </w:rPr>
        <w:t>职工基本医疗保险缴费、住房公积金等各种费用。公用经费</w:t>
      </w:r>
      <w:r>
        <w:rPr>
          <w:rFonts w:ascii="Times New Roman" w:eastAsia="方正仿宋_GBK" w:hAnsi="Times New Roman" w:hint="eastAsia"/>
          <w:sz w:val="32"/>
        </w:rPr>
        <w:t>25.27</w:t>
      </w:r>
      <w:r>
        <w:rPr>
          <w:rFonts w:ascii="Times New Roman" w:eastAsia="方正仿宋_GBK" w:hAnsi="Times New Roman" w:hint="eastAsia"/>
          <w:sz w:val="32"/>
        </w:rPr>
        <w:t>万元，志上年决算数持平。公用经费用途主要包括办公费、邮</w:t>
      </w:r>
      <w:r>
        <w:rPr>
          <w:rFonts w:ascii="Times New Roman" w:eastAsia="方正仿宋_GBK" w:hAnsi="Times New Roman" w:hint="eastAsia"/>
          <w:sz w:val="32"/>
        </w:rPr>
        <w:t>电费、物业管理费、差旅费、培训费、公务接待费、劳务费、工会经费、公务用车运行维护费等。</w:t>
      </w:r>
    </w:p>
    <w:p w:rsidR="00B11411" w:rsidRDefault="00F7110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（五）政府性基金预算收支决算情况说明</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本单位</w:t>
      </w:r>
      <w:r>
        <w:rPr>
          <w:rFonts w:ascii="Times New Roman" w:eastAsia="方正仿宋_GBK" w:hAnsi="Times New Roman" w:hint="eastAsia"/>
          <w:sz w:val="32"/>
        </w:rPr>
        <w:t>2024</w:t>
      </w:r>
      <w:r>
        <w:rPr>
          <w:rFonts w:ascii="Times New Roman" w:eastAsia="方正仿宋_GBK" w:hAnsi="Times New Roman" w:hint="eastAsia"/>
          <w:sz w:val="32"/>
        </w:rPr>
        <w:t>度无政府性基金预算财政拨款。</w:t>
      </w:r>
    </w:p>
    <w:p w:rsidR="00B11411" w:rsidRDefault="00F7110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（六）国有资本经营预算财政拨款支出决算情况说明</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 </w:t>
      </w:r>
      <w:r>
        <w:rPr>
          <w:rFonts w:ascii="Times New Roman" w:eastAsia="方正仿宋_GBK" w:hAnsi="Times New Roman" w:hint="eastAsia"/>
          <w:sz w:val="32"/>
        </w:rPr>
        <w:t>本单位</w:t>
      </w:r>
      <w:r>
        <w:rPr>
          <w:rFonts w:ascii="Times New Roman" w:eastAsia="方正仿宋_GBK" w:hAnsi="Times New Roman" w:hint="eastAsia"/>
          <w:sz w:val="32"/>
        </w:rPr>
        <w:t>2024</w:t>
      </w:r>
      <w:r>
        <w:rPr>
          <w:rFonts w:ascii="Times New Roman" w:eastAsia="方正仿宋_GBK" w:hAnsi="Times New Roman" w:hint="eastAsia"/>
          <w:sz w:val="32"/>
        </w:rPr>
        <w:t>度无国有资本经营预算财政拨款支出。</w:t>
      </w:r>
    </w:p>
    <w:p w:rsidR="00B11411" w:rsidRDefault="00F71100">
      <w:pPr>
        <w:spacing w:line="560"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hint="eastAsia"/>
          <w:sz w:val="32"/>
        </w:rPr>
        <w:t>三、“三公”经费情况说明</w:t>
      </w:r>
    </w:p>
    <w:p w:rsidR="00B11411" w:rsidRDefault="00F7110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（一）“三公”经费支出总体情况说明</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2024</w:t>
      </w:r>
      <w:r>
        <w:rPr>
          <w:rFonts w:ascii="Times New Roman" w:eastAsia="方正仿宋_GBK" w:hAnsi="Times New Roman" w:hint="eastAsia"/>
          <w:sz w:val="32"/>
        </w:rPr>
        <w:t>年度本单位无因“三公”经费支出</w:t>
      </w:r>
    </w:p>
    <w:p w:rsidR="00B11411" w:rsidRDefault="00F7110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（二）“三公”经费分项支出情况</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lastRenderedPageBreak/>
        <w:t>2024</w:t>
      </w:r>
      <w:r>
        <w:rPr>
          <w:rFonts w:ascii="Times New Roman" w:eastAsia="方正仿宋_GBK" w:hAnsi="Times New Roman" w:hint="eastAsia"/>
          <w:sz w:val="32"/>
        </w:rPr>
        <w:t>年度本单位无因“三公”经费支出</w:t>
      </w:r>
    </w:p>
    <w:p w:rsidR="00B11411" w:rsidRDefault="00F7110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（三）“三公”经费实物量情况</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2024</w:t>
      </w:r>
      <w:r>
        <w:rPr>
          <w:rFonts w:ascii="Times New Roman" w:eastAsia="方正仿宋_GBK" w:hAnsi="Times New Roman" w:hint="eastAsia"/>
          <w:sz w:val="32"/>
        </w:rPr>
        <w:t>年度本单位无因“三公”经费支出</w:t>
      </w:r>
    </w:p>
    <w:p w:rsidR="00B11411" w:rsidRDefault="00F71100">
      <w:pPr>
        <w:spacing w:line="560"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hint="eastAsia"/>
          <w:sz w:val="32"/>
        </w:rPr>
        <w:t>四、其他需要说明的事项</w:t>
      </w:r>
    </w:p>
    <w:p w:rsidR="00B11411" w:rsidRDefault="00F7110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（一）财政拨款会议费和培训费情况说明</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 </w:t>
      </w:r>
      <w:r>
        <w:rPr>
          <w:rFonts w:ascii="Times New Roman" w:eastAsia="方正仿宋_GBK" w:hAnsi="Times New Roman" w:hint="eastAsia"/>
          <w:sz w:val="32"/>
        </w:rPr>
        <w:t>因我单位为县经济信息委下设事业单位，财政没有保障我单位会议费和培训费。</w:t>
      </w:r>
    </w:p>
    <w:p w:rsidR="00B11411" w:rsidRDefault="00F7110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（二）机关运行经费情况说明</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因我单位为县经济信息委下设事业单位，财政没有保障我单位机关运行经费。</w:t>
      </w:r>
    </w:p>
    <w:p w:rsidR="00B11411" w:rsidRDefault="00F7110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（三）国有资产占用情况说明</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 xml:space="preserve">  </w:t>
      </w:r>
      <w:r>
        <w:rPr>
          <w:rFonts w:ascii="Times New Roman" w:eastAsia="方正仿宋_GBK" w:hAnsi="Times New Roman" w:hint="eastAsia"/>
          <w:sz w:val="32"/>
        </w:rPr>
        <w:t>截至</w:t>
      </w:r>
      <w:r>
        <w:rPr>
          <w:rFonts w:ascii="Times New Roman" w:eastAsia="方正仿宋_GBK" w:hAnsi="Times New Roman" w:hint="eastAsia"/>
          <w:sz w:val="32"/>
        </w:rPr>
        <w:t>2024</w:t>
      </w:r>
      <w:r>
        <w:rPr>
          <w:rFonts w:ascii="Times New Roman" w:eastAsia="方正仿宋_GBK" w:hAnsi="Times New Roman" w:hint="eastAsia"/>
          <w:sz w:val="32"/>
        </w:rPr>
        <w:t>年</w:t>
      </w:r>
      <w:r>
        <w:rPr>
          <w:rFonts w:ascii="Times New Roman" w:eastAsia="方正仿宋_GBK" w:hAnsi="Times New Roman" w:hint="eastAsia"/>
          <w:sz w:val="32"/>
        </w:rPr>
        <w:t>12</w:t>
      </w:r>
      <w:r>
        <w:rPr>
          <w:rFonts w:ascii="Times New Roman" w:eastAsia="方正仿宋_GBK" w:hAnsi="Times New Roman" w:hint="eastAsia"/>
          <w:sz w:val="32"/>
        </w:rPr>
        <w:t>月</w:t>
      </w:r>
      <w:r>
        <w:rPr>
          <w:rFonts w:ascii="Times New Roman" w:eastAsia="方正仿宋_GBK" w:hAnsi="Times New Roman" w:hint="eastAsia"/>
          <w:sz w:val="32"/>
        </w:rPr>
        <w:t>31</w:t>
      </w:r>
      <w:r>
        <w:rPr>
          <w:rFonts w:ascii="Times New Roman" w:eastAsia="方正仿宋_GBK" w:hAnsi="Times New Roman" w:hint="eastAsia"/>
          <w:sz w:val="32"/>
        </w:rPr>
        <w:t>日，本部门共有车辆</w:t>
      </w:r>
      <w:r>
        <w:rPr>
          <w:rFonts w:ascii="Times New Roman" w:eastAsia="方正仿宋_GBK" w:hAnsi="Times New Roman" w:hint="eastAsia"/>
          <w:sz w:val="32"/>
        </w:rPr>
        <w:t>0</w:t>
      </w:r>
      <w:r>
        <w:rPr>
          <w:rFonts w:ascii="Times New Roman" w:eastAsia="方正仿宋_GBK" w:hAnsi="Times New Roman" w:hint="eastAsia"/>
          <w:sz w:val="32"/>
        </w:rPr>
        <w:t>辆，其中，副部（省）级及以上领导用车</w:t>
      </w:r>
      <w:r>
        <w:rPr>
          <w:rFonts w:ascii="Times New Roman" w:eastAsia="方正仿宋_GBK" w:hAnsi="Times New Roman" w:hint="eastAsia"/>
          <w:sz w:val="32"/>
        </w:rPr>
        <w:t>0</w:t>
      </w:r>
      <w:r>
        <w:rPr>
          <w:rFonts w:ascii="Times New Roman" w:eastAsia="方正仿宋_GBK" w:hAnsi="Times New Roman" w:hint="eastAsia"/>
          <w:sz w:val="32"/>
        </w:rPr>
        <w:t>辆、主要负责人用车</w:t>
      </w:r>
      <w:r>
        <w:rPr>
          <w:rFonts w:ascii="Times New Roman" w:eastAsia="方正仿宋_GBK" w:hAnsi="Times New Roman" w:hint="eastAsia"/>
          <w:sz w:val="32"/>
        </w:rPr>
        <w:t>0</w:t>
      </w:r>
      <w:r>
        <w:rPr>
          <w:rFonts w:ascii="Times New Roman" w:eastAsia="方正仿宋_GBK" w:hAnsi="Times New Roman" w:hint="eastAsia"/>
          <w:sz w:val="32"/>
        </w:rPr>
        <w:t>辆、机要通信用车</w:t>
      </w:r>
      <w:r>
        <w:rPr>
          <w:rFonts w:ascii="Times New Roman" w:eastAsia="方正仿宋_GBK" w:hAnsi="Times New Roman" w:hint="eastAsia"/>
          <w:sz w:val="32"/>
        </w:rPr>
        <w:t>0</w:t>
      </w:r>
      <w:r>
        <w:rPr>
          <w:rFonts w:ascii="Times New Roman" w:eastAsia="方正仿宋_GBK" w:hAnsi="Times New Roman" w:hint="eastAsia"/>
          <w:sz w:val="32"/>
        </w:rPr>
        <w:t>辆、应急保障用车</w:t>
      </w:r>
      <w:r>
        <w:rPr>
          <w:rFonts w:ascii="Times New Roman" w:eastAsia="方正仿宋_GBK" w:hAnsi="Times New Roman" w:hint="eastAsia"/>
          <w:sz w:val="32"/>
        </w:rPr>
        <w:t>0</w:t>
      </w:r>
      <w:r>
        <w:rPr>
          <w:rFonts w:ascii="Times New Roman" w:eastAsia="方正仿宋_GBK" w:hAnsi="Times New Roman" w:hint="eastAsia"/>
          <w:sz w:val="32"/>
        </w:rPr>
        <w:t>辆、执法执勤用车</w:t>
      </w:r>
      <w:r>
        <w:rPr>
          <w:rFonts w:ascii="Times New Roman" w:eastAsia="方正仿宋_GBK" w:hAnsi="Times New Roman" w:hint="eastAsia"/>
          <w:sz w:val="32"/>
        </w:rPr>
        <w:t>0</w:t>
      </w:r>
      <w:r>
        <w:rPr>
          <w:rFonts w:ascii="Times New Roman" w:eastAsia="方正仿宋_GBK" w:hAnsi="Times New Roman" w:hint="eastAsia"/>
          <w:sz w:val="32"/>
        </w:rPr>
        <w:t>辆，特种专业技术用车</w:t>
      </w:r>
      <w:r>
        <w:rPr>
          <w:rFonts w:ascii="Times New Roman" w:eastAsia="方正仿宋_GBK" w:hAnsi="Times New Roman" w:hint="eastAsia"/>
          <w:sz w:val="32"/>
        </w:rPr>
        <w:t>0</w:t>
      </w:r>
      <w:r>
        <w:rPr>
          <w:rFonts w:ascii="Times New Roman" w:eastAsia="方正仿宋_GBK" w:hAnsi="Times New Roman" w:hint="eastAsia"/>
          <w:sz w:val="32"/>
        </w:rPr>
        <w:t>辆，离退休干部用车</w:t>
      </w:r>
      <w:r>
        <w:rPr>
          <w:rFonts w:ascii="Times New Roman" w:eastAsia="方正仿宋_GBK" w:hAnsi="Times New Roman" w:hint="eastAsia"/>
          <w:sz w:val="32"/>
        </w:rPr>
        <w:t>0</w:t>
      </w:r>
      <w:r>
        <w:rPr>
          <w:rFonts w:ascii="Times New Roman" w:eastAsia="方正仿宋_GBK" w:hAnsi="Times New Roman" w:hint="eastAsia"/>
          <w:sz w:val="32"/>
        </w:rPr>
        <w:t>辆。单价</w:t>
      </w:r>
      <w:r>
        <w:rPr>
          <w:rFonts w:ascii="Times New Roman" w:eastAsia="方正仿宋_GBK" w:hAnsi="Times New Roman" w:hint="eastAsia"/>
          <w:sz w:val="32"/>
        </w:rPr>
        <w:t>100</w:t>
      </w:r>
      <w:r>
        <w:rPr>
          <w:rFonts w:ascii="Times New Roman" w:eastAsia="方正仿宋_GBK" w:hAnsi="Times New Roman" w:hint="eastAsia"/>
          <w:sz w:val="32"/>
        </w:rPr>
        <w:t>万元（含）以上专用设备</w:t>
      </w:r>
      <w:r>
        <w:rPr>
          <w:rFonts w:ascii="Times New Roman" w:eastAsia="方正仿宋_GBK" w:hAnsi="Times New Roman" w:hint="eastAsia"/>
          <w:sz w:val="32"/>
        </w:rPr>
        <w:t>0</w:t>
      </w:r>
      <w:r>
        <w:rPr>
          <w:rFonts w:ascii="Times New Roman" w:eastAsia="方正仿宋_GBK" w:hAnsi="Times New Roman" w:hint="eastAsia"/>
          <w:sz w:val="32"/>
        </w:rPr>
        <w:t>台（套）。</w:t>
      </w:r>
    </w:p>
    <w:p w:rsidR="00B11411" w:rsidRDefault="00F71100">
      <w:pPr>
        <w:spacing w:line="560"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（四）政府采购支出情况说明</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  2024</w:t>
      </w:r>
      <w:r>
        <w:rPr>
          <w:rFonts w:ascii="Times New Roman" w:eastAsia="方正仿宋_GBK" w:hAnsi="Times New Roman" w:hint="eastAsia"/>
          <w:sz w:val="32"/>
        </w:rPr>
        <w:t>年度我单位未发生政府采购事项，无相关经费支出。</w:t>
      </w:r>
    </w:p>
    <w:p w:rsidR="00B11411" w:rsidRDefault="00F71100">
      <w:pPr>
        <w:spacing w:line="560"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hint="eastAsia"/>
          <w:sz w:val="32"/>
        </w:rPr>
        <w:t>五、专业名词解释</w:t>
      </w:r>
    </w:p>
    <w:p w:rsidR="00B11411" w:rsidRDefault="00F71100">
      <w:pPr>
        <w:spacing w:line="560" w:lineRule="exact"/>
        <w:ind w:firstLineChars="200" w:firstLine="640"/>
        <w:rPr>
          <w:rFonts w:ascii="Times New Roman" w:eastAsia="方正仿宋_GBK" w:hAnsi="Times New Roman"/>
          <w:sz w:val="32"/>
        </w:rPr>
      </w:pPr>
      <w:r>
        <w:rPr>
          <w:rFonts w:ascii="方正楷体_GBK" w:eastAsia="方正楷体_GBK" w:hAnsi="方正楷体_GBK" w:cs="方正楷体_GBK" w:hint="eastAsia"/>
          <w:sz w:val="32"/>
        </w:rPr>
        <w:t>（一）财政拨款收入：</w:t>
      </w:r>
      <w:r>
        <w:rPr>
          <w:rFonts w:ascii="Times New Roman" w:eastAsia="方正仿宋_GBK" w:hAnsi="Times New Roman" w:hint="eastAsia"/>
          <w:sz w:val="32"/>
        </w:rPr>
        <w:t>指本年度从本级财政部门取得的财政拨款，包括一般公共预算财政拨款和政府性基金预算财政拨款。</w:t>
      </w:r>
    </w:p>
    <w:p w:rsidR="00B11411" w:rsidRDefault="00F71100">
      <w:pPr>
        <w:spacing w:line="560" w:lineRule="exact"/>
        <w:ind w:firstLineChars="200" w:firstLine="640"/>
        <w:rPr>
          <w:rFonts w:ascii="Times New Roman" w:eastAsia="方正仿宋_GBK" w:hAnsi="Times New Roman"/>
          <w:sz w:val="32"/>
        </w:rPr>
      </w:pPr>
      <w:r>
        <w:rPr>
          <w:rFonts w:ascii="方正楷体_GBK" w:eastAsia="方正楷体_GBK" w:hAnsi="方正楷体_GBK" w:cs="方正楷体_GBK" w:hint="eastAsia"/>
          <w:sz w:val="32"/>
        </w:rPr>
        <w:t>（二）事业收入：</w:t>
      </w:r>
      <w:r>
        <w:rPr>
          <w:rFonts w:ascii="Times New Roman" w:eastAsia="方正仿宋_GBK" w:hAnsi="Times New Roman" w:hint="eastAsia"/>
          <w:sz w:val="32"/>
        </w:rPr>
        <w:t>指事业单位开展专业业务活动及其辅</w:t>
      </w:r>
      <w:r>
        <w:rPr>
          <w:rFonts w:ascii="Times New Roman" w:eastAsia="方正仿宋_GBK" w:hAnsi="Times New Roman" w:hint="eastAsia"/>
          <w:sz w:val="32"/>
        </w:rPr>
        <w:lastRenderedPageBreak/>
        <w:t>助活动取得的现金流入；事业单位收到的财政专户实际核拨的教育收费等资金在此反映。</w:t>
      </w:r>
    </w:p>
    <w:p w:rsidR="00B11411" w:rsidRDefault="00F71100">
      <w:pPr>
        <w:spacing w:line="560" w:lineRule="exact"/>
        <w:ind w:firstLineChars="200" w:firstLine="640"/>
        <w:rPr>
          <w:rFonts w:ascii="Times New Roman" w:eastAsia="方正仿宋_GBK" w:hAnsi="Times New Roman"/>
          <w:sz w:val="32"/>
        </w:rPr>
      </w:pPr>
      <w:r>
        <w:rPr>
          <w:rFonts w:ascii="方正楷体_GBK" w:eastAsia="方正楷体_GBK" w:hAnsi="方正楷体_GBK" w:cs="方正楷体_GBK" w:hint="eastAsia"/>
          <w:sz w:val="32"/>
        </w:rPr>
        <w:t>（三）经营收入：</w:t>
      </w:r>
      <w:r>
        <w:rPr>
          <w:rFonts w:ascii="Times New Roman" w:eastAsia="方正仿宋_GBK" w:hAnsi="Times New Roman" w:hint="eastAsia"/>
          <w:sz w:val="32"/>
        </w:rPr>
        <w:t>指事业单位在专业业务活动及其辅助活动之外开展非独立核算经营活动取得的现金流入。</w:t>
      </w:r>
    </w:p>
    <w:p w:rsidR="00B11411" w:rsidRDefault="00F71100">
      <w:pPr>
        <w:spacing w:line="560" w:lineRule="exact"/>
        <w:ind w:firstLineChars="200" w:firstLine="640"/>
        <w:rPr>
          <w:rFonts w:ascii="Times New Roman" w:eastAsia="方正仿宋_GBK" w:hAnsi="Times New Roman"/>
          <w:sz w:val="32"/>
        </w:rPr>
      </w:pPr>
      <w:r>
        <w:rPr>
          <w:rFonts w:ascii="方正楷体_GBK" w:eastAsia="方正楷体_GBK" w:hAnsi="方正楷体_GBK" w:cs="方正楷体_GBK" w:hint="eastAsia"/>
          <w:sz w:val="32"/>
        </w:rPr>
        <w:t>（四）其他收入：</w:t>
      </w:r>
      <w:r>
        <w:rPr>
          <w:rFonts w:ascii="Times New Roman" w:eastAsia="方正仿宋_GBK" w:hAnsi="Times New Roman" w:hint="eastAsia"/>
          <w:sz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w:t>
      </w:r>
      <w:r>
        <w:rPr>
          <w:rFonts w:ascii="Times New Roman" w:eastAsia="方正仿宋_GBK" w:hAnsi="Times New Roman" w:hint="eastAsia"/>
          <w:sz w:val="32"/>
        </w:rPr>
        <w:t>单位收到的财政专户管理资金反映在本项内。</w:t>
      </w:r>
    </w:p>
    <w:p w:rsidR="00B11411" w:rsidRDefault="00F71100">
      <w:pPr>
        <w:spacing w:line="560" w:lineRule="exact"/>
        <w:ind w:firstLineChars="200" w:firstLine="640"/>
        <w:rPr>
          <w:rFonts w:ascii="Times New Roman" w:eastAsia="方正仿宋_GBK" w:hAnsi="Times New Roman"/>
          <w:sz w:val="32"/>
        </w:rPr>
      </w:pPr>
      <w:r>
        <w:rPr>
          <w:rFonts w:ascii="方正楷体_GBK" w:eastAsia="方正楷体_GBK" w:hAnsi="方正楷体_GBK" w:cs="方正楷体_GBK" w:hint="eastAsia"/>
          <w:sz w:val="32"/>
        </w:rPr>
        <w:t>（五）使用非财政拨款结余：</w:t>
      </w:r>
      <w:r>
        <w:rPr>
          <w:rFonts w:ascii="Times New Roman" w:eastAsia="方正仿宋_GBK" w:hAnsi="Times New Roman" w:hint="eastAsia"/>
          <w:sz w:val="32"/>
        </w:rPr>
        <w:t>指单位在当年的“财政拨款收入”、“事业收入”、“经营收入”、“其他收入”等不足以安排当年支出的情况下，使用以前年度积累的非财政拨款结余弥补本年度收支缺口的资金。</w:t>
      </w:r>
    </w:p>
    <w:p w:rsidR="00B11411" w:rsidRDefault="00F71100">
      <w:pPr>
        <w:spacing w:line="560" w:lineRule="exact"/>
        <w:ind w:firstLineChars="200" w:firstLine="640"/>
        <w:rPr>
          <w:rFonts w:ascii="Times New Roman" w:eastAsia="方正仿宋_GBK" w:hAnsi="Times New Roman"/>
          <w:sz w:val="32"/>
        </w:rPr>
      </w:pPr>
      <w:r>
        <w:rPr>
          <w:rFonts w:ascii="方正楷体_GBK" w:eastAsia="方正楷体_GBK" w:hAnsi="方正楷体_GBK" w:cs="方正楷体_GBK" w:hint="eastAsia"/>
          <w:sz w:val="32"/>
        </w:rPr>
        <w:t>（六）年初结转和结余：</w:t>
      </w:r>
      <w:r>
        <w:rPr>
          <w:rFonts w:ascii="Times New Roman" w:eastAsia="方正仿宋_GBK" w:hAnsi="Times New Roman" w:hint="eastAsia"/>
          <w:sz w:val="32"/>
        </w:rPr>
        <w:t>指单位上年结转本年使用的基本支出结转、项目支出结转和结余、经营结余。</w:t>
      </w:r>
    </w:p>
    <w:p w:rsidR="00B11411" w:rsidRDefault="00F71100">
      <w:pPr>
        <w:spacing w:line="560" w:lineRule="exact"/>
        <w:ind w:firstLineChars="200" w:firstLine="640"/>
        <w:rPr>
          <w:rFonts w:ascii="Times New Roman" w:eastAsia="方正仿宋_GBK" w:hAnsi="Times New Roman"/>
          <w:sz w:val="32"/>
        </w:rPr>
      </w:pPr>
      <w:r>
        <w:rPr>
          <w:rFonts w:ascii="方正楷体_GBK" w:eastAsia="方正楷体_GBK" w:hAnsi="方正楷体_GBK" w:cs="方正楷体_GBK" w:hint="eastAsia"/>
          <w:sz w:val="32"/>
        </w:rPr>
        <w:t>（七）结余分配：</w:t>
      </w:r>
      <w:r>
        <w:rPr>
          <w:rFonts w:ascii="Times New Roman" w:eastAsia="方正仿宋_GBK" w:hAnsi="Times New Roman" w:hint="eastAsia"/>
          <w:sz w:val="32"/>
        </w:rPr>
        <w:t>指单位按照国家有关规定，缴纳所得税、提取专用基金、转入非财政拨款结余等当年结余的分配情况。</w:t>
      </w:r>
    </w:p>
    <w:p w:rsidR="00B11411" w:rsidRDefault="00F71100">
      <w:pPr>
        <w:spacing w:line="560" w:lineRule="exact"/>
        <w:ind w:firstLineChars="200" w:firstLine="640"/>
        <w:rPr>
          <w:rFonts w:ascii="Times New Roman" w:eastAsia="方正仿宋_GBK" w:hAnsi="Times New Roman"/>
          <w:sz w:val="32"/>
        </w:rPr>
      </w:pPr>
      <w:r>
        <w:rPr>
          <w:rFonts w:ascii="方正楷体_GBK" w:eastAsia="方正楷体_GBK" w:hAnsi="方正楷体_GBK" w:cs="方正楷体_GBK" w:hint="eastAsia"/>
          <w:sz w:val="32"/>
        </w:rPr>
        <w:t>（八）年末结转和结余：</w:t>
      </w:r>
      <w:r>
        <w:rPr>
          <w:rFonts w:ascii="Times New Roman" w:eastAsia="方正仿宋_GBK" w:hAnsi="Times New Roman" w:hint="eastAsia"/>
          <w:sz w:val="32"/>
        </w:rPr>
        <w:t>指单位结转下年的基本支出结转、项目支出结转和结余、经营结余。</w:t>
      </w:r>
    </w:p>
    <w:p w:rsidR="00B11411" w:rsidRDefault="00F71100">
      <w:pPr>
        <w:spacing w:line="560" w:lineRule="exact"/>
        <w:ind w:firstLineChars="200" w:firstLine="640"/>
        <w:rPr>
          <w:rFonts w:ascii="Times New Roman" w:eastAsia="方正仿宋_GBK" w:hAnsi="Times New Roman"/>
          <w:sz w:val="32"/>
        </w:rPr>
      </w:pPr>
      <w:r>
        <w:rPr>
          <w:rFonts w:ascii="方正楷体_GBK" w:eastAsia="方正楷体_GBK" w:hAnsi="方正楷体_GBK" w:cs="方正楷体_GBK" w:hint="eastAsia"/>
          <w:sz w:val="32"/>
        </w:rPr>
        <w:t>（九）基本支出：指</w:t>
      </w:r>
      <w:r>
        <w:rPr>
          <w:rFonts w:ascii="Times New Roman" w:eastAsia="方正仿宋_GBK" w:hAnsi="Times New Roman" w:hint="eastAsia"/>
          <w:sz w:val="32"/>
        </w:rPr>
        <w:t>为保障机构正常运转、完成日常工</w:t>
      </w:r>
      <w:r>
        <w:rPr>
          <w:rFonts w:ascii="Times New Roman" w:eastAsia="方正仿宋_GBK" w:hAnsi="Times New Roman" w:hint="eastAsia"/>
          <w:sz w:val="32"/>
        </w:rPr>
        <w:lastRenderedPageBreak/>
        <w:t>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B11411" w:rsidRDefault="00F71100">
      <w:pPr>
        <w:spacing w:line="560" w:lineRule="exact"/>
        <w:ind w:firstLineChars="200" w:firstLine="640"/>
        <w:rPr>
          <w:rFonts w:ascii="Times New Roman" w:eastAsia="方正仿宋_GBK" w:hAnsi="Times New Roman"/>
          <w:sz w:val="32"/>
        </w:rPr>
      </w:pPr>
      <w:r>
        <w:rPr>
          <w:rFonts w:ascii="方正楷体_GBK" w:eastAsia="方正楷体_GBK" w:hAnsi="方正楷体_GBK" w:cs="方正楷体_GBK" w:hint="eastAsia"/>
          <w:sz w:val="32"/>
        </w:rPr>
        <w:t>（十）项目支出：</w:t>
      </w:r>
      <w:r>
        <w:rPr>
          <w:rFonts w:ascii="Times New Roman" w:eastAsia="方正仿宋_GBK" w:hAnsi="Times New Roman" w:hint="eastAsia"/>
          <w:sz w:val="32"/>
        </w:rPr>
        <w:t>指在基本支出之外为完成特定行政任务和事业发展目标所发生的支出。</w:t>
      </w:r>
    </w:p>
    <w:p w:rsidR="00B11411" w:rsidRDefault="00F71100">
      <w:pPr>
        <w:spacing w:line="560" w:lineRule="exact"/>
        <w:ind w:firstLineChars="200" w:firstLine="640"/>
        <w:rPr>
          <w:rFonts w:ascii="Times New Roman" w:eastAsia="方正仿宋_GBK" w:hAnsi="Times New Roman"/>
          <w:sz w:val="32"/>
        </w:rPr>
      </w:pPr>
      <w:r>
        <w:rPr>
          <w:rFonts w:ascii="方正楷体_GBK" w:eastAsia="方正楷体_GBK" w:hAnsi="方正楷体_GBK" w:cs="方正楷体_GBK" w:hint="eastAsia"/>
          <w:sz w:val="32"/>
        </w:rPr>
        <w:t>（十一）经营支出：</w:t>
      </w:r>
      <w:r>
        <w:rPr>
          <w:rFonts w:ascii="Times New Roman" w:eastAsia="方正仿宋_GBK" w:hAnsi="Times New Roman" w:hint="eastAsia"/>
          <w:sz w:val="32"/>
        </w:rPr>
        <w:t>指事业单位在专业业务活动及其辅助活动之外开展非独立核算经营活动发生的支出。</w:t>
      </w:r>
    </w:p>
    <w:p w:rsidR="00B11411" w:rsidRDefault="00F71100">
      <w:pPr>
        <w:spacing w:line="560" w:lineRule="exact"/>
        <w:ind w:firstLineChars="200" w:firstLine="640"/>
        <w:rPr>
          <w:rFonts w:ascii="Times New Roman" w:eastAsia="方正仿宋_GBK" w:hAnsi="Times New Roman"/>
          <w:sz w:val="32"/>
        </w:rPr>
      </w:pPr>
      <w:r>
        <w:rPr>
          <w:rFonts w:ascii="方正楷体_GBK" w:eastAsia="方正楷体_GBK" w:hAnsi="方正楷体_GBK" w:cs="方正楷体_GBK" w:hint="eastAsia"/>
          <w:sz w:val="32"/>
        </w:rPr>
        <w:t>（十二）“三公”经费：</w:t>
      </w:r>
      <w:r>
        <w:rPr>
          <w:rFonts w:ascii="Times New Roman" w:eastAsia="方正仿宋_GBK" w:hAnsi="Times New Roman" w:hint="eastAsia"/>
          <w:sz w:val="32"/>
        </w:rPr>
        <w:t>指用财政拨款安排的因公出国（境）费、公务用车购置及运行维护费</w:t>
      </w:r>
      <w:r>
        <w:rPr>
          <w:rFonts w:ascii="Times New Roman" w:eastAsia="方正仿宋_GBK" w:hAnsi="Times New Roman" w:hint="eastAsia"/>
          <w:sz w:val="32"/>
        </w:rPr>
        <w:t>、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B11411" w:rsidRDefault="00F71100">
      <w:pPr>
        <w:spacing w:line="560" w:lineRule="exact"/>
        <w:ind w:firstLineChars="200" w:firstLine="640"/>
        <w:rPr>
          <w:rFonts w:ascii="Times New Roman" w:eastAsia="方正仿宋_GBK" w:hAnsi="Times New Roman"/>
          <w:sz w:val="32"/>
        </w:rPr>
      </w:pPr>
      <w:r>
        <w:rPr>
          <w:rFonts w:ascii="方正楷体_GBK" w:eastAsia="方正楷体_GBK" w:hAnsi="方正楷体_GBK" w:cs="方正楷体_GBK" w:hint="eastAsia"/>
          <w:sz w:val="32"/>
        </w:rPr>
        <w:t>（十三）机关运行经费：</w:t>
      </w:r>
      <w:r>
        <w:rPr>
          <w:rFonts w:ascii="Times New Roman" w:eastAsia="方正仿宋_GBK" w:hAnsi="Times New Roman" w:hint="eastAsia"/>
          <w:sz w:val="32"/>
        </w:rPr>
        <w:t>为保障行政单位（含参照公务员法管理的事业单位）运行用于购买货物和服务等的各项公用经费，包括办公及印刷费、邮电费、差旅费、会议费、福利费、日常维</w:t>
      </w:r>
      <w:r>
        <w:rPr>
          <w:rFonts w:ascii="Times New Roman" w:eastAsia="方正仿宋_GBK" w:hAnsi="Times New Roman" w:hint="eastAsia"/>
          <w:sz w:val="32"/>
        </w:rPr>
        <w:t>护费、专用材料及一般设备购置费、办公用房水电费、办公用房取暖费、办公用房物业管理费、公务用车运行维护费以及其他费用。</w:t>
      </w:r>
    </w:p>
    <w:p w:rsidR="00B11411" w:rsidRDefault="00F71100">
      <w:pPr>
        <w:spacing w:line="560" w:lineRule="exact"/>
        <w:ind w:firstLineChars="200" w:firstLine="640"/>
        <w:rPr>
          <w:rFonts w:ascii="Times New Roman" w:eastAsia="方正仿宋_GBK" w:hAnsi="Times New Roman"/>
          <w:sz w:val="32"/>
        </w:rPr>
      </w:pPr>
      <w:r>
        <w:rPr>
          <w:rFonts w:ascii="方正楷体_GBK" w:eastAsia="方正楷体_GBK" w:hAnsi="方正楷体_GBK" w:cs="方正楷体_GBK" w:hint="eastAsia"/>
          <w:sz w:val="32"/>
        </w:rPr>
        <w:t>（十四）工资福利支出（支出经济分类科目类级）：</w:t>
      </w:r>
      <w:r>
        <w:rPr>
          <w:rFonts w:ascii="Times New Roman" w:eastAsia="方正仿宋_GBK" w:hAnsi="Times New Roman" w:hint="eastAsia"/>
          <w:sz w:val="32"/>
        </w:rPr>
        <w:t>反</w:t>
      </w:r>
      <w:r>
        <w:rPr>
          <w:rFonts w:ascii="Times New Roman" w:eastAsia="方正仿宋_GBK" w:hAnsi="Times New Roman" w:hint="eastAsia"/>
          <w:sz w:val="32"/>
        </w:rPr>
        <w:lastRenderedPageBreak/>
        <w:t>映单位开支的在职职工和编制外长期聘用人员的各类劳动报酬，以及为上述人员缴纳的各项社会保险费等。</w:t>
      </w:r>
    </w:p>
    <w:p w:rsidR="00B11411" w:rsidRDefault="00F71100">
      <w:pPr>
        <w:spacing w:line="560" w:lineRule="exact"/>
        <w:ind w:firstLineChars="200" w:firstLine="640"/>
        <w:rPr>
          <w:rFonts w:ascii="Times New Roman" w:eastAsia="方正仿宋_GBK" w:hAnsi="Times New Roman"/>
          <w:sz w:val="32"/>
        </w:rPr>
      </w:pPr>
      <w:r>
        <w:rPr>
          <w:rFonts w:ascii="方正楷体_GBK" w:eastAsia="方正楷体_GBK" w:hAnsi="方正楷体_GBK" w:cs="方正楷体_GBK" w:hint="eastAsia"/>
          <w:sz w:val="32"/>
        </w:rPr>
        <w:t>（十五）商品和服务支出（支出经济分类科目类级）：</w:t>
      </w:r>
      <w:r>
        <w:rPr>
          <w:rFonts w:ascii="Times New Roman" w:eastAsia="方正仿宋_GBK" w:hAnsi="Times New Roman" w:hint="eastAsia"/>
          <w:sz w:val="32"/>
        </w:rPr>
        <w:t>反映单位购买商品和服务的支出（不包括用于购置固定资产的支出、战略性和应急储备支出）。</w:t>
      </w:r>
    </w:p>
    <w:p w:rsidR="00B11411" w:rsidRDefault="00F71100">
      <w:pPr>
        <w:spacing w:line="560" w:lineRule="exact"/>
        <w:ind w:firstLineChars="200" w:firstLine="640"/>
        <w:rPr>
          <w:rFonts w:ascii="Times New Roman" w:eastAsia="方正仿宋_GBK" w:hAnsi="Times New Roman"/>
          <w:sz w:val="32"/>
        </w:rPr>
      </w:pPr>
      <w:r>
        <w:rPr>
          <w:rFonts w:ascii="方正楷体_GBK" w:eastAsia="方正楷体_GBK" w:hAnsi="方正楷体_GBK" w:cs="方正楷体_GBK" w:hint="eastAsia"/>
          <w:sz w:val="32"/>
        </w:rPr>
        <w:t>（十六）对个人和家庭的补助（支出经济分类科目类级）：</w:t>
      </w:r>
      <w:r>
        <w:rPr>
          <w:rFonts w:ascii="Times New Roman" w:eastAsia="方正仿宋_GBK" w:hAnsi="Times New Roman" w:hint="eastAsia"/>
          <w:sz w:val="32"/>
        </w:rPr>
        <w:t>反映用于对个人和家庭的补助支出。</w:t>
      </w:r>
    </w:p>
    <w:p w:rsidR="00B11411" w:rsidRDefault="00F71100">
      <w:pPr>
        <w:spacing w:line="560" w:lineRule="exact"/>
        <w:ind w:firstLineChars="200" w:firstLine="640"/>
        <w:rPr>
          <w:rFonts w:ascii="Times New Roman" w:eastAsia="方正仿宋_GBK" w:hAnsi="Times New Roman"/>
          <w:sz w:val="32"/>
        </w:rPr>
      </w:pPr>
      <w:r>
        <w:rPr>
          <w:rFonts w:ascii="方正楷体_GBK" w:eastAsia="方正楷体_GBK" w:hAnsi="方正楷体_GBK" w:cs="方正楷体_GBK" w:hint="eastAsia"/>
          <w:sz w:val="32"/>
        </w:rPr>
        <w:t>（十七）其他资本性支出（支出经</w:t>
      </w:r>
      <w:r>
        <w:rPr>
          <w:rFonts w:ascii="方正楷体_GBK" w:eastAsia="方正楷体_GBK" w:hAnsi="方正楷体_GBK" w:cs="方正楷体_GBK" w:hint="eastAsia"/>
          <w:sz w:val="32"/>
        </w:rPr>
        <w:t>济分类科目类级）：</w:t>
      </w:r>
      <w:r>
        <w:rPr>
          <w:rFonts w:ascii="Times New Roman" w:eastAsia="方正仿宋_GBK" w:hAnsi="Times New Roman" w:hint="eastAsia"/>
          <w:sz w:val="32"/>
        </w:rPr>
        <w:t>反映非各级发展与改革部门集中安排的用于购置固定资产、战略性和应急性储备、土地和无形资产，以及构建基础设施、大型修缮和财政支持企业更新改造所发生的支出。</w:t>
      </w:r>
    </w:p>
    <w:p w:rsidR="00B11411" w:rsidRDefault="00F71100">
      <w:pPr>
        <w:spacing w:line="560"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hint="eastAsia"/>
          <w:sz w:val="32"/>
        </w:rPr>
        <w:t>六、决算公开联系方式及信息反馈渠道</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本单位决算公开信息反馈和联系方式：</w:t>
      </w:r>
    </w:p>
    <w:p w:rsidR="00B11411" w:rsidRDefault="00F71100">
      <w:pPr>
        <w:spacing w:line="560" w:lineRule="exact"/>
        <w:ind w:firstLineChars="200" w:firstLine="640"/>
        <w:rPr>
          <w:rFonts w:ascii="Times New Roman" w:eastAsia="方正仿宋_GBK" w:hAnsi="Times New Roman"/>
          <w:sz w:val="32"/>
        </w:rPr>
      </w:pPr>
      <w:r>
        <w:rPr>
          <w:rFonts w:ascii="Times New Roman" w:eastAsia="方正仿宋_GBK" w:hAnsi="Times New Roman" w:hint="eastAsia"/>
          <w:sz w:val="32"/>
        </w:rPr>
        <w:t>联系人：庹垒强</w:t>
      </w:r>
      <w:r>
        <w:rPr>
          <w:rFonts w:ascii="Times New Roman" w:eastAsia="方正仿宋_GBK" w:hAnsi="Times New Roman" w:hint="eastAsia"/>
          <w:sz w:val="32"/>
        </w:rPr>
        <w:t xml:space="preserve">       02378442291  </w:t>
      </w:r>
    </w:p>
    <w:p w:rsidR="00B11411" w:rsidRDefault="00B11411">
      <w:pPr>
        <w:pStyle w:val="a5"/>
        <w:snapToGrid w:val="0"/>
        <w:spacing w:before="0" w:beforeAutospacing="0" w:after="0" w:afterAutospacing="0" w:line="560" w:lineRule="exact"/>
        <w:ind w:firstLineChars="200" w:firstLine="640"/>
        <w:jc w:val="both"/>
        <w:rPr>
          <w:rFonts w:asciiTheme="minorEastAsia" w:eastAsiaTheme="minorEastAsia" w:hAnsiTheme="minorEastAsia"/>
          <w:sz w:val="32"/>
          <w:szCs w:val="32"/>
        </w:rPr>
      </w:pPr>
    </w:p>
    <w:p w:rsidR="00B11411" w:rsidRDefault="00B11411">
      <w:pPr>
        <w:pStyle w:val="a5"/>
        <w:spacing w:before="0" w:beforeAutospacing="0" w:after="0" w:afterAutospacing="0" w:line="560" w:lineRule="exact"/>
        <w:ind w:firstLineChars="200" w:firstLine="480"/>
        <w:rPr>
          <w:rFonts w:asciiTheme="minorEastAsia" w:eastAsiaTheme="minorEastAsia" w:hAnsiTheme="minorEastAsia"/>
        </w:rPr>
      </w:pPr>
    </w:p>
    <w:p w:rsidR="00B11411" w:rsidRDefault="00B11411">
      <w:pPr>
        <w:spacing w:line="560" w:lineRule="exact"/>
        <w:ind w:firstLine="200"/>
        <w:rPr>
          <w:rFonts w:asciiTheme="minorEastAsia" w:eastAsiaTheme="minorEastAsia" w:hAnsiTheme="minorEastAsia" w:cs="宋体"/>
          <w:color w:val="000000"/>
          <w:kern w:val="0"/>
          <w:sz w:val="28"/>
          <w:szCs w:val="28"/>
        </w:rPr>
      </w:pPr>
    </w:p>
    <w:p w:rsidR="00B11411" w:rsidRDefault="00B11411">
      <w:pPr>
        <w:spacing w:line="560" w:lineRule="exact"/>
        <w:ind w:firstLine="200"/>
        <w:rPr>
          <w:rFonts w:asciiTheme="minorEastAsia" w:eastAsiaTheme="minorEastAsia" w:hAnsiTheme="minorEastAsia" w:cs="宋体"/>
          <w:color w:val="000000"/>
          <w:kern w:val="0"/>
          <w:sz w:val="28"/>
          <w:szCs w:val="28"/>
        </w:rPr>
      </w:pPr>
    </w:p>
    <w:p w:rsidR="00B11411" w:rsidRDefault="00B11411">
      <w:pPr>
        <w:spacing w:line="560" w:lineRule="exact"/>
        <w:ind w:firstLine="200"/>
        <w:rPr>
          <w:rFonts w:asciiTheme="minorEastAsia" w:eastAsiaTheme="minorEastAsia" w:hAnsiTheme="minorEastAsia" w:cs="宋体"/>
          <w:color w:val="000000"/>
          <w:kern w:val="0"/>
          <w:sz w:val="28"/>
          <w:szCs w:val="28"/>
        </w:rPr>
      </w:pPr>
    </w:p>
    <w:p w:rsidR="00B11411" w:rsidRDefault="00B11411">
      <w:pPr>
        <w:spacing w:line="560" w:lineRule="exact"/>
        <w:ind w:firstLine="200"/>
        <w:rPr>
          <w:rFonts w:asciiTheme="minorEastAsia" w:eastAsiaTheme="minorEastAsia" w:hAnsiTheme="minorEastAsia" w:cs="宋体"/>
          <w:color w:val="000000"/>
          <w:kern w:val="0"/>
          <w:sz w:val="22"/>
        </w:rPr>
      </w:pPr>
    </w:p>
    <w:p w:rsidR="00B11411" w:rsidRDefault="00B11411">
      <w:pPr>
        <w:pStyle w:val="a5"/>
        <w:snapToGrid w:val="0"/>
        <w:spacing w:before="0" w:beforeAutospacing="0" w:after="0" w:afterAutospacing="0" w:line="560" w:lineRule="exact"/>
        <w:ind w:firstLine="200"/>
        <w:jc w:val="both"/>
        <w:rPr>
          <w:rFonts w:asciiTheme="minorEastAsia" w:eastAsiaTheme="minorEastAsia" w:hAnsiTheme="minorEastAsia"/>
          <w:sz w:val="28"/>
          <w:szCs w:val="28"/>
          <w:shd w:val="clear" w:color="auto" w:fill="FFFFFF"/>
        </w:rPr>
      </w:pPr>
    </w:p>
    <w:p w:rsidR="00B11411" w:rsidRDefault="00B11411">
      <w:pPr>
        <w:pStyle w:val="a5"/>
        <w:snapToGrid w:val="0"/>
        <w:spacing w:before="0" w:beforeAutospacing="0" w:after="0" w:afterAutospacing="0" w:line="560" w:lineRule="exact"/>
        <w:ind w:firstLine="200"/>
        <w:jc w:val="both"/>
        <w:rPr>
          <w:rFonts w:ascii="方正仿宋_GBK" w:eastAsia="方正仿宋_GBK" w:hAnsi="Times New Roman"/>
          <w:sz w:val="28"/>
          <w:szCs w:val="28"/>
        </w:rPr>
      </w:pPr>
    </w:p>
    <w:p w:rsidR="00B11411" w:rsidRDefault="00B11411">
      <w:pPr>
        <w:pStyle w:val="a7"/>
        <w:tabs>
          <w:tab w:val="center" w:pos="4153"/>
          <w:tab w:val="left" w:pos="7275"/>
        </w:tabs>
        <w:spacing w:line="560" w:lineRule="exact"/>
        <w:ind w:firstLineChars="150" w:firstLine="422"/>
        <w:jc w:val="left"/>
        <w:rPr>
          <w:rFonts w:asciiTheme="minorEastAsia" w:eastAsiaTheme="minorEastAsia" w:hAnsiTheme="minorEastAsia" w:cs="宋体"/>
          <w:b/>
          <w:bCs/>
          <w:sz w:val="28"/>
          <w:szCs w:val="28"/>
        </w:rPr>
      </w:pPr>
    </w:p>
    <w:p w:rsidR="00B11411" w:rsidRDefault="00B11411">
      <w:pPr>
        <w:pStyle w:val="a5"/>
        <w:snapToGrid w:val="0"/>
        <w:spacing w:before="0" w:beforeAutospacing="0" w:after="0" w:afterAutospacing="0" w:line="560" w:lineRule="exact"/>
        <w:ind w:firstLineChars="200" w:firstLine="560"/>
        <w:jc w:val="both"/>
        <w:rPr>
          <w:rFonts w:asciiTheme="minorEastAsia" w:eastAsiaTheme="minorEastAsia" w:hAnsiTheme="minorEastAsia"/>
          <w:sz w:val="28"/>
          <w:szCs w:val="28"/>
        </w:rPr>
      </w:pPr>
    </w:p>
    <w:sectPr w:rsidR="00B1141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100" w:rsidRDefault="00F71100">
      <w:r>
        <w:separator/>
      </w:r>
    </w:p>
  </w:endnote>
  <w:endnote w:type="continuationSeparator" w:id="0">
    <w:p w:rsidR="00F71100" w:rsidRDefault="00F7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411" w:rsidRDefault="00F71100">
    <w:pPr>
      <w:pStyle w:val="a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11411" w:rsidRDefault="00F71100">
                          <w:pPr>
                            <w:pStyle w:val="a0"/>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50387A">
                            <w:rPr>
                              <w:rFonts w:ascii="宋体" w:hAnsi="宋体"/>
                              <w:noProof/>
                              <w:sz w:val="28"/>
                              <w:szCs w:val="28"/>
                            </w:rPr>
                            <w:t>6</w:t>
                          </w:r>
                          <w:r>
                            <w:rPr>
                              <w:rFonts w:ascii="宋体" w:hAnsi="宋体"/>
                              <w:sz w:val="28"/>
                              <w:szCs w:val="28"/>
                            </w:rPr>
                            <w:fldChar w:fldCharType="end"/>
                          </w:r>
                          <w:r>
                            <w:rPr>
                              <w:rFonts w:ascii="宋体" w:hAnsi="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B11411" w:rsidRDefault="00F71100">
                    <w:pPr>
                      <w:pStyle w:val="a0"/>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50387A">
                      <w:rPr>
                        <w:rFonts w:ascii="宋体" w:hAnsi="宋体"/>
                        <w:noProof/>
                        <w:sz w:val="28"/>
                        <w:szCs w:val="28"/>
                      </w:rPr>
                      <w:t>6</w:t>
                    </w:r>
                    <w:r>
                      <w:rPr>
                        <w:rFonts w:ascii="宋体" w:hAnsi="宋体"/>
                        <w:sz w:val="28"/>
                        <w:szCs w:val="28"/>
                      </w:rPr>
                      <w:fldChar w:fldCharType="end"/>
                    </w:r>
                    <w:r>
                      <w:rPr>
                        <w:rFonts w:ascii="宋体" w:hAnsi="宋体"/>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100" w:rsidRDefault="00F71100">
      <w:r>
        <w:separator/>
      </w:r>
    </w:p>
  </w:footnote>
  <w:footnote w:type="continuationSeparator" w:id="0">
    <w:p w:rsidR="00F71100" w:rsidRDefault="00F71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05"/>
    <w:rsid w:val="8BDFA6F6"/>
    <w:rsid w:val="97B3223E"/>
    <w:rsid w:val="AFF9AFC8"/>
    <w:rsid w:val="B7DD51D1"/>
    <w:rsid w:val="D5EFD21C"/>
    <w:rsid w:val="D6FE5836"/>
    <w:rsid w:val="DFFD1F55"/>
    <w:rsid w:val="DFFFE540"/>
    <w:rsid w:val="EF89CCF6"/>
    <w:rsid w:val="EFFF911D"/>
    <w:rsid w:val="F7EF25F7"/>
    <w:rsid w:val="FB3F0745"/>
    <w:rsid w:val="FE5285DD"/>
    <w:rsid w:val="00003DEF"/>
    <w:rsid w:val="000236D2"/>
    <w:rsid w:val="00023E88"/>
    <w:rsid w:val="0002514C"/>
    <w:rsid w:val="00031082"/>
    <w:rsid w:val="00032219"/>
    <w:rsid w:val="00041502"/>
    <w:rsid w:val="00047568"/>
    <w:rsid w:val="00047B56"/>
    <w:rsid w:val="00054942"/>
    <w:rsid w:val="00054E11"/>
    <w:rsid w:val="00057B0E"/>
    <w:rsid w:val="00071EFE"/>
    <w:rsid w:val="000740B1"/>
    <w:rsid w:val="00077A1C"/>
    <w:rsid w:val="00084E44"/>
    <w:rsid w:val="00096DCD"/>
    <w:rsid w:val="000A0A18"/>
    <w:rsid w:val="000A0CB6"/>
    <w:rsid w:val="000A7E34"/>
    <w:rsid w:val="000B39B2"/>
    <w:rsid w:val="000B5C74"/>
    <w:rsid w:val="000D06C0"/>
    <w:rsid w:val="000E2C07"/>
    <w:rsid w:val="000F40CA"/>
    <w:rsid w:val="00101195"/>
    <w:rsid w:val="00104470"/>
    <w:rsid w:val="00125A4C"/>
    <w:rsid w:val="00130542"/>
    <w:rsid w:val="001377E9"/>
    <w:rsid w:val="001430C8"/>
    <w:rsid w:val="00146737"/>
    <w:rsid w:val="00154D80"/>
    <w:rsid w:val="001552B2"/>
    <w:rsid w:val="0016488A"/>
    <w:rsid w:val="001766F0"/>
    <w:rsid w:val="00180E14"/>
    <w:rsid w:val="0018586B"/>
    <w:rsid w:val="0019254A"/>
    <w:rsid w:val="00192A6F"/>
    <w:rsid w:val="001976C5"/>
    <w:rsid w:val="001A31F1"/>
    <w:rsid w:val="001B3233"/>
    <w:rsid w:val="001C0510"/>
    <w:rsid w:val="001D19DA"/>
    <w:rsid w:val="001D6199"/>
    <w:rsid w:val="001E11B7"/>
    <w:rsid w:val="001E5933"/>
    <w:rsid w:val="001F2DC2"/>
    <w:rsid w:val="0020187D"/>
    <w:rsid w:val="00211C82"/>
    <w:rsid w:val="002169D1"/>
    <w:rsid w:val="0023701C"/>
    <w:rsid w:val="002514EC"/>
    <w:rsid w:val="00256F9F"/>
    <w:rsid w:val="0025747F"/>
    <w:rsid w:val="00265535"/>
    <w:rsid w:val="00273EED"/>
    <w:rsid w:val="00277979"/>
    <w:rsid w:val="00295CAB"/>
    <w:rsid w:val="00297D26"/>
    <w:rsid w:val="002A1074"/>
    <w:rsid w:val="002A7A81"/>
    <w:rsid w:val="002B2EBE"/>
    <w:rsid w:val="002D0413"/>
    <w:rsid w:val="002D10CC"/>
    <w:rsid w:val="002D1C8E"/>
    <w:rsid w:val="002D2AD0"/>
    <w:rsid w:val="002D532E"/>
    <w:rsid w:val="002E4081"/>
    <w:rsid w:val="002F351B"/>
    <w:rsid w:val="002F5F0F"/>
    <w:rsid w:val="00312ABF"/>
    <w:rsid w:val="003172C5"/>
    <w:rsid w:val="00317FE8"/>
    <w:rsid w:val="00320EA8"/>
    <w:rsid w:val="00333505"/>
    <w:rsid w:val="003336E0"/>
    <w:rsid w:val="003348F0"/>
    <w:rsid w:val="00353156"/>
    <w:rsid w:val="00363EB1"/>
    <w:rsid w:val="00370FA5"/>
    <w:rsid w:val="00373299"/>
    <w:rsid w:val="00394B16"/>
    <w:rsid w:val="003961BE"/>
    <w:rsid w:val="003B207D"/>
    <w:rsid w:val="003D09E0"/>
    <w:rsid w:val="003D4AE8"/>
    <w:rsid w:val="003D6A71"/>
    <w:rsid w:val="003F1409"/>
    <w:rsid w:val="003F2BD4"/>
    <w:rsid w:val="003F69F4"/>
    <w:rsid w:val="00400393"/>
    <w:rsid w:val="00417AC4"/>
    <w:rsid w:val="0044191E"/>
    <w:rsid w:val="00444972"/>
    <w:rsid w:val="00455757"/>
    <w:rsid w:val="00463A3B"/>
    <w:rsid w:val="00467B1B"/>
    <w:rsid w:val="00477B88"/>
    <w:rsid w:val="004847BD"/>
    <w:rsid w:val="00485E4E"/>
    <w:rsid w:val="00491809"/>
    <w:rsid w:val="004A2EE6"/>
    <w:rsid w:val="004A5982"/>
    <w:rsid w:val="004A6776"/>
    <w:rsid w:val="004A6958"/>
    <w:rsid w:val="004B4946"/>
    <w:rsid w:val="004D3EAF"/>
    <w:rsid w:val="004F2F5C"/>
    <w:rsid w:val="004F7122"/>
    <w:rsid w:val="004F7EA2"/>
    <w:rsid w:val="0050057A"/>
    <w:rsid w:val="005020AE"/>
    <w:rsid w:val="0050387A"/>
    <w:rsid w:val="00542808"/>
    <w:rsid w:val="0055068B"/>
    <w:rsid w:val="0055421C"/>
    <w:rsid w:val="00556811"/>
    <w:rsid w:val="00582C69"/>
    <w:rsid w:val="0058565A"/>
    <w:rsid w:val="00586C08"/>
    <w:rsid w:val="005876CB"/>
    <w:rsid w:val="00593437"/>
    <w:rsid w:val="00595247"/>
    <w:rsid w:val="00597AE7"/>
    <w:rsid w:val="005B1790"/>
    <w:rsid w:val="005B2776"/>
    <w:rsid w:val="005B7104"/>
    <w:rsid w:val="005C1433"/>
    <w:rsid w:val="005C19F6"/>
    <w:rsid w:val="005C7301"/>
    <w:rsid w:val="005C74A6"/>
    <w:rsid w:val="005D1387"/>
    <w:rsid w:val="005D7E8E"/>
    <w:rsid w:val="005E263A"/>
    <w:rsid w:val="005E3609"/>
    <w:rsid w:val="005E6096"/>
    <w:rsid w:val="005E7517"/>
    <w:rsid w:val="005E7670"/>
    <w:rsid w:val="005F7478"/>
    <w:rsid w:val="00604E24"/>
    <w:rsid w:val="006121B2"/>
    <w:rsid w:val="0061593D"/>
    <w:rsid w:val="00647E6F"/>
    <w:rsid w:val="00660BE1"/>
    <w:rsid w:val="00660C95"/>
    <w:rsid w:val="00661740"/>
    <w:rsid w:val="00662DC5"/>
    <w:rsid w:val="006712BE"/>
    <w:rsid w:val="006713E6"/>
    <w:rsid w:val="00677DB4"/>
    <w:rsid w:val="00681180"/>
    <w:rsid w:val="00681D39"/>
    <w:rsid w:val="006945E4"/>
    <w:rsid w:val="006A47DA"/>
    <w:rsid w:val="006B1172"/>
    <w:rsid w:val="006B6818"/>
    <w:rsid w:val="006D1ECF"/>
    <w:rsid w:val="006D3378"/>
    <w:rsid w:val="006D3E78"/>
    <w:rsid w:val="006D5AB8"/>
    <w:rsid w:val="00700AFF"/>
    <w:rsid w:val="00706436"/>
    <w:rsid w:val="007108F3"/>
    <w:rsid w:val="00715B14"/>
    <w:rsid w:val="00723114"/>
    <w:rsid w:val="00723791"/>
    <w:rsid w:val="00736D30"/>
    <w:rsid w:val="00740190"/>
    <w:rsid w:val="00741163"/>
    <w:rsid w:val="00744524"/>
    <w:rsid w:val="00753E80"/>
    <w:rsid w:val="007555C2"/>
    <w:rsid w:val="0075583A"/>
    <w:rsid w:val="00761A03"/>
    <w:rsid w:val="00764677"/>
    <w:rsid w:val="00764FA9"/>
    <w:rsid w:val="0077161D"/>
    <w:rsid w:val="00791703"/>
    <w:rsid w:val="0079253F"/>
    <w:rsid w:val="0079460C"/>
    <w:rsid w:val="00796A8F"/>
    <w:rsid w:val="007C23D3"/>
    <w:rsid w:val="007D12D4"/>
    <w:rsid w:val="007D1DF9"/>
    <w:rsid w:val="007D6AD8"/>
    <w:rsid w:val="007E3C28"/>
    <w:rsid w:val="007F3047"/>
    <w:rsid w:val="007F3CCE"/>
    <w:rsid w:val="007F4343"/>
    <w:rsid w:val="00806523"/>
    <w:rsid w:val="008066C8"/>
    <w:rsid w:val="008107D7"/>
    <w:rsid w:val="00813805"/>
    <w:rsid w:val="0082263B"/>
    <w:rsid w:val="00824F17"/>
    <w:rsid w:val="008268B7"/>
    <w:rsid w:val="00827A6A"/>
    <w:rsid w:val="00834742"/>
    <w:rsid w:val="008535F4"/>
    <w:rsid w:val="00863536"/>
    <w:rsid w:val="00883226"/>
    <w:rsid w:val="00883A57"/>
    <w:rsid w:val="00884EAB"/>
    <w:rsid w:val="00885A45"/>
    <w:rsid w:val="00885A62"/>
    <w:rsid w:val="00894933"/>
    <w:rsid w:val="008B0775"/>
    <w:rsid w:val="008B0F1D"/>
    <w:rsid w:val="008B1A67"/>
    <w:rsid w:val="008B3900"/>
    <w:rsid w:val="008B476D"/>
    <w:rsid w:val="008B5D0F"/>
    <w:rsid w:val="008C4E8F"/>
    <w:rsid w:val="008C55FB"/>
    <w:rsid w:val="008D1ACB"/>
    <w:rsid w:val="008D2370"/>
    <w:rsid w:val="008D4578"/>
    <w:rsid w:val="008E008F"/>
    <w:rsid w:val="008F1FD3"/>
    <w:rsid w:val="008F21C4"/>
    <w:rsid w:val="008F4091"/>
    <w:rsid w:val="008F63C3"/>
    <w:rsid w:val="00901A08"/>
    <w:rsid w:val="00902A0C"/>
    <w:rsid w:val="00910C15"/>
    <w:rsid w:val="009155B8"/>
    <w:rsid w:val="009203BD"/>
    <w:rsid w:val="00926FA7"/>
    <w:rsid w:val="00950535"/>
    <w:rsid w:val="009554D6"/>
    <w:rsid w:val="00962690"/>
    <w:rsid w:val="00981A62"/>
    <w:rsid w:val="009972E1"/>
    <w:rsid w:val="009A39C2"/>
    <w:rsid w:val="009A6A75"/>
    <w:rsid w:val="009A71DC"/>
    <w:rsid w:val="009B36ED"/>
    <w:rsid w:val="009B66C1"/>
    <w:rsid w:val="009B74B9"/>
    <w:rsid w:val="009C257E"/>
    <w:rsid w:val="009C52DA"/>
    <w:rsid w:val="009D3E8F"/>
    <w:rsid w:val="009E18EE"/>
    <w:rsid w:val="009E4279"/>
    <w:rsid w:val="009E7182"/>
    <w:rsid w:val="009E71DE"/>
    <w:rsid w:val="009F50CA"/>
    <w:rsid w:val="009F57FA"/>
    <w:rsid w:val="00A02E82"/>
    <w:rsid w:val="00A05A45"/>
    <w:rsid w:val="00A104AC"/>
    <w:rsid w:val="00A13AB2"/>
    <w:rsid w:val="00A15C9F"/>
    <w:rsid w:val="00A15DC1"/>
    <w:rsid w:val="00A2231A"/>
    <w:rsid w:val="00A26F5C"/>
    <w:rsid w:val="00A34C5E"/>
    <w:rsid w:val="00A4224C"/>
    <w:rsid w:val="00A460E3"/>
    <w:rsid w:val="00A51E79"/>
    <w:rsid w:val="00A527F1"/>
    <w:rsid w:val="00A56A58"/>
    <w:rsid w:val="00A6022E"/>
    <w:rsid w:val="00A63340"/>
    <w:rsid w:val="00A643B7"/>
    <w:rsid w:val="00A66283"/>
    <w:rsid w:val="00A74A3C"/>
    <w:rsid w:val="00A90FEB"/>
    <w:rsid w:val="00A94887"/>
    <w:rsid w:val="00A951F7"/>
    <w:rsid w:val="00AA1714"/>
    <w:rsid w:val="00AA6D35"/>
    <w:rsid w:val="00AB0503"/>
    <w:rsid w:val="00AB0AA5"/>
    <w:rsid w:val="00AB41D6"/>
    <w:rsid w:val="00AB67C3"/>
    <w:rsid w:val="00AC6D0E"/>
    <w:rsid w:val="00AE1D6C"/>
    <w:rsid w:val="00AF33CF"/>
    <w:rsid w:val="00AF463A"/>
    <w:rsid w:val="00B02C8C"/>
    <w:rsid w:val="00B06F55"/>
    <w:rsid w:val="00B11411"/>
    <w:rsid w:val="00B132EB"/>
    <w:rsid w:val="00B35CAD"/>
    <w:rsid w:val="00B47335"/>
    <w:rsid w:val="00B72B4B"/>
    <w:rsid w:val="00B932C5"/>
    <w:rsid w:val="00B94F06"/>
    <w:rsid w:val="00B96327"/>
    <w:rsid w:val="00BA2523"/>
    <w:rsid w:val="00BB10A8"/>
    <w:rsid w:val="00BB53AA"/>
    <w:rsid w:val="00BB66B2"/>
    <w:rsid w:val="00BC026B"/>
    <w:rsid w:val="00BD609C"/>
    <w:rsid w:val="00BF0A6D"/>
    <w:rsid w:val="00BF0C7C"/>
    <w:rsid w:val="00BF103F"/>
    <w:rsid w:val="00BF57C8"/>
    <w:rsid w:val="00C021E0"/>
    <w:rsid w:val="00C05FEC"/>
    <w:rsid w:val="00C15259"/>
    <w:rsid w:val="00C50A02"/>
    <w:rsid w:val="00C56C42"/>
    <w:rsid w:val="00C6635D"/>
    <w:rsid w:val="00C708B7"/>
    <w:rsid w:val="00C70EA1"/>
    <w:rsid w:val="00C77F4F"/>
    <w:rsid w:val="00C86328"/>
    <w:rsid w:val="00C876E8"/>
    <w:rsid w:val="00CC12D9"/>
    <w:rsid w:val="00CC1B42"/>
    <w:rsid w:val="00CC3157"/>
    <w:rsid w:val="00CD5038"/>
    <w:rsid w:val="00CE2E5F"/>
    <w:rsid w:val="00D03318"/>
    <w:rsid w:val="00D11A69"/>
    <w:rsid w:val="00D329C3"/>
    <w:rsid w:val="00D4263A"/>
    <w:rsid w:val="00D4534B"/>
    <w:rsid w:val="00D525EC"/>
    <w:rsid w:val="00D60A72"/>
    <w:rsid w:val="00D622E4"/>
    <w:rsid w:val="00D63528"/>
    <w:rsid w:val="00D6543A"/>
    <w:rsid w:val="00D661C1"/>
    <w:rsid w:val="00D70F74"/>
    <w:rsid w:val="00D826B6"/>
    <w:rsid w:val="00D83D02"/>
    <w:rsid w:val="00D92B5C"/>
    <w:rsid w:val="00DA4A93"/>
    <w:rsid w:val="00DA4FF5"/>
    <w:rsid w:val="00DB17D5"/>
    <w:rsid w:val="00DB42BB"/>
    <w:rsid w:val="00DC2E47"/>
    <w:rsid w:val="00DD2034"/>
    <w:rsid w:val="00DD4742"/>
    <w:rsid w:val="00DD7D16"/>
    <w:rsid w:val="00DF1B29"/>
    <w:rsid w:val="00DF2C56"/>
    <w:rsid w:val="00DF35B8"/>
    <w:rsid w:val="00E0230F"/>
    <w:rsid w:val="00E1177E"/>
    <w:rsid w:val="00E13CD4"/>
    <w:rsid w:val="00E214AA"/>
    <w:rsid w:val="00E21C5D"/>
    <w:rsid w:val="00E22375"/>
    <w:rsid w:val="00E27DED"/>
    <w:rsid w:val="00E32786"/>
    <w:rsid w:val="00E364AB"/>
    <w:rsid w:val="00E4349C"/>
    <w:rsid w:val="00E45D51"/>
    <w:rsid w:val="00E512B7"/>
    <w:rsid w:val="00E650CD"/>
    <w:rsid w:val="00EA7797"/>
    <w:rsid w:val="00EC1981"/>
    <w:rsid w:val="00EC57B2"/>
    <w:rsid w:val="00EE357E"/>
    <w:rsid w:val="00F03980"/>
    <w:rsid w:val="00F05736"/>
    <w:rsid w:val="00F11F2A"/>
    <w:rsid w:val="00F16050"/>
    <w:rsid w:val="00F30167"/>
    <w:rsid w:val="00F34724"/>
    <w:rsid w:val="00F3692D"/>
    <w:rsid w:val="00F45E99"/>
    <w:rsid w:val="00F54CA8"/>
    <w:rsid w:val="00F667F8"/>
    <w:rsid w:val="00F71100"/>
    <w:rsid w:val="00F73440"/>
    <w:rsid w:val="00F8050B"/>
    <w:rsid w:val="00F92501"/>
    <w:rsid w:val="00FA609C"/>
    <w:rsid w:val="00FA745B"/>
    <w:rsid w:val="00FB1E2E"/>
    <w:rsid w:val="00FD26D6"/>
    <w:rsid w:val="00FD6FA6"/>
    <w:rsid w:val="00FE3BC8"/>
    <w:rsid w:val="00FE5FF0"/>
    <w:rsid w:val="0E8327C4"/>
    <w:rsid w:val="13EF4F1E"/>
    <w:rsid w:val="19FF57CD"/>
    <w:rsid w:val="1B5E4315"/>
    <w:rsid w:val="2CBDC2ED"/>
    <w:rsid w:val="30FFDBF9"/>
    <w:rsid w:val="3B57388F"/>
    <w:rsid w:val="3B7E9260"/>
    <w:rsid w:val="3CAF9693"/>
    <w:rsid w:val="4DBB44E6"/>
    <w:rsid w:val="5CC93763"/>
    <w:rsid w:val="5FFF6CF7"/>
    <w:rsid w:val="6F9F974A"/>
    <w:rsid w:val="71DFC150"/>
    <w:rsid w:val="75BD9440"/>
    <w:rsid w:val="7DBEE672"/>
    <w:rsid w:val="7DCD2454"/>
    <w:rsid w:val="7DFD3433"/>
    <w:rsid w:val="7EBFD648"/>
    <w:rsid w:val="7F7B8105"/>
    <w:rsid w:val="7FBFC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6">
    <w:name w:val="Strong"/>
    <w:basedOn w:val="a1"/>
    <w:uiPriority w:val="22"/>
    <w:qFormat/>
    <w:rPr>
      <w:b/>
      <w:bCs/>
    </w:rPr>
  </w:style>
  <w:style w:type="paragraph" w:styleId="a7">
    <w:name w:val="List Paragraph"/>
    <w:basedOn w:val="a"/>
    <w:uiPriority w:val="34"/>
    <w:qFormat/>
    <w:pPr>
      <w:ind w:firstLineChars="200" w:firstLine="420"/>
    </w:pPr>
  </w:style>
  <w:style w:type="character" w:customStyle="1" w:styleId="Char0">
    <w:name w:val="页眉 Char"/>
    <w:basedOn w:val="a1"/>
    <w:link w:val="a4"/>
    <w:uiPriority w:val="99"/>
    <w:qFormat/>
    <w:rPr>
      <w:rFonts w:ascii="Calibri" w:eastAsia="宋体" w:hAnsi="Calibri" w:cs="Times New Roman"/>
      <w:sz w:val="18"/>
      <w:szCs w:val="18"/>
    </w:rPr>
  </w:style>
  <w:style w:type="paragraph" w:customStyle="1" w:styleId="2">
    <w:name w:val="列出段落2"/>
    <w:basedOn w:val="a"/>
    <w:qFormat/>
    <w:pPr>
      <w:widowControl/>
      <w:ind w:firstLineChars="200" w:firstLine="420"/>
      <w:jc w:val="left"/>
    </w:pPr>
    <w:rPr>
      <w:rFonts w:ascii="宋体" w:hAnsi="宋体"/>
      <w:kern w:val="0"/>
      <w:sz w:val="24"/>
      <w:szCs w:val="24"/>
    </w:rPr>
  </w:style>
  <w:style w:type="character" w:customStyle="1" w:styleId="Char">
    <w:name w:val="页脚 Char"/>
    <w:basedOn w:val="a1"/>
    <w:link w:val="a0"/>
    <w:uiPriority w:val="99"/>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6">
    <w:name w:val="Strong"/>
    <w:basedOn w:val="a1"/>
    <w:uiPriority w:val="22"/>
    <w:qFormat/>
    <w:rPr>
      <w:b/>
      <w:bCs/>
    </w:rPr>
  </w:style>
  <w:style w:type="paragraph" w:styleId="a7">
    <w:name w:val="List Paragraph"/>
    <w:basedOn w:val="a"/>
    <w:uiPriority w:val="34"/>
    <w:qFormat/>
    <w:pPr>
      <w:ind w:firstLineChars="200" w:firstLine="420"/>
    </w:pPr>
  </w:style>
  <w:style w:type="character" w:customStyle="1" w:styleId="Char0">
    <w:name w:val="页眉 Char"/>
    <w:basedOn w:val="a1"/>
    <w:link w:val="a4"/>
    <w:uiPriority w:val="99"/>
    <w:qFormat/>
    <w:rPr>
      <w:rFonts w:ascii="Calibri" w:eastAsia="宋体" w:hAnsi="Calibri" w:cs="Times New Roman"/>
      <w:sz w:val="18"/>
      <w:szCs w:val="18"/>
    </w:rPr>
  </w:style>
  <w:style w:type="paragraph" w:customStyle="1" w:styleId="2">
    <w:name w:val="列出段落2"/>
    <w:basedOn w:val="a"/>
    <w:qFormat/>
    <w:pPr>
      <w:widowControl/>
      <w:ind w:firstLineChars="200" w:firstLine="420"/>
      <w:jc w:val="left"/>
    </w:pPr>
    <w:rPr>
      <w:rFonts w:ascii="宋体" w:hAnsi="宋体"/>
      <w:kern w:val="0"/>
      <w:sz w:val="24"/>
      <w:szCs w:val="24"/>
    </w:rPr>
  </w:style>
  <w:style w:type="character" w:customStyle="1" w:styleId="Char">
    <w:name w:val="页脚 Char"/>
    <w:basedOn w:val="a1"/>
    <w:link w:val="a0"/>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1953</Words>
  <Characters>2111</Characters>
  <Application>Microsoft Office Word</Application>
  <DocSecurity>0</DocSecurity>
  <Lines>84</Lines>
  <Paragraphs>58</Paragraphs>
  <ScaleCrop>false</ScaleCrop>
  <Company>Microsoft</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彭水苗族土家族自治县经济和信息化委员会</dc:creator>
  <cp:lastModifiedBy>彭水苗族土家族自治县经济和信息化委员会</cp:lastModifiedBy>
  <cp:revision>21</cp:revision>
  <dcterms:created xsi:type="dcterms:W3CDTF">2025-09-08T16:26:00Z</dcterms:created>
  <dcterms:modified xsi:type="dcterms:W3CDTF">2025-09-10T08:59:00Z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eyJoZGlkIjoiOTg4N2VlNDYwNGMyZGNhYjJkNzgyMmM0OTAyMDdmZmQiLCJ1c2VySWQiOiI3MzkzOTM3NTMifQ==</vt:lpwstr>
  </property>
  <property fmtid="{D5CDD505-2E9C-101B-9397-08002B2CF9AE}" pid="3" name="KSOProductBuildVer">
    <vt:lpwstr>2052-12.8.2.20327</vt:lpwstr>
  </property>
  <property fmtid="{D5CDD505-2E9C-101B-9397-08002B2CF9AE}" pid="4" name="ICV">
    <vt:lpwstr>0ED44549326C48F481CFAC4B07E1B9D8_12</vt:lpwstr>
  </property>
</Properties>
</file>