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p>
    <w:p w:rsidR="00802876" w:rsidRDefault="00802876" w:rsidP="00802876">
      <w:pPr>
        <w:pStyle w:val="a5"/>
        <w:spacing w:before="0" w:beforeAutospacing="0" w:after="0" w:afterAutospacing="0" w:line="720" w:lineRule="atLeast"/>
        <w:ind w:firstLine="480"/>
        <w:jc w:val="center"/>
        <w:rPr>
          <w:rFonts w:ascii="仿宋_GB2312" w:eastAsia="仿宋_GB2312" w:hint="eastAsia"/>
          <w:b/>
          <w:color w:val="000000"/>
          <w:sz w:val="44"/>
          <w:szCs w:val="44"/>
        </w:rPr>
      </w:pPr>
      <w:r w:rsidRPr="00802876">
        <w:rPr>
          <w:rFonts w:ascii="仿宋_GB2312" w:eastAsia="仿宋_GB2312" w:hint="eastAsia"/>
          <w:b/>
          <w:color w:val="000000"/>
          <w:sz w:val="44"/>
          <w:szCs w:val="44"/>
        </w:rPr>
        <w:t>重庆市彭水苗族土家族自治县</w:t>
      </w:r>
    </w:p>
    <w:p w:rsidR="00802876" w:rsidRDefault="00802876" w:rsidP="00802876">
      <w:pPr>
        <w:pStyle w:val="a5"/>
        <w:spacing w:before="0" w:beforeAutospacing="0" w:after="0" w:afterAutospacing="0" w:line="720" w:lineRule="atLeast"/>
        <w:ind w:firstLine="480"/>
        <w:jc w:val="center"/>
        <w:rPr>
          <w:rFonts w:ascii="仿宋_GB2312" w:eastAsia="仿宋_GB2312" w:hint="eastAsia"/>
          <w:b/>
          <w:color w:val="000000"/>
          <w:sz w:val="44"/>
          <w:szCs w:val="44"/>
        </w:rPr>
      </w:pPr>
      <w:r w:rsidRPr="00802876">
        <w:rPr>
          <w:rFonts w:ascii="仿宋_GB2312" w:eastAsia="仿宋_GB2312" w:hint="eastAsia"/>
          <w:b/>
          <w:color w:val="000000"/>
          <w:sz w:val="44"/>
          <w:szCs w:val="44"/>
        </w:rPr>
        <w:t>矿产资源总体规划（2021—2025年）</w:t>
      </w:r>
    </w:p>
    <w:p w:rsidR="00802876" w:rsidRPr="00802876" w:rsidRDefault="00802876" w:rsidP="00802876">
      <w:pPr>
        <w:pStyle w:val="a5"/>
        <w:spacing w:before="0" w:beforeAutospacing="0" w:after="0" w:afterAutospacing="0" w:line="720" w:lineRule="atLeast"/>
        <w:ind w:firstLine="480"/>
        <w:jc w:val="center"/>
        <w:rPr>
          <w:rFonts w:ascii="仿宋_GB2312" w:eastAsia="仿宋_GB2312" w:hint="eastAsia"/>
          <w:b/>
          <w:color w:val="000000"/>
          <w:sz w:val="44"/>
          <w:szCs w:val="44"/>
        </w:rPr>
      </w:pPr>
      <w:r w:rsidRPr="00802876">
        <w:rPr>
          <w:rFonts w:ascii="仿宋_GB2312" w:eastAsia="仿宋_GB2312" w:hint="eastAsia"/>
          <w:b/>
          <w:color w:val="000000"/>
          <w:sz w:val="44"/>
          <w:szCs w:val="44"/>
        </w:rPr>
        <w:t>环境影响评价第一次信息公示</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p>
    <w:p w:rsidR="00802876" w:rsidRDefault="00802876" w:rsidP="00802876">
      <w:pPr>
        <w:pStyle w:val="a5"/>
        <w:spacing w:before="0" w:beforeAutospacing="0" w:after="0" w:afterAutospacing="0" w:line="720" w:lineRule="atLeast"/>
        <w:ind w:firstLine="480"/>
        <w:jc w:val="both"/>
        <w:rPr>
          <w:rFonts w:ascii="仿宋_GB2312" w:eastAsia="仿宋_GB2312"/>
          <w:color w:val="000000"/>
          <w:sz w:val="32"/>
          <w:szCs w:val="32"/>
        </w:rPr>
      </w:pPr>
      <w:r>
        <w:rPr>
          <w:rFonts w:ascii="仿宋_GB2312" w:eastAsia="仿宋_GB2312" w:hint="eastAsia"/>
          <w:color w:val="000000"/>
          <w:sz w:val="32"/>
          <w:szCs w:val="32"/>
        </w:rPr>
        <w:t>一、规划名称及概要</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规划名称：重庆市彭水苗族土家族自治县矿产资源总体规划（2021—2025年）</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规划执行单位：彭水苗族土家族自治县规划和自然资源局</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规划内容：主要包括基础地质调查、矿产资源勘查、矿产资源开发利用与保护、矿业转型升级与绿色发展、矿山地质环境保护与治理等方面。</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二、环境影响评价主要工作内容</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主要工作内容包括：分析规划区域的自然、社会及生态环境状况；分析矿产资源总体规划内容及特点；预测和评估规划实施对相关区域环境等造成的直接、间接和累积影响；分析规划实施过程中的清洁生产水平和循环经济状况，提出合理的建议；分析规划区域内的自然环境、生态环境</w:t>
      </w:r>
      <w:r>
        <w:rPr>
          <w:rFonts w:ascii="仿宋_GB2312" w:eastAsia="仿宋_GB2312" w:hint="eastAsia"/>
          <w:color w:val="000000"/>
          <w:sz w:val="32"/>
          <w:szCs w:val="32"/>
        </w:rPr>
        <w:lastRenderedPageBreak/>
        <w:t>和矿产资源的环境承载力；对规划方案的环境合理性，与其他规划的相符性和协调性等进行分析，提出优化调整建议；对未来矿产资源开发的发展提出环境管理建议，提出预防和减轻不良影响的对策和措施；通过多种形式收集公众对规划环境影响评价的建议和意见，并监督公众意见在规划编制中的落实情况。</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三、征求公众意见的主要事项</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本次公众参与调查的主要事项为：了解公众对本规划在生态环境保护方面的意见与建议。</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四、公众意见反馈方式</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在环境影响报告书征求意见稿编制过程中，公众可从彭水苗族土家族自治县规划和自然资源局门户网站获取公众意见表（详见附件），通过指定地址发送电子邮件、电话、传真、信函或者面谈等方式发表意见看法。环境影响评价单位将在本项目报告书中真实记录公众的意见和建议，并将公众的宝贵意见、建议向规划编制或执行单位、设计单位和有关部分反映。</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五、规划单位名称及联系方式</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lastRenderedPageBreak/>
        <w:t>规划执行单位：彭水苗族土家族自治县规划和自然资源局</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地址：彭水县绍庆街道河堡街2号</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联</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系</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人：于老师</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联系电话：18315297157</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六、环境影响报告书编制单位名称及联系方式</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环境影响报告书编制单位：重庆精创联合环保工程有限公司</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地址：重庆市江津区德感街道滨州西路31号16-4</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联</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系</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人：喻工</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联系电话：13896620041</w:t>
      </w:r>
    </w:p>
    <w:p w:rsidR="00802876" w:rsidRDefault="00802876" w:rsidP="00802876">
      <w:pPr>
        <w:pStyle w:val="a5"/>
        <w:spacing w:before="0" w:beforeAutospacing="0" w:after="0" w:afterAutospacing="0" w:line="720" w:lineRule="atLeast"/>
        <w:ind w:firstLine="480"/>
        <w:jc w:val="both"/>
        <w:rPr>
          <w:rFonts w:ascii="仿宋_GB2312" w:eastAsia="仿宋_GB2312" w:hint="eastAsia"/>
          <w:color w:val="000000"/>
          <w:sz w:val="32"/>
          <w:szCs w:val="32"/>
        </w:rPr>
      </w:pPr>
      <w:r>
        <w:rPr>
          <w:rFonts w:ascii="仿宋_GB2312" w:eastAsia="仿宋_GB2312" w:hint="eastAsia"/>
          <w:color w:val="000000"/>
          <w:sz w:val="32"/>
          <w:szCs w:val="32"/>
        </w:rPr>
        <w:t>E-mail：330529601@qq.com</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073" w:rsidRDefault="00FC1073" w:rsidP="00802876">
      <w:pPr>
        <w:spacing w:after="0"/>
      </w:pPr>
      <w:r>
        <w:separator/>
      </w:r>
    </w:p>
  </w:endnote>
  <w:endnote w:type="continuationSeparator" w:id="0">
    <w:p w:rsidR="00FC1073" w:rsidRDefault="00FC1073" w:rsidP="008028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charset w:val="86"/>
    <w:family w:val="auto"/>
    <w:pitch w:val="default"/>
    <w:sig w:usb0="00000000"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073" w:rsidRDefault="00FC1073" w:rsidP="00802876">
      <w:pPr>
        <w:spacing w:after="0"/>
      </w:pPr>
      <w:r>
        <w:separator/>
      </w:r>
    </w:p>
  </w:footnote>
  <w:footnote w:type="continuationSeparator" w:id="0">
    <w:p w:rsidR="00FC1073" w:rsidRDefault="00FC1073" w:rsidP="0080287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F6B14"/>
    <w:rsid w:val="00802876"/>
    <w:rsid w:val="008B7726"/>
    <w:rsid w:val="00D31D50"/>
    <w:rsid w:val="00FC10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287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02876"/>
    <w:rPr>
      <w:rFonts w:ascii="Tahoma" w:hAnsi="Tahoma"/>
      <w:sz w:val="18"/>
      <w:szCs w:val="18"/>
    </w:rPr>
  </w:style>
  <w:style w:type="paragraph" w:styleId="a4">
    <w:name w:val="footer"/>
    <w:basedOn w:val="a"/>
    <w:link w:val="Char0"/>
    <w:uiPriority w:val="99"/>
    <w:semiHidden/>
    <w:unhideWhenUsed/>
    <w:rsid w:val="00802876"/>
    <w:pPr>
      <w:tabs>
        <w:tab w:val="center" w:pos="4153"/>
        <w:tab w:val="right" w:pos="8306"/>
      </w:tabs>
    </w:pPr>
    <w:rPr>
      <w:sz w:val="18"/>
      <w:szCs w:val="18"/>
    </w:rPr>
  </w:style>
  <w:style w:type="character" w:customStyle="1" w:styleId="Char0">
    <w:name w:val="页脚 Char"/>
    <w:basedOn w:val="a0"/>
    <w:link w:val="a4"/>
    <w:uiPriority w:val="99"/>
    <w:semiHidden/>
    <w:rsid w:val="00802876"/>
    <w:rPr>
      <w:rFonts w:ascii="Tahoma" w:hAnsi="Tahoma"/>
      <w:sz w:val="18"/>
      <w:szCs w:val="18"/>
    </w:rPr>
  </w:style>
  <w:style w:type="paragraph" w:styleId="a5">
    <w:name w:val="Normal (Web)"/>
    <w:basedOn w:val="a"/>
    <w:uiPriority w:val="99"/>
    <w:semiHidden/>
    <w:unhideWhenUsed/>
    <w:rsid w:val="00802876"/>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18609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2022-12-15T06:50:00Z</dcterms:modified>
</cp:coreProperties>
</file>