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AC" w:rsidRPr="00CA72C1" w:rsidRDefault="00CA72C1">
      <w:pPr>
        <w:snapToGrid w:val="0"/>
        <w:jc w:val="center"/>
        <w:rPr>
          <w:rFonts w:eastAsia="方正小标宋简体"/>
          <w:spacing w:val="-20"/>
          <w:sz w:val="44"/>
          <w:szCs w:val="44"/>
        </w:rPr>
      </w:pPr>
      <w:r w:rsidRPr="00CA72C1">
        <w:rPr>
          <w:rFonts w:eastAsia="方正小标宋简体" w:hAnsi="方正小标宋简体"/>
          <w:spacing w:val="-20"/>
          <w:sz w:val="44"/>
          <w:szCs w:val="44"/>
        </w:rPr>
        <w:t>保家镇长窑村</w:t>
      </w:r>
      <w:r w:rsidRPr="00CA72C1">
        <w:rPr>
          <w:rFonts w:eastAsia="方正小标宋简体"/>
          <w:spacing w:val="-20"/>
          <w:sz w:val="44"/>
          <w:szCs w:val="44"/>
        </w:rPr>
        <w:t>“1.18”</w:t>
      </w:r>
      <w:r w:rsidRPr="00CA72C1">
        <w:rPr>
          <w:rFonts w:eastAsia="方正小标宋简体" w:hAnsi="方正小标宋简体"/>
          <w:spacing w:val="-20"/>
          <w:sz w:val="44"/>
          <w:szCs w:val="44"/>
        </w:rPr>
        <w:t>一般坍塌事故防范</w:t>
      </w:r>
    </w:p>
    <w:p w:rsidR="00EB0FAC" w:rsidRPr="00CA72C1" w:rsidRDefault="00CA72C1">
      <w:pPr>
        <w:snapToGrid w:val="0"/>
        <w:jc w:val="center"/>
        <w:rPr>
          <w:rFonts w:eastAsia="方正小标宋简体"/>
          <w:spacing w:val="-20"/>
          <w:sz w:val="44"/>
          <w:szCs w:val="44"/>
        </w:rPr>
      </w:pPr>
      <w:r w:rsidRPr="00CA72C1">
        <w:rPr>
          <w:rFonts w:eastAsia="方正小标宋简体" w:hAnsi="方正小标宋简体"/>
          <w:spacing w:val="-20"/>
          <w:sz w:val="44"/>
          <w:szCs w:val="44"/>
        </w:rPr>
        <w:t>和整改落实情况评估报告</w:t>
      </w:r>
    </w:p>
    <w:p w:rsidR="00EB0FAC" w:rsidRPr="00CA72C1" w:rsidRDefault="00EB0FAC">
      <w:pPr>
        <w:spacing w:line="560" w:lineRule="exact"/>
        <w:rPr>
          <w:rFonts w:eastAsia="仿宋_GB2312"/>
          <w:szCs w:val="32"/>
        </w:rPr>
      </w:pPr>
    </w:p>
    <w:p w:rsidR="00EB0FAC" w:rsidRPr="00CA72C1" w:rsidRDefault="00CA72C1">
      <w:pPr>
        <w:widowControl/>
        <w:spacing w:line="560" w:lineRule="exact"/>
        <w:ind w:firstLineChars="200" w:firstLine="640"/>
        <w:jc w:val="left"/>
        <w:rPr>
          <w:rFonts w:eastAsia="黑体"/>
          <w:szCs w:val="32"/>
        </w:rPr>
      </w:pPr>
      <w:r w:rsidRPr="00CA72C1">
        <w:rPr>
          <w:rFonts w:hAnsi="方正仿宋_GBK"/>
          <w:szCs w:val="32"/>
        </w:rPr>
        <w:t>依据《国务院安委会办公室关于印发生产安全事故防范和整改措施落实情况评估办法的通知》（安委办〔</w:t>
      </w:r>
      <w:r w:rsidRPr="00CA72C1">
        <w:rPr>
          <w:szCs w:val="32"/>
        </w:rPr>
        <w:t>2021</w:t>
      </w:r>
      <w:r w:rsidRPr="00CA72C1">
        <w:rPr>
          <w:rFonts w:hAnsi="方正仿宋_GBK"/>
          <w:szCs w:val="32"/>
        </w:rPr>
        <w:t>〕</w:t>
      </w:r>
      <w:r w:rsidRPr="00CA72C1">
        <w:rPr>
          <w:szCs w:val="32"/>
        </w:rPr>
        <w:t>4</w:t>
      </w:r>
      <w:r w:rsidRPr="00CA72C1">
        <w:rPr>
          <w:rFonts w:hAnsi="方正仿宋_GBK"/>
          <w:szCs w:val="32"/>
        </w:rPr>
        <w:t>号）有关规定，重庆市彭水</w:t>
      </w:r>
      <w:r w:rsidR="000D14C3">
        <w:rPr>
          <w:rFonts w:hAnsi="方正仿宋_GBK"/>
          <w:szCs w:val="32"/>
        </w:rPr>
        <w:t>自治</w:t>
      </w:r>
      <w:r w:rsidRPr="00CA72C1">
        <w:rPr>
          <w:rFonts w:hAnsi="方正仿宋_GBK"/>
          <w:szCs w:val="32"/>
        </w:rPr>
        <w:t>县安全生产委员会办公室（以下简称</w:t>
      </w:r>
      <w:r w:rsidRPr="00CA72C1">
        <w:rPr>
          <w:szCs w:val="32"/>
        </w:rPr>
        <w:t>“</w:t>
      </w:r>
      <w:r w:rsidRPr="00CA72C1">
        <w:rPr>
          <w:rFonts w:hAnsi="方正仿宋_GBK"/>
          <w:szCs w:val="32"/>
        </w:rPr>
        <w:t>彭水县安委办</w:t>
      </w:r>
      <w:r w:rsidRPr="00CA72C1">
        <w:rPr>
          <w:szCs w:val="32"/>
        </w:rPr>
        <w:t>”</w:t>
      </w:r>
      <w:r w:rsidRPr="00CA72C1">
        <w:rPr>
          <w:rFonts w:hAnsi="方正仿宋_GBK"/>
          <w:szCs w:val="32"/>
        </w:rPr>
        <w:t>）牵头成立评估工作小组，对保家镇长窑村</w:t>
      </w:r>
      <w:r w:rsidRPr="00CA72C1">
        <w:rPr>
          <w:szCs w:val="32"/>
        </w:rPr>
        <w:t>“1.18”</w:t>
      </w:r>
      <w:r w:rsidRPr="00CA72C1">
        <w:rPr>
          <w:rFonts w:hAnsi="方正仿宋_GBK"/>
          <w:szCs w:val="32"/>
        </w:rPr>
        <w:t>一般坍塌事故防范和整改措施落实情况进行评估，现报告如下：</w:t>
      </w:r>
      <w:r w:rsidRPr="00CA72C1">
        <w:rPr>
          <w:szCs w:val="32"/>
        </w:rPr>
        <w:br/>
      </w:r>
      <w:r w:rsidRPr="00CA72C1">
        <w:rPr>
          <w:rFonts w:eastAsia="方正黑体_GBK" w:hAnsi="方正黑体_GBK"/>
          <w:szCs w:val="32"/>
        </w:rPr>
        <w:t>一、事故基本情况</w:t>
      </w:r>
    </w:p>
    <w:p w:rsidR="00EB0FAC" w:rsidRPr="00CA72C1" w:rsidRDefault="00CA72C1">
      <w:pPr>
        <w:widowControl/>
        <w:adjustRightInd w:val="0"/>
        <w:snapToGrid w:val="0"/>
        <w:spacing w:line="560" w:lineRule="exact"/>
        <w:ind w:firstLineChars="200" w:firstLine="640"/>
        <w:rPr>
          <w:szCs w:val="32"/>
        </w:rPr>
      </w:pPr>
      <w:r w:rsidRPr="00CA72C1">
        <w:rPr>
          <w:szCs w:val="32"/>
        </w:rPr>
        <w:t>2022</w:t>
      </w:r>
      <w:r w:rsidRPr="00CA72C1">
        <w:rPr>
          <w:szCs w:val="32"/>
        </w:rPr>
        <w:t>年</w:t>
      </w:r>
      <w:r w:rsidRPr="00CA72C1">
        <w:rPr>
          <w:szCs w:val="32"/>
        </w:rPr>
        <w:t>1</w:t>
      </w:r>
      <w:r w:rsidRPr="00CA72C1">
        <w:rPr>
          <w:szCs w:val="32"/>
        </w:rPr>
        <w:t>月</w:t>
      </w:r>
      <w:r w:rsidRPr="00CA72C1">
        <w:rPr>
          <w:szCs w:val="32"/>
        </w:rPr>
        <w:t>18</w:t>
      </w:r>
      <w:r w:rsidRPr="00CA72C1">
        <w:rPr>
          <w:szCs w:val="32"/>
        </w:rPr>
        <w:t>日</w:t>
      </w:r>
      <w:r w:rsidRPr="00CA72C1">
        <w:rPr>
          <w:szCs w:val="32"/>
        </w:rPr>
        <w:t>15</w:t>
      </w:r>
      <w:r w:rsidRPr="00CA72C1">
        <w:rPr>
          <w:szCs w:val="32"/>
        </w:rPr>
        <w:t>时许，在位于保家镇长窑村</w:t>
      </w:r>
      <w:r w:rsidRPr="00CA72C1">
        <w:rPr>
          <w:szCs w:val="32"/>
        </w:rPr>
        <w:t>4</w:t>
      </w:r>
      <w:r w:rsidRPr="00CA72C1">
        <w:rPr>
          <w:szCs w:val="32"/>
        </w:rPr>
        <w:t>组的</w:t>
      </w:r>
      <w:proofErr w:type="gramStart"/>
      <w:r w:rsidRPr="00CA72C1">
        <w:rPr>
          <w:szCs w:val="32"/>
        </w:rPr>
        <w:t>渝黔高铁</w:t>
      </w:r>
      <w:proofErr w:type="gramEnd"/>
      <w:r w:rsidRPr="00CA72C1">
        <w:rPr>
          <w:szCs w:val="32"/>
        </w:rPr>
        <w:t>项目部</w:t>
      </w:r>
      <w:r w:rsidRPr="00CA72C1">
        <w:rPr>
          <w:szCs w:val="32"/>
        </w:rPr>
        <w:t>7</w:t>
      </w:r>
      <w:r w:rsidRPr="00CA72C1">
        <w:rPr>
          <w:szCs w:val="32"/>
        </w:rPr>
        <w:t>工区原石料加工厂区内，赵广玉（为本次事故中死者，身份证号：</w:t>
      </w:r>
      <w:r w:rsidRPr="00CA72C1">
        <w:rPr>
          <w:szCs w:val="32"/>
        </w:rPr>
        <w:t>51352519**********</w:t>
      </w:r>
      <w:r w:rsidRPr="00CA72C1">
        <w:rPr>
          <w:szCs w:val="32"/>
        </w:rPr>
        <w:t>）和另一名焊割工人在焊割拆除储水罐时发生倒塌，罐体将赵广玉埋压，经过现场救援于当日</w:t>
      </w:r>
      <w:r w:rsidRPr="00CA72C1">
        <w:rPr>
          <w:szCs w:val="32"/>
        </w:rPr>
        <w:t>17</w:t>
      </w:r>
      <w:r w:rsidRPr="00CA72C1">
        <w:rPr>
          <w:szCs w:val="32"/>
        </w:rPr>
        <w:t>时左右救出后，经医生现场确认其已死亡。直接经济损失</w:t>
      </w:r>
      <w:r w:rsidRPr="00CA72C1">
        <w:rPr>
          <w:szCs w:val="32"/>
        </w:rPr>
        <w:t>135</w:t>
      </w:r>
      <w:r w:rsidRPr="00CA72C1">
        <w:rPr>
          <w:szCs w:val="32"/>
        </w:rPr>
        <w:t>万余元。</w:t>
      </w:r>
      <w:r w:rsidRPr="00CA72C1">
        <w:rPr>
          <w:rFonts w:hAnsi="方正仿宋_GBK"/>
          <w:szCs w:val="32"/>
        </w:rPr>
        <w:t>事故发生后，彭水县人民政府依法成立事故调查组开展事故调查，事故调查报告经县人民政府批复依法向社会进行了公布。</w:t>
      </w:r>
    </w:p>
    <w:p w:rsidR="00EB0FAC" w:rsidRPr="00CA72C1" w:rsidRDefault="00CA72C1">
      <w:pPr>
        <w:ind w:firstLineChars="200" w:firstLine="640"/>
        <w:rPr>
          <w:rFonts w:eastAsia="方正黑体_GBK"/>
          <w:szCs w:val="32"/>
        </w:rPr>
      </w:pPr>
      <w:r w:rsidRPr="00CA72C1">
        <w:rPr>
          <w:rFonts w:eastAsia="方正黑体_GBK" w:hAnsi="方正黑体_GBK"/>
          <w:szCs w:val="32"/>
        </w:rPr>
        <w:t>二、评估工作组织及开展情况</w:t>
      </w:r>
    </w:p>
    <w:p w:rsidR="00EB0FAC" w:rsidRPr="00CA72C1" w:rsidRDefault="00CA72C1">
      <w:pPr>
        <w:ind w:firstLineChars="200" w:firstLine="640"/>
        <w:rPr>
          <w:szCs w:val="32"/>
        </w:rPr>
      </w:pPr>
      <w:r w:rsidRPr="00CA72C1">
        <w:rPr>
          <w:rFonts w:hAnsi="方正仿宋_GBK"/>
          <w:szCs w:val="32"/>
        </w:rPr>
        <w:t>由彭水县安委办组织，参加事故调查的相关部门派员组成评估组，依据《保家镇长窑村</w:t>
      </w:r>
      <w:r w:rsidRPr="00CA72C1">
        <w:rPr>
          <w:szCs w:val="32"/>
        </w:rPr>
        <w:t>“1.18”</w:t>
      </w:r>
      <w:r w:rsidRPr="00CA72C1">
        <w:rPr>
          <w:rFonts w:hAnsi="方正仿宋_GBK"/>
          <w:szCs w:val="32"/>
        </w:rPr>
        <w:t>一般坍塌事故调查报告》（以下简称</w:t>
      </w:r>
      <w:r w:rsidRPr="00CA72C1">
        <w:rPr>
          <w:szCs w:val="32"/>
        </w:rPr>
        <w:t>“</w:t>
      </w:r>
      <w:r w:rsidRPr="00CA72C1">
        <w:rPr>
          <w:rFonts w:hAnsi="方正仿宋_GBK"/>
          <w:szCs w:val="32"/>
        </w:rPr>
        <w:t>事故调查报告</w:t>
      </w:r>
      <w:r w:rsidRPr="00CA72C1">
        <w:rPr>
          <w:szCs w:val="32"/>
        </w:rPr>
        <w:t>”</w:t>
      </w:r>
      <w:r w:rsidRPr="00CA72C1">
        <w:rPr>
          <w:rFonts w:hAnsi="方正仿宋_GBK"/>
          <w:szCs w:val="32"/>
        </w:rPr>
        <w:t>），评估组采取调阅事故原始档案、查阅相关文件资料、现场检查和听取汇报等方式，对</w:t>
      </w:r>
      <w:r w:rsidRPr="00CA72C1">
        <w:rPr>
          <w:rFonts w:hAnsi="方正仿宋_GBK"/>
          <w:szCs w:val="32"/>
        </w:rPr>
        <w:lastRenderedPageBreak/>
        <w:t>事故责任追究落实情况、事故防范措施落实情况进行了综合评估。</w:t>
      </w:r>
    </w:p>
    <w:p w:rsidR="00EB0FAC" w:rsidRPr="00CA72C1" w:rsidRDefault="00CA72C1">
      <w:pPr>
        <w:ind w:firstLineChars="200" w:firstLine="640"/>
        <w:rPr>
          <w:rFonts w:eastAsia="方正黑体_GBK"/>
          <w:szCs w:val="32"/>
        </w:rPr>
      </w:pPr>
      <w:r w:rsidRPr="00CA72C1">
        <w:rPr>
          <w:rFonts w:eastAsia="方正黑体_GBK" w:hAnsi="方正黑体_GBK"/>
          <w:szCs w:val="32"/>
        </w:rPr>
        <w:t>三、事故责任追究落实情况</w:t>
      </w:r>
    </w:p>
    <w:p w:rsidR="00EB0FAC" w:rsidRPr="00CA72C1" w:rsidRDefault="00CA72C1">
      <w:pPr>
        <w:ind w:firstLineChars="200" w:firstLine="640"/>
        <w:rPr>
          <w:rFonts w:eastAsia="方正楷体_GBK"/>
          <w:szCs w:val="32"/>
        </w:rPr>
      </w:pPr>
      <w:r w:rsidRPr="00CA72C1">
        <w:rPr>
          <w:rFonts w:eastAsia="方正楷体_GBK" w:hAnsi="方正楷体_GBK"/>
          <w:szCs w:val="32"/>
        </w:rPr>
        <w:t>（一）事故责任单位责任追究落实情况</w:t>
      </w:r>
    </w:p>
    <w:p w:rsidR="00EB0FAC" w:rsidRPr="00CA72C1" w:rsidRDefault="00CA72C1">
      <w:pPr>
        <w:ind w:firstLineChars="200" w:firstLine="640"/>
        <w:rPr>
          <w:szCs w:val="32"/>
        </w:rPr>
      </w:pPr>
      <w:r w:rsidRPr="00CA72C1">
        <w:rPr>
          <w:rFonts w:hAnsi="方正仿宋_GBK"/>
          <w:szCs w:val="32"/>
        </w:rPr>
        <w:t>依据《中华人民共和国安全生产法》第一百一十四条第（一）项规定，彭水县应急管理局给予彭水县捷兴再生资源回收站</w:t>
      </w:r>
      <w:r w:rsidRPr="00CA72C1">
        <w:rPr>
          <w:szCs w:val="32"/>
        </w:rPr>
        <w:t>31</w:t>
      </w:r>
      <w:r w:rsidRPr="00CA72C1">
        <w:rPr>
          <w:rFonts w:hAnsi="方正仿宋_GBK"/>
          <w:szCs w:val="32"/>
        </w:rPr>
        <w:t>万元行政处罚。</w:t>
      </w:r>
    </w:p>
    <w:p w:rsidR="00EB0FAC" w:rsidRPr="00CA72C1" w:rsidRDefault="00CA72C1">
      <w:pPr>
        <w:ind w:firstLineChars="200" w:firstLine="640"/>
        <w:rPr>
          <w:rFonts w:eastAsia="方正楷体_GBK"/>
          <w:szCs w:val="32"/>
        </w:rPr>
      </w:pPr>
      <w:r w:rsidRPr="00CA72C1">
        <w:rPr>
          <w:rFonts w:eastAsia="方正楷体_GBK" w:hAnsi="方正楷体_GBK"/>
          <w:szCs w:val="32"/>
        </w:rPr>
        <w:t>（二）事故相关责任人员责任追究落实情况</w:t>
      </w:r>
    </w:p>
    <w:p w:rsidR="00EB0FAC" w:rsidRPr="00CA72C1" w:rsidRDefault="00CA72C1">
      <w:pPr>
        <w:ind w:firstLineChars="200" w:firstLine="640"/>
      </w:pPr>
      <w:r w:rsidRPr="00CA72C1">
        <w:rPr>
          <w:rFonts w:hAnsi="方正仿宋_GBK"/>
          <w:szCs w:val="32"/>
        </w:rPr>
        <w:t>依据《中华人民共和国安全生产法》第九十五条第一项规定，彭水县应急管理局给予彭水</w:t>
      </w:r>
      <w:proofErr w:type="gramStart"/>
      <w:r w:rsidRPr="00CA72C1">
        <w:rPr>
          <w:rFonts w:hAnsi="方正仿宋_GBK"/>
          <w:szCs w:val="32"/>
        </w:rPr>
        <w:t>县捷兴</w:t>
      </w:r>
      <w:proofErr w:type="gramEnd"/>
      <w:r w:rsidRPr="00CA72C1">
        <w:rPr>
          <w:rFonts w:hAnsi="方正仿宋_GBK"/>
          <w:szCs w:val="32"/>
        </w:rPr>
        <w:t>再生资源回收站代表人曹玲玲</w:t>
      </w:r>
      <w:r w:rsidRPr="00CA72C1">
        <w:rPr>
          <w:szCs w:val="32"/>
        </w:rPr>
        <w:t>14400</w:t>
      </w:r>
      <w:r w:rsidRPr="00CA72C1">
        <w:rPr>
          <w:rFonts w:hAnsi="方正仿宋_GBK"/>
          <w:szCs w:val="32"/>
        </w:rPr>
        <w:t>元行政处罚。</w:t>
      </w:r>
    </w:p>
    <w:p w:rsidR="00EB0FAC" w:rsidRPr="00CA72C1" w:rsidRDefault="00CA72C1">
      <w:pPr>
        <w:ind w:firstLineChars="200" w:firstLine="640"/>
        <w:rPr>
          <w:rFonts w:eastAsia="方正黑体_GBK"/>
          <w:szCs w:val="32"/>
        </w:rPr>
      </w:pPr>
      <w:r w:rsidRPr="00CA72C1">
        <w:rPr>
          <w:rFonts w:eastAsia="方正黑体_GBK" w:hAnsi="方正黑体_GBK"/>
          <w:szCs w:val="32"/>
        </w:rPr>
        <w:t>四、事故防范措施落实情况</w:t>
      </w:r>
    </w:p>
    <w:p w:rsidR="00EB0FAC" w:rsidRPr="00CA72C1" w:rsidRDefault="00CA72C1">
      <w:pPr>
        <w:ind w:firstLineChars="200" w:firstLine="640"/>
        <w:rPr>
          <w:szCs w:val="32"/>
        </w:rPr>
      </w:pPr>
      <w:r w:rsidRPr="00CA72C1">
        <w:rPr>
          <w:rFonts w:eastAsia="方正楷体_GBK" w:hAnsi="方正楷体_GBK"/>
          <w:szCs w:val="32"/>
        </w:rPr>
        <w:t>（一）</w:t>
      </w:r>
      <w:r w:rsidRPr="00CA72C1">
        <w:rPr>
          <w:rFonts w:hAnsi="方正仿宋_GBK"/>
          <w:szCs w:val="32"/>
        </w:rPr>
        <w:t>彭水</w:t>
      </w:r>
      <w:proofErr w:type="gramStart"/>
      <w:r w:rsidRPr="00CA72C1">
        <w:rPr>
          <w:rFonts w:hAnsi="方正仿宋_GBK"/>
          <w:szCs w:val="32"/>
        </w:rPr>
        <w:t>县捷兴</w:t>
      </w:r>
      <w:proofErr w:type="gramEnd"/>
      <w:r w:rsidRPr="00CA72C1">
        <w:rPr>
          <w:rFonts w:hAnsi="方正仿宋_GBK"/>
          <w:szCs w:val="32"/>
        </w:rPr>
        <w:t>再生资源回收站</w:t>
      </w:r>
      <w:r w:rsidRPr="00CA72C1">
        <w:rPr>
          <w:rFonts w:eastAsia="方正楷体_GBK" w:hAnsi="方正楷体_GBK"/>
          <w:szCs w:val="32"/>
        </w:rPr>
        <w:t>。</w:t>
      </w:r>
      <w:r w:rsidRPr="00CA72C1">
        <w:rPr>
          <w:rFonts w:hAnsi="方正仿宋_GBK"/>
          <w:szCs w:val="32"/>
        </w:rPr>
        <w:t>一是落实安全生产责任制和安全生产规章制度。二是加强安全生产培训教育，全面落实岗前三级安全教育培训和岗位安全培训教育。三是落实事故隐患排查治理制度，对废铁构筑物拆除作业前进行全面排查。四是制定拆除作业施工方案，根据有关法律法规和行业规范，制定科学安全可行的施工作业方案，作业严格遵照施工方案实施。五是特种作业人员持证准入，特种作业未取得资质的人员，坚决不予聘用。</w:t>
      </w:r>
    </w:p>
    <w:p w:rsidR="00EB0FAC" w:rsidRPr="00CA72C1" w:rsidRDefault="00CA72C1">
      <w:pPr>
        <w:ind w:firstLineChars="200" w:firstLine="640"/>
        <w:rPr>
          <w:rFonts w:eastAsia="方正楷体_GBK"/>
          <w:szCs w:val="32"/>
        </w:rPr>
      </w:pPr>
      <w:r w:rsidRPr="00CA72C1">
        <w:rPr>
          <w:rFonts w:eastAsia="方正楷体_GBK" w:hAnsi="方正楷体_GBK"/>
          <w:szCs w:val="32"/>
        </w:rPr>
        <w:t>（二）彭水县商务委员会。</w:t>
      </w:r>
      <w:r w:rsidRPr="00CA72C1">
        <w:rPr>
          <w:rFonts w:hAnsi="方正仿宋_GBK"/>
          <w:szCs w:val="32"/>
        </w:rPr>
        <w:t>一是对彭水</w:t>
      </w:r>
      <w:proofErr w:type="gramStart"/>
      <w:r w:rsidRPr="00CA72C1">
        <w:rPr>
          <w:rFonts w:hAnsi="方正仿宋_GBK"/>
          <w:szCs w:val="32"/>
        </w:rPr>
        <w:t>县捷兴</w:t>
      </w:r>
      <w:proofErr w:type="gramEnd"/>
      <w:r w:rsidRPr="00CA72C1">
        <w:rPr>
          <w:rFonts w:hAnsi="方正仿宋_GBK"/>
          <w:szCs w:val="32"/>
        </w:rPr>
        <w:t>再生资源回收站负责人进行了约谈，督促企业主要负责人要严格落实</w:t>
      </w:r>
      <w:r w:rsidRPr="00CA72C1">
        <w:rPr>
          <w:rFonts w:hAnsi="方正仿宋_GBK"/>
          <w:szCs w:val="32"/>
        </w:rPr>
        <w:lastRenderedPageBreak/>
        <w:t>职责抓好安全生产工作。二是组织召开商贸领域安全生产专题会议，通报该起事故情况。三是结合工作实际，在全县范围内开展专项检查行动，杜绝此类事故的再次发生。</w:t>
      </w:r>
    </w:p>
    <w:p w:rsidR="00EB0FAC" w:rsidRPr="00CA72C1" w:rsidRDefault="00CA72C1">
      <w:pPr>
        <w:ind w:firstLineChars="200" w:firstLine="640"/>
        <w:rPr>
          <w:szCs w:val="32"/>
        </w:rPr>
      </w:pPr>
      <w:r w:rsidRPr="00CA72C1">
        <w:rPr>
          <w:rFonts w:eastAsia="方正楷体_GBK" w:hAnsi="方正楷体_GBK"/>
          <w:szCs w:val="32"/>
        </w:rPr>
        <w:t>（三）保家镇人民政府。</w:t>
      </w:r>
      <w:r w:rsidRPr="00CA72C1">
        <w:rPr>
          <w:rFonts w:eastAsia="方正楷体_GBK" w:hAnsi="方正仿宋_GBK"/>
          <w:szCs w:val="32"/>
        </w:rPr>
        <w:t>一</w:t>
      </w:r>
      <w:r w:rsidRPr="00CA72C1">
        <w:rPr>
          <w:rFonts w:hAnsi="方正仿宋_GBK"/>
          <w:szCs w:val="32"/>
        </w:rPr>
        <w:t>是组织召开安全生产专题会议，通报该起事故情况。二是结合工作实际，在全镇范围内开展专项检查行动。三是对在建重点工程开展常态</w:t>
      </w:r>
      <w:proofErr w:type="gramStart"/>
      <w:r w:rsidRPr="00CA72C1">
        <w:rPr>
          <w:rFonts w:hAnsi="方正仿宋_GBK"/>
          <w:szCs w:val="32"/>
        </w:rPr>
        <w:t>化安全</w:t>
      </w:r>
      <w:proofErr w:type="gramEnd"/>
      <w:r w:rsidRPr="00CA72C1">
        <w:rPr>
          <w:rFonts w:hAnsi="方正仿宋_GBK"/>
          <w:szCs w:val="32"/>
        </w:rPr>
        <w:t>监督检查，对高危分部分项实施严格执法检查。</w:t>
      </w:r>
    </w:p>
    <w:p w:rsidR="00EB0FAC" w:rsidRPr="00CA72C1" w:rsidRDefault="00CA72C1">
      <w:pPr>
        <w:ind w:firstLineChars="200" w:firstLine="640"/>
        <w:rPr>
          <w:szCs w:val="32"/>
        </w:rPr>
      </w:pPr>
      <w:r w:rsidRPr="00CA72C1">
        <w:rPr>
          <w:rFonts w:hAnsi="方正仿宋_GBK"/>
          <w:szCs w:val="32"/>
        </w:rPr>
        <w:t>评估组经综合评估后一致认为，各单位按照县人民政府批复意见，对有关责任单位及责任人员</w:t>
      </w:r>
      <w:proofErr w:type="gramStart"/>
      <w:r w:rsidRPr="00CA72C1">
        <w:rPr>
          <w:rFonts w:hAnsi="方正仿宋_GBK"/>
          <w:szCs w:val="32"/>
        </w:rPr>
        <w:t>作出</w:t>
      </w:r>
      <w:proofErr w:type="gramEnd"/>
      <w:r w:rsidRPr="00CA72C1">
        <w:rPr>
          <w:rFonts w:hAnsi="方正仿宋_GBK"/>
          <w:szCs w:val="32"/>
        </w:rPr>
        <w:t>相关处理；事故企业及有关单位汲取事故教训，基本落实了事故调查报告提出的事故防范措施整改。</w:t>
      </w:r>
    </w:p>
    <w:p w:rsidR="00EB0FAC" w:rsidRPr="00CA72C1" w:rsidRDefault="00EB0FAC">
      <w:pPr>
        <w:ind w:firstLineChars="200" w:firstLine="640"/>
        <w:rPr>
          <w:rFonts w:eastAsia="仿宋_GB2312"/>
          <w:szCs w:val="32"/>
        </w:rPr>
      </w:pPr>
    </w:p>
    <w:p w:rsidR="00EB0FAC" w:rsidRPr="00CA72C1" w:rsidRDefault="00EB0FAC">
      <w:pPr>
        <w:pStyle w:val="a0"/>
        <w:rPr>
          <w:rFonts w:eastAsia="仿宋_GB2312"/>
          <w:szCs w:val="32"/>
        </w:rPr>
      </w:pPr>
    </w:p>
    <w:p w:rsidR="00EB0FAC" w:rsidRPr="00CA72C1" w:rsidRDefault="00EB0FAC"/>
    <w:p w:rsidR="00EB0FAC" w:rsidRPr="00CA72C1" w:rsidRDefault="00CA72C1">
      <w:pPr>
        <w:kinsoku w:val="0"/>
        <w:ind w:leftChars="1000" w:left="3520" w:hangingChars="100" w:hanging="320"/>
        <w:rPr>
          <w:szCs w:val="32"/>
        </w:rPr>
      </w:pPr>
      <w:r w:rsidRPr="00CA72C1">
        <w:rPr>
          <w:rFonts w:hAnsi="方正仿宋_GBK"/>
          <w:szCs w:val="32"/>
        </w:rPr>
        <w:t>保家镇长窑村</w:t>
      </w:r>
      <w:r w:rsidRPr="00CA72C1">
        <w:rPr>
          <w:szCs w:val="32"/>
        </w:rPr>
        <w:t>“1.18”</w:t>
      </w:r>
      <w:r w:rsidRPr="00CA72C1">
        <w:rPr>
          <w:rFonts w:hAnsi="方正仿宋_GBK"/>
          <w:szCs w:val="32"/>
        </w:rPr>
        <w:t>一般坍塌事故防范和整改落实情况评估工作组</w:t>
      </w:r>
    </w:p>
    <w:p w:rsidR="00EB0FAC" w:rsidRPr="00CA72C1" w:rsidRDefault="00CA72C1">
      <w:pPr>
        <w:kinsoku w:val="0"/>
        <w:ind w:rightChars="400" w:right="1280"/>
        <w:jc w:val="right"/>
        <w:rPr>
          <w:szCs w:val="32"/>
        </w:rPr>
      </w:pPr>
      <w:r w:rsidRPr="00CA72C1">
        <w:rPr>
          <w:szCs w:val="32"/>
        </w:rPr>
        <w:t>2022</w:t>
      </w:r>
      <w:r w:rsidRPr="00CA72C1">
        <w:rPr>
          <w:rFonts w:hAnsi="方正仿宋_GBK"/>
          <w:szCs w:val="32"/>
        </w:rPr>
        <w:t>年</w:t>
      </w:r>
      <w:r w:rsidRPr="00CA72C1">
        <w:rPr>
          <w:szCs w:val="32"/>
        </w:rPr>
        <w:t>8</w:t>
      </w:r>
      <w:r w:rsidRPr="00CA72C1">
        <w:rPr>
          <w:rFonts w:hAnsi="方正仿宋_GBK"/>
          <w:szCs w:val="32"/>
        </w:rPr>
        <w:t>月</w:t>
      </w:r>
      <w:r w:rsidRPr="00CA72C1">
        <w:rPr>
          <w:szCs w:val="32"/>
        </w:rPr>
        <w:t>28</w:t>
      </w:r>
      <w:r w:rsidRPr="00CA72C1">
        <w:rPr>
          <w:rFonts w:hAnsi="方正仿宋_GBK"/>
          <w:szCs w:val="32"/>
        </w:rPr>
        <w:t>日</w:t>
      </w:r>
    </w:p>
    <w:sectPr w:rsidR="00EB0FAC" w:rsidRPr="00CA72C1" w:rsidSect="00EB0FA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2C1" w:rsidRDefault="00CA72C1" w:rsidP="00CA72C1">
      <w:r>
        <w:separator/>
      </w:r>
    </w:p>
  </w:endnote>
  <w:endnote w:type="continuationSeparator" w:id="1">
    <w:p w:rsidR="00CA72C1" w:rsidRDefault="00CA72C1" w:rsidP="00CA7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方正小标宋_GBK"/>
    <w:charset w:val="00"/>
    <w:family w:val="auto"/>
    <w:pitch w:val="default"/>
    <w:sig w:usb0="A00002BF" w:usb1="184F6CFA" w:usb2="00000012"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2C1" w:rsidRDefault="00CA72C1" w:rsidP="00CA72C1">
      <w:r>
        <w:separator/>
      </w:r>
    </w:p>
  </w:footnote>
  <w:footnote w:type="continuationSeparator" w:id="1">
    <w:p w:rsidR="00CA72C1" w:rsidRDefault="00CA72C1" w:rsidP="00CA7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EDF"/>
    <w:rsid w:val="000D14C3"/>
    <w:rsid w:val="001B3738"/>
    <w:rsid w:val="00266BF8"/>
    <w:rsid w:val="0041108F"/>
    <w:rsid w:val="00763D68"/>
    <w:rsid w:val="00794A06"/>
    <w:rsid w:val="007E0350"/>
    <w:rsid w:val="00A92EDF"/>
    <w:rsid w:val="00C07D80"/>
    <w:rsid w:val="00CA72C1"/>
    <w:rsid w:val="00CC1D8C"/>
    <w:rsid w:val="00D37FDC"/>
    <w:rsid w:val="00EB0FAC"/>
    <w:rsid w:val="3E715778"/>
    <w:rsid w:val="74916B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0FAC"/>
    <w:pPr>
      <w:widowControl w:val="0"/>
      <w:jc w:val="both"/>
    </w:pPr>
    <w:rPr>
      <w:rFonts w:ascii="Times New Roman" w:eastAsia="方正仿宋_GBK"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EB0FAC"/>
    <w:pPr>
      <w:spacing w:after="140" w:line="276" w:lineRule="auto"/>
    </w:pPr>
    <w:rPr>
      <w:rFonts w:eastAsia="宋体"/>
    </w:rPr>
  </w:style>
  <w:style w:type="paragraph" w:styleId="a4">
    <w:name w:val="header"/>
    <w:basedOn w:val="a"/>
    <w:link w:val="Char"/>
    <w:uiPriority w:val="99"/>
    <w:semiHidden/>
    <w:unhideWhenUsed/>
    <w:rsid w:val="00CA7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A72C1"/>
    <w:rPr>
      <w:rFonts w:ascii="Times New Roman" w:eastAsia="方正仿宋_GBK" w:hAnsi="Times New Roman" w:cs="Times New Roman"/>
      <w:kern w:val="2"/>
      <w:sz w:val="18"/>
      <w:szCs w:val="18"/>
    </w:rPr>
  </w:style>
  <w:style w:type="paragraph" w:styleId="a5">
    <w:name w:val="footer"/>
    <w:basedOn w:val="a"/>
    <w:link w:val="Char0"/>
    <w:uiPriority w:val="99"/>
    <w:semiHidden/>
    <w:unhideWhenUsed/>
    <w:rsid w:val="00CA72C1"/>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A72C1"/>
    <w:rPr>
      <w:rFonts w:ascii="Times New Roman" w:eastAsia="方正仿宋_GBK"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193</Words>
  <Characters>1106</Characters>
  <Application>Microsoft Office Word</Application>
  <DocSecurity>0</DocSecurity>
  <Lines>9</Lines>
  <Paragraphs>2</Paragraphs>
  <ScaleCrop>false</ScaleCrop>
  <Company>Microsoft</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dc:creator>
  <cp:lastModifiedBy>Windows 用户</cp:lastModifiedBy>
  <cp:revision>3</cp:revision>
  <cp:lastPrinted>2022-04-24T06:12:00Z</cp:lastPrinted>
  <dcterms:created xsi:type="dcterms:W3CDTF">2022-04-20T03:11:00Z</dcterms:created>
  <dcterms:modified xsi:type="dcterms:W3CDTF">2023-11-03T03:29:00Z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1D709C45825B477993161A58643F79F7</vt:lpwstr>
  </property>
</Properties>
</file>