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14:paraId="35A29C2E">
        <w:tblPrEx>
          <w:tblCellMar>
            <w:top w:w="0" w:type="dxa"/>
            <w:left w:w="108" w:type="dxa"/>
            <w:bottom w:w="0" w:type="dxa"/>
            <w:right w:w="108" w:type="dxa"/>
          </w:tblCellMar>
        </w:tblPrEx>
        <w:trPr>
          <w:trHeight w:val="1445" w:hRule="exact"/>
          <w:jc w:val="center"/>
        </w:trPr>
        <w:tc>
          <w:tcPr>
            <w:tcW w:w="8833" w:type="dxa"/>
            <w:noWrap w:val="0"/>
            <w:vAlign w:val="center"/>
          </w:tcPr>
          <w:p w14:paraId="7FA0155F">
            <w:pPr>
              <w:jc w:val="center"/>
              <w:rPr>
                <w:rFonts w:hint="eastAsia" w:eastAsia="方正小标宋_GBK"/>
                <w:b/>
                <w:color w:val="FF0000"/>
                <w:w w:val="44"/>
                <w:sz w:val="130"/>
                <w:szCs w:val="130"/>
              </w:rPr>
            </w:pPr>
            <w:bookmarkStart w:id="0" w:name="_Toc142890354"/>
            <w:r>
              <w:rPr>
                <w:b/>
                <w:bCs w:val="0"/>
                <w:w w:val="52"/>
                <w:sz w:val="96"/>
                <w:szCs w:val="96"/>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913130</wp:posOffset>
                      </wp:positionV>
                      <wp:extent cx="5618480" cy="0"/>
                      <wp:effectExtent l="0" t="9525" r="1270" b="9525"/>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75pt;margin-top:71.9pt;height:0pt;width:442.4pt;z-index:251659264;mso-width-relative:page;mso-height-relative:page;" filled="f" stroked="t" coordsize="21600,21600" o:gfxdata="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MRVu2QAAAAsBAAAPAAAAAAAAAAEAIAAAACIAAABkcnMvZG93bnJldi54bWxQ&#10;SwECFAAUAAAACACHTuJAsyby1PYBAADlAwAADgAAAAAAAAABACAAAAAoAQAAZHJzL2Uyb0RvYy54&#10;bWxQSwUGAAAAAAYABgBZAQAAkAUAAAAA&#10;">
                      <v:fill on="f" focussize="0,0"/>
                      <v:stroke weight="1.5pt" color="#FF0000" joinstyle="round"/>
                      <v:imagedata o:title=""/>
                      <o:lock v:ext="edit" aspectratio="f"/>
                    </v:line>
                  </w:pict>
                </mc:Fallback>
              </mc:AlternateContent>
            </w:r>
            <w:r>
              <w:rPr>
                <w:rFonts w:hint="eastAsia" w:eastAsia="方正小标宋_GBK"/>
                <w:b/>
                <w:bCs w:val="0"/>
                <w:color w:val="FF0000"/>
                <w:w w:val="52"/>
                <w:sz w:val="96"/>
                <w:szCs w:val="96"/>
              </w:rPr>
              <w:t>彭水苗族土家族自治县生态环境</w:t>
            </w:r>
            <w:r>
              <w:rPr>
                <w:rFonts w:hint="eastAsia" w:hAnsi="Times New Roman" w:eastAsia="方正小标宋_GBK" w:cs="Times New Roman"/>
                <w:b/>
                <w:bCs w:val="0"/>
                <w:color w:val="FF0000"/>
                <w:w w:val="52"/>
                <w:sz w:val="96"/>
                <w:szCs w:val="96"/>
              </w:rPr>
              <w:t>局</w:t>
            </w:r>
            <w:r>
              <w:rPr>
                <w:rFonts w:hint="eastAsia" w:hAnsi="Times New Roman" w:eastAsia="方正小标宋_GBK" w:cs="Times New Roman"/>
                <w:b/>
                <w:bCs w:val="0"/>
                <w:color w:val="FF0000"/>
                <w:w w:val="52"/>
                <w:sz w:val="96"/>
                <w:szCs w:val="96"/>
                <w:lang w:eastAsia="zh-CN"/>
              </w:rPr>
              <w:t>文</w:t>
            </w:r>
            <w:r>
              <w:rPr>
                <w:rFonts w:hint="eastAsia" w:eastAsia="方正小标宋_GBK"/>
                <w:b/>
                <w:bCs w:val="0"/>
                <w:color w:val="FF0000"/>
                <w:w w:val="52"/>
                <w:sz w:val="96"/>
                <w:szCs w:val="96"/>
                <w:lang w:eastAsia="zh-CN"/>
              </w:rPr>
              <w:t>件</w:t>
            </w:r>
          </w:p>
        </w:tc>
      </w:tr>
    </w:tbl>
    <w:p w14:paraId="00C1934B">
      <w:pPr>
        <w:spacing w:line="360" w:lineRule="exact"/>
        <w:jc w:val="right"/>
        <w:rPr>
          <w:rFonts w:hint="default" w:ascii="Times New Roman" w:hAnsi="Times New Roman" w:eastAsia="方正仿宋_GBK" w:cs="Times New Roman"/>
          <w:spacing w:val="-4"/>
          <w:sz w:val="32"/>
          <w:szCs w:val="32"/>
        </w:rPr>
      </w:pPr>
    </w:p>
    <w:p w14:paraId="2432CD64">
      <w:pPr>
        <w:spacing w:line="360" w:lineRule="exact"/>
        <w:jc w:val="right"/>
        <w:rPr>
          <w:spacing w:val="-5"/>
          <w:szCs w:val="21"/>
        </w:rPr>
      </w:pPr>
      <w:r>
        <w:rPr>
          <w:rFonts w:hint="default" w:ascii="Times New Roman" w:hAnsi="Times New Roman" w:eastAsia="方正仿宋_GBK" w:cs="Times New Roman"/>
          <w:spacing w:val="-4"/>
          <w:sz w:val="32"/>
          <w:szCs w:val="32"/>
        </w:rPr>
        <w:t>渝（彭）环排口审〔202</w:t>
      </w:r>
      <w:r>
        <w:rPr>
          <w:rFonts w:hint="default" w:ascii="Times New Roman" w:hAnsi="Times New Roman" w:eastAsia="方正仿宋_GBK" w:cs="Times New Roman"/>
          <w:spacing w:val="-4"/>
          <w:sz w:val="32"/>
          <w:szCs w:val="32"/>
          <w:lang w:val="en-US" w:eastAsia="zh-CN"/>
        </w:rPr>
        <w:t>5</w:t>
      </w:r>
      <w:r>
        <w:rPr>
          <w:rFonts w:hint="default" w:ascii="Times New Roman" w:hAnsi="Times New Roman" w:eastAsia="方正仿宋_GBK" w:cs="Times New Roman"/>
          <w:spacing w:val="-4"/>
          <w:sz w:val="32"/>
          <w:szCs w:val="32"/>
        </w:rPr>
        <w:t>〕</w:t>
      </w:r>
      <w:r>
        <w:rPr>
          <w:rFonts w:hint="eastAsia" w:eastAsia="方正仿宋_GBK" w:cs="Times New Roman"/>
          <w:spacing w:val="-4"/>
          <w:sz w:val="32"/>
          <w:szCs w:val="32"/>
          <w:lang w:val="en-US" w:eastAsia="zh-CN"/>
        </w:rPr>
        <w:t>7</w:t>
      </w:r>
      <w:r>
        <w:rPr>
          <w:rFonts w:hint="default" w:ascii="Times New Roman" w:hAnsi="Times New Roman" w:eastAsia="方正仿宋_GBK" w:cs="Times New Roman"/>
          <w:spacing w:val="-4"/>
          <w:sz w:val="32"/>
          <w:szCs w:val="32"/>
        </w:rPr>
        <w:t xml:space="preserve">号  </w:t>
      </w:r>
    </w:p>
    <w:p w14:paraId="6270FF0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5"/>
          <w:sz w:val="44"/>
          <w:szCs w:val="44"/>
          <w:lang w:eastAsia="zh-CN"/>
        </w:rPr>
      </w:pPr>
    </w:p>
    <w:p w14:paraId="5C6857E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5"/>
          <w:sz w:val="44"/>
          <w:szCs w:val="44"/>
          <w:lang w:eastAsia="zh-CN"/>
        </w:rPr>
      </w:pPr>
      <w:r>
        <w:rPr>
          <w:rFonts w:hint="eastAsia" w:ascii="方正小标宋_GBK" w:hAnsi="方正小标宋_GBK" w:eastAsia="方正小标宋_GBK" w:cs="方正小标宋_GBK"/>
          <w:spacing w:val="-5"/>
          <w:sz w:val="44"/>
          <w:szCs w:val="44"/>
          <w:lang w:eastAsia="zh-CN"/>
        </w:rPr>
        <w:t>彭水苗族土家族自治县生态环境局</w:t>
      </w:r>
    </w:p>
    <w:p w14:paraId="1F16976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pacing w:val="-4"/>
          <w:sz w:val="44"/>
          <w:szCs w:val="44"/>
        </w:rPr>
      </w:pPr>
      <w:r>
        <w:rPr>
          <w:rFonts w:hint="eastAsia" w:ascii="方正小标宋_GBK" w:hAnsi="方正小标宋_GBK" w:eastAsia="方正小标宋_GBK" w:cs="方正小标宋_GBK"/>
          <w:spacing w:val="-4"/>
          <w:sz w:val="44"/>
          <w:szCs w:val="44"/>
        </w:rPr>
        <w:t>同意设置彭水县</w:t>
      </w:r>
      <w:r>
        <w:rPr>
          <w:rFonts w:hint="eastAsia" w:ascii="方正小标宋_GBK" w:hAnsi="方正小标宋_GBK" w:eastAsia="方正小标宋_GBK" w:cs="方正小标宋_GBK"/>
          <w:spacing w:val="-4"/>
          <w:sz w:val="44"/>
          <w:szCs w:val="44"/>
          <w:lang w:eastAsia="zh-CN"/>
        </w:rPr>
        <w:t>诸佛乡（双合村）</w:t>
      </w:r>
      <w:r>
        <w:rPr>
          <w:rFonts w:hint="eastAsia" w:ascii="方正小标宋_GBK" w:hAnsi="方正小标宋_GBK" w:eastAsia="方正小标宋_GBK" w:cs="方正小标宋_GBK"/>
          <w:spacing w:val="-4"/>
          <w:sz w:val="44"/>
          <w:szCs w:val="44"/>
        </w:rPr>
        <w:t>污水处理厂入河排污口的决定书</w:t>
      </w:r>
    </w:p>
    <w:p w14:paraId="2DF6C061">
      <w:pPr>
        <w:adjustRightInd w:val="0"/>
        <w:spacing w:line="360" w:lineRule="exact"/>
        <w:ind w:right="808"/>
        <w:jc w:val="right"/>
        <w:rPr>
          <w:rFonts w:ascii="宋体" w:hAnsi="宋体"/>
          <w:spacing w:val="-4"/>
          <w:szCs w:val="21"/>
        </w:rPr>
      </w:pPr>
      <w:r>
        <w:rPr>
          <w:rFonts w:hint="default" w:ascii="Times New Roman" w:hAnsi="Times New Roman" w:eastAsia="方正仿宋_GBK" w:cs="Times New Roman"/>
          <w:spacing w:val="-4"/>
          <w:sz w:val="32"/>
          <w:szCs w:val="32"/>
        </w:rPr>
        <w:t xml:space="preserve"> </w:t>
      </w:r>
      <w:r>
        <w:rPr>
          <w:rFonts w:ascii="宋体" w:hAnsi="宋体"/>
          <w:spacing w:val="-4"/>
          <w:szCs w:val="21"/>
        </w:rPr>
        <w:t xml:space="preserve">      </w:t>
      </w:r>
    </w:p>
    <w:p w14:paraId="07BD7641">
      <w:pPr>
        <w:pStyle w:val="9"/>
        <w:keepNext w:val="0"/>
        <w:keepLines w:val="0"/>
        <w:pageBreakBefore w:val="0"/>
        <w:widowControl w:val="0"/>
        <w:kinsoku/>
        <w:wordWrap/>
        <w:overflowPunct/>
        <w:topLinePunct w:val="0"/>
        <w:autoSpaceDE/>
        <w:autoSpaceDN/>
        <w:bidi w:val="0"/>
        <w:adjustRightInd w:val="0"/>
        <w:snapToGrid/>
        <w:spacing w:before="0" w:line="560" w:lineRule="exact"/>
        <w:ind w:left="0" w:leftChars="0" w:right="107" w:firstLine="0" w:firstLineChars="0"/>
        <w:jc w:val="both"/>
        <w:textAlignment w:val="auto"/>
        <w:rPr>
          <w:rFonts w:hint="default" w:ascii="Times New Roman" w:hAnsi="Times New Roman" w:eastAsia="方正仿宋_GBK" w:cs="Times New Roman"/>
          <w:spacing w:val="-6"/>
          <w:sz w:val="32"/>
          <w:szCs w:val="32"/>
          <w:lang w:val="zh-TW" w:eastAsia="zh-TW"/>
        </w:rPr>
      </w:pPr>
      <w:r>
        <w:rPr>
          <w:rFonts w:hint="default" w:ascii="Times New Roman" w:hAnsi="Times New Roman" w:eastAsia="方正仿宋_GBK" w:cs="Times New Roman"/>
          <w:spacing w:val="-6"/>
          <w:sz w:val="32"/>
          <w:szCs w:val="32"/>
          <w:lang w:val="zh-TW" w:eastAsia="zh-TW"/>
        </w:rPr>
        <w:t>重庆环保投资集团有限公司：</w:t>
      </w:r>
    </w:p>
    <w:p w14:paraId="5B3627E9">
      <w:pPr>
        <w:pStyle w:val="9"/>
        <w:keepNext w:val="0"/>
        <w:keepLines w:val="0"/>
        <w:pageBreakBefore w:val="0"/>
        <w:widowControl w:val="0"/>
        <w:kinsoku/>
        <w:wordWrap/>
        <w:overflowPunct/>
        <w:topLinePunct w:val="0"/>
        <w:autoSpaceDE/>
        <w:autoSpaceDN/>
        <w:bidi w:val="0"/>
        <w:adjustRightInd w:val="0"/>
        <w:snapToGrid/>
        <w:spacing w:before="0" w:line="560" w:lineRule="exact"/>
        <w:ind w:left="0" w:leftChars="0" w:right="107" w:firstLine="616" w:firstLineChars="200"/>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你单位于</w:t>
      </w:r>
      <w:r>
        <w:rPr>
          <w:rFonts w:hint="default" w:ascii="Times New Roman" w:hAnsi="Times New Roman" w:eastAsia="方正仿宋_GBK" w:cs="Times New Roman"/>
          <w:spacing w:val="-6"/>
          <w:sz w:val="32"/>
          <w:szCs w:val="32"/>
          <w:lang w:val="en-US" w:eastAsia="zh-CN"/>
        </w:rPr>
        <w:t>2025</w:t>
      </w:r>
      <w:r>
        <w:rPr>
          <w:rFonts w:hint="default" w:ascii="Times New Roman" w:hAnsi="Times New Roman" w:eastAsia="方正仿宋_GBK" w:cs="Times New Roman"/>
          <w:spacing w:val="-6"/>
          <w:sz w:val="32"/>
          <w:szCs w:val="32"/>
          <w:lang w:eastAsia="zh-CN"/>
        </w:rPr>
        <w:t>年</w:t>
      </w:r>
      <w:r>
        <w:rPr>
          <w:rFonts w:hint="eastAsia" w:ascii="Times New Roman" w:hAnsi="Times New Roman" w:eastAsia="方正仿宋_GBK" w:cs="Times New Roman"/>
          <w:spacing w:val="-6"/>
          <w:sz w:val="32"/>
          <w:szCs w:val="32"/>
          <w:lang w:val="en-US" w:eastAsia="zh-CN"/>
        </w:rPr>
        <w:t>9</w:t>
      </w:r>
      <w:r>
        <w:rPr>
          <w:rFonts w:hint="default" w:ascii="Times New Roman" w:hAnsi="Times New Roman" w:eastAsia="方正仿宋_GBK" w:cs="Times New Roman"/>
          <w:spacing w:val="-6"/>
          <w:sz w:val="32"/>
          <w:szCs w:val="32"/>
          <w:lang w:eastAsia="zh-CN"/>
        </w:rPr>
        <w:t>月</w:t>
      </w:r>
      <w:r>
        <w:rPr>
          <w:rFonts w:hint="eastAsia" w:ascii="Times New Roman" w:hAnsi="Times New Roman" w:eastAsia="方正仿宋_GBK" w:cs="Times New Roman"/>
          <w:spacing w:val="-6"/>
          <w:sz w:val="32"/>
          <w:szCs w:val="32"/>
          <w:lang w:val="en-US" w:eastAsia="zh-CN"/>
        </w:rPr>
        <w:t>30</w:t>
      </w:r>
      <w:r>
        <w:rPr>
          <w:rFonts w:hint="default" w:ascii="Times New Roman" w:hAnsi="Times New Roman" w:eastAsia="方正仿宋_GBK" w:cs="Times New Roman"/>
          <w:spacing w:val="-6"/>
          <w:sz w:val="32"/>
          <w:szCs w:val="32"/>
          <w:lang w:eastAsia="zh-CN"/>
        </w:rPr>
        <w:t>日向我部门提出了彭水县</w:t>
      </w:r>
      <w:r>
        <w:rPr>
          <w:rFonts w:hint="eastAsia" w:ascii="Times New Roman" w:hAnsi="Times New Roman" w:eastAsia="方正仿宋_GBK" w:cs="Times New Roman"/>
          <w:spacing w:val="-6"/>
          <w:sz w:val="32"/>
          <w:szCs w:val="32"/>
          <w:lang w:eastAsia="zh-CN"/>
        </w:rPr>
        <w:t>诸佛乡（双合村）</w:t>
      </w:r>
      <w:r>
        <w:rPr>
          <w:rFonts w:hint="default" w:ascii="Times New Roman" w:hAnsi="Times New Roman" w:eastAsia="方正仿宋_GBK" w:cs="Times New Roman"/>
          <w:spacing w:val="-6"/>
          <w:sz w:val="32"/>
          <w:szCs w:val="32"/>
          <w:lang w:eastAsia="zh-CN"/>
        </w:rPr>
        <w:t>污水处理厂入河排污口设置申请。经审查，根据《中华人民共和国行政许可法》《入河排污口监督管理办法》（生态环境部令第35号）的规定，同意彭水县</w:t>
      </w:r>
      <w:r>
        <w:rPr>
          <w:rFonts w:hint="eastAsia" w:ascii="Times New Roman" w:hAnsi="Times New Roman" w:eastAsia="方正仿宋_GBK" w:cs="Times New Roman"/>
          <w:spacing w:val="-6"/>
          <w:sz w:val="32"/>
          <w:szCs w:val="32"/>
          <w:lang w:eastAsia="zh-CN"/>
        </w:rPr>
        <w:t>诸佛乡（双合村）</w:t>
      </w:r>
      <w:r>
        <w:rPr>
          <w:rFonts w:hint="default" w:ascii="Times New Roman" w:hAnsi="Times New Roman" w:eastAsia="方正仿宋_GBK" w:cs="Times New Roman"/>
          <w:spacing w:val="-6"/>
          <w:sz w:val="32"/>
          <w:szCs w:val="32"/>
          <w:lang w:eastAsia="zh-CN"/>
        </w:rPr>
        <w:t>污水处理厂入河排污口设置决定如下：</w:t>
      </w:r>
    </w:p>
    <w:tbl>
      <w:tblPr>
        <w:tblStyle w:val="2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1141"/>
        <w:gridCol w:w="732"/>
        <w:gridCol w:w="426"/>
        <w:gridCol w:w="1337"/>
        <w:gridCol w:w="1043"/>
        <w:gridCol w:w="1325"/>
      </w:tblGrid>
      <w:tr w14:paraId="528E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941" w:type="dxa"/>
            <w:vAlign w:val="center"/>
          </w:tcPr>
          <w:p w14:paraId="066E8913">
            <w:pPr>
              <w:pStyle w:val="9"/>
              <w:spacing w:before="0" w:line="360" w:lineRule="exact"/>
              <w:ind w:left="0"/>
              <w:jc w:val="center"/>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sz w:val="28"/>
                <w:szCs w:val="28"/>
                <w:lang w:eastAsia="zh-CN"/>
              </w:rPr>
              <w:br w:type="page"/>
            </w:r>
            <w:r>
              <w:rPr>
                <w:rFonts w:hint="default" w:ascii="Times New Roman" w:hAnsi="Times New Roman" w:eastAsia="方正仿宋_GBK" w:cs="Times New Roman"/>
                <w:kern w:val="2"/>
                <w:sz w:val="28"/>
                <w:szCs w:val="28"/>
                <w:lang w:eastAsia="zh-CN"/>
              </w:rPr>
              <w:t>入河排污口类型</w:t>
            </w:r>
          </w:p>
        </w:tc>
        <w:tc>
          <w:tcPr>
            <w:tcW w:w="6004" w:type="dxa"/>
            <w:gridSpan w:val="6"/>
            <w:vAlign w:val="center"/>
          </w:tcPr>
          <w:p w14:paraId="2061CD5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工矿企业入河排污口</w:t>
            </w:r>
          </w:p>
          <w:p w14:paraId="06EABB70">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工业及其他各类园区污水处理厂入河排污口</w:t>
            </w:r>
          </w:p>
          <w:p w14:paraId="07F6723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城镇污水处理厂入河排污口</w:t>
            </w:r>
          </w:p>
          <w:p w14:paraId="08AD2371">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其他参照上述管理的入河排污口_______________</w:t>
            </w:r>
          </w:p>
        </w:tc>
      </w:tr>
      <w:tr w14:paraId="243F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941" w:type="dxa"/>
            <w:vAlign w:val="center"/>
          </w:tcPr>
          <w:p w14:paraId="4193C16C">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入河排污口名称</w:t>
            </w:r>
          </w:p>
        </w:tc>
        <w:tc>
          <w:tcPr>
            <w:tcW w:w="6004" w:type="dxa"/>
            <w:gridSpan w:val="6"/>
            <w:vAlign w:val="center"/>
          </w:tcPr>
          <w:p w14:paraId="13D097CF">
            <w:pPr>
              <w:widowControl/>
              <w:spacing w:line="360" w:lineRule="exact"/>
              <w:rPr>
                <w:rFonts w:hint="default" w:ascii="Times New Roman" w:hAnsi="Times New Roman" w:eastAsia="方正仿宋_GBK" w:cs="Times New Roman"/>
                <w:sz w:val="28"/>
                <w:szCs w:val="28"/>
              </w:rPr>
            </w:pPr>
            <w:r>
              <w:rPr>
                <w:rFonts w:hint="eastAsia" w:eastAsia="方正仿宋_GBK" w:cs="Times New Roman"/>
                <w:sz w:val="28"/>
                <w:szCs w:val="28"/>
                <w:lang w:eastAsia="zh-CN"/>
              </w:rPr>
              <w:t>诸佛乡（双合村）</w:t>
            </w:r>
            <w:r>
              <w:rPr>
                <w:rFonts w:hint="default" w:ascii="Times New Roman" w:hAnsi="Times New Roman" w:eastAsia="方正仿宋_GBK" w:cs="Times New Roman"/>
                <w:sz w:val="28"/>
                <w:szCs w:val="28"/>
              </w:rPr>
              <w:t>污水处理厂入河排污口</w:t>
            </w:r>
          </w:p>
        </w:tc>
      </w:tr>
      <w:tr w14:paraId="45E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941" w:type="dxa"/>
            <w:vAlign w:val="center"/>
          </w:tcPr>
          <w:p w14:paraId="0626511C">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入河排污口编码</w:t>
            </w:r>
          </w:p>
        </w:tc>
        <w:tc>
          <w:tcPr>
            <w:tcW w:w="6004" w:type="dxa"/>
            <w:gridSpan w:val="6"/>
            <w:shd w:val="clear" w:color="auto" w:fill="auto"/>
            <w:vAlign w:val="center"/>
          </w:tcPr>
          <w:p w14:paraId="723919C3">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Times New Roman" w:hAnsi="Times New Roman" w:eastAsia="方正仿宋_GBK" w:cs="Times New Roman"/>
                <w:sz w:val="28"/>
                <w:szCs w:val="28"/>
                <w:lang w:val="en-US" w:eastAsia="zh-CN"/>
              </w:rPr>
              <w:t>FE-500243-0125-SH-WJ</w:t>
            </w:r>
          </w:p>
        </w:tc>
      </w:tr>
      <w:tr w14:paraId="49E7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7D411F9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设置类型</w:t>
            </w:r>
          </w:p>
        </w:tc>
        <w:tc>
          <w:tcPr>
            <w:tcW w:w="6004" w:type="dxa"/>
            <w:gridSpan w:val="6"/>
            <w:vAlign w:val="center"/>
          </w:tcPr>
          <w:p w14:paraId="7BB502CF">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 xml:space="preserve">新设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改设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扩大</w:t>
            </w:r>
            <w:r>
              <w:rPr>
                <w:rFonts w:hint="default" w:ascii="Times New Roman" w:hAnsi="Times New Roman" w:eastAsia="方正仿宋_GBK" w:cs="Times New Roman"/>
                <w:sz w:val="28"/>
                <w:szCs w:val="28"/>
                <w:lang w:val="en"/>
              </w:rPr>
              <w:t xml:space="preserve"> </w:t>
            </w:r>
            <w:r>
              <w:rPr>
                <w:rFonts w:hint="default" w:ascii="Times New Roman" w:hAnsi="Times New Roman" w:eastAsia="方正仿宋_GBK" w:cs="Times New Roman"/>
                <w:sz w:val="28"/>
                <w:szCs w:val="28"/>
              </w:rPr>
              <w:t xml:space="preserve"> </w:t>
            </w:r>
          </w:p>
        </w:tc>
      </w:tr>
      <w:tr w14:paraId="04B8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vAlign w:val="center"/>
          </w:tcPr>
          <w:p w14:paraId="01D571CB">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责任主体基本情况</w:t>
            </w:r>
          </w:p>
        </w:tc>
      </w:tr>
      <w:tr w14:paraId="7185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5" w:type="dxa"/>
            <w:gridSpan w:val="7"/>
            <w:vAlign w:val="center"/>
          </w:tcPr>
          <w:p w14:paraId="01C7B0FE">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责任主体名称：重庆环保投资集团有限公司</w:t>
            </w:r>
          </w:p>
        </w:tc>
      </w:tr>
      <w:tr w14:paraId="4571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941" w:type="dxa"/>
            <w:vAlign w:val="center"/>
          </w:tcPr>
          <w:p w14:paraId="1ADF8AD4">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详细地址</w:t>
            </w:r>
          </w:p>
        </w:tc>
        <w:tc>
          <w:tcPr>
            <w:tcW w:w="6004" w:type="dxa"/>
            <w:gridSpan w:val="6"/>
            <w:vAlign w:val="center"/>
          </w:tcPr>
          <w:p w14:paraId="0096292F">
            <w:pPr>
              <w:widowControl/>
              <w:spacing w:line="360" w:lineRule="exact"/>
              <w:jc w:val="lef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彭水自治县诸佛乡双合村1组</w:t>
            </w:r>
          </w:p>
        </w:tc>
      </w:tr>
      <w:tr w14:paraId="63D2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742BE99C">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统一社会信用代码</w:t>
            </w:r>
          </w:p>
        </w:tc>
        <w:tc>
          <w:tcPr>
            <w:tcW w:w="6004" w:type="dxa"/>
            <w:gridSpan w:val="6"/>
            <w:vAlign w:val="center"/>
          </w:tcPr>
          <w:p w14:paraId="29163B35">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91500000339470140F</w:t>
            </w:r>
          </w:p>
        </w:tc>
      </w:tr>
      <w:tr w14:paraId="46BF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41" w:type="dxa"/>
            <w:vAlign w:val="center"/>
          </w:tcPr>
          <w:p w14:paraId="3F9B3E20">
            <w:pPr>
              <w:widowControl/>
              <w:spacing w:line="36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法定代表人及联系电话</w:t>
            </w:r>
          </w:p>
        </w:tc>
        <w:tc>
          <w:tcPr>
            <w:tcW w:w="6004" w:type="dxa"/>
            <w:gridSpan w:val="6"/>
            <w:vAlign w:val="center"/>
          </w:tcPr>
          <w:p w14:paraId="5D064964">
            <w:pPr>
              <w:widowControl/>
              <w:spacing w:line="3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姓名：赖生平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联系电话：  </w:t>
            </w:r>
            <w:r>
              <w:rPr>
                <w:rFonts w:hint="eastAsia" w:eastAsia="方正仿宋_GBK" w:cs="Times New Roman"/>
                <w:sz w:val="28"/>
                <w:szCs w:val="28"/>
                <w:lang w:val="en-US" w:eastAsia="zh-CN"/>
              </w:rPr>
              <w:t>15736377285</w:t>
            </w:r>
            <w:r>
              <w:rPr>
                <w:rFonts w:hint="default" w:ascii="Times New Roman" w:hAnsi="Times New Roman" w:eastAsia="方正仿宋_GBK" w:cs="Times New Roman"/>
                <w:sz w:val="28"/>
                <w:szCs w:val="28"/>
              </w:rPr>
              <w:t xml:space="preserve">              </w:t>
            </w:r>
          </w:p>
        </w:tc>
      </w:tr>
      <w:tr w14:paraId="3E41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941" w:type="dxa"/>
            <w:vAlign w:val="center"/>
          </w:tcPr>
          <w:p w14:paraId="6481C301">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行业类别</w:t>
            </w:r>
          </w:p>
        </w:tc>
        <w:tc>
          <w:tcPr>
            <w:tcW w:w="6004" w:type="dxa"/>
            <w:gridSpan w:val="6"/>
            <w:vAlign w:val="center"/>
          </w:tcPr>
          <w:p w14:paraId="73426DB1">
            <w:pPr>
              <w:widowControl/>
              <w:spacing w:line="36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color w:val="000000" w:themeColor="text1"/>
                <w:sz w:val="28"/>
                <w:szCs w:val="28"/>
                <w:lang w:eastAsia="zh-CN"/>
                <w14:textFill>
                  <w14:solidFill>
                    <w14:schemeClr w14:val="tx1"/>
                  </w14:solidFill>
                </w14:textFill>
              </w:rPr>
              <w:t>D4620-污水处理及其再生利用</w:t>
            </w:r>
          </w:p>
        </w:tc>
      </w:tr>
      <w:tr w14:paraId="30D6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1" w:type="dxa"/>
            <w:vAlign w:val="center"/>
          </w:tcPr>
          <w:p w14:paraId="0DF3E795">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排污许可证或排污登记编号</w:t>
            </w:r>
          </w:p>
        </w:tc>
        <w:tc>
          <w:tcPr>
            <w:tcW w:w="6004" w:type="dxa"/>
            <w:gridSpan w:val="6"/>
            <w:vAlign w:val="center"/>
          </w:tcPr>
          <w:p w14:paraId="43F57093">
            <w:pPr>
              <w:widowControl/>
              <w:spacing w:line="360" w:lineRule="exact"/>
              <w:rPr>
                <w:rFonts w:hint="default" w:ascii="Times New Roman" w:hAnsi="Times New Roman" w:eastAsia="方正仿宋_GBK" w:cs="Times New Roman"/>
                <w:sz w:val="28"/>
                <w:szCs w:val="28"/>
                <w:lang w:val="en-US" w:eastAsia="zh-CN"/>
              </w:rPr>
            </w:pPr>
          </w:p>
        </w:tc>
      </w:tr>
      <w:tr w14:paraId="729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941" w:type="dxa"/>
            <w:vMerge w:val="restart"/>
            <w:vAlign w:val="center"/>
          </w:tcPr>
          <w:p w14:paraId="76A6F90E">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w:t>
            </w:r>
          </w:p>
          <w:p w14:paraId="6ACF4262">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设置地点</w:t>
            </w:r>
          </w:p>
        </w:tc>
        <w:tc>
          <w:tcPr>
            <w:tcW w:w="6004" w:type="dxa"/>
            <w:gridSpan w:val="6"/>
            <w:vAlign w:val="center"/>
          </w:tcPr>
          <w:p w14:paraId="119FD20C">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诸佛江左岸，污水处理厂北侧冲沟</w:t>
            </w:r>
          </w:p>
        </w:tc>
      </w:tr>
      <w:tr w14:paraId="54A7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41" w:type="dxa"/>
            <w:vMerge w:val="continue"/>
            <w:vAlign w:val="center"/>
          </w:tcPr>
          <w:p w14:paraId="57B9FB75">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16AC00F8">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排入水体名称：诸佛江</w:t>
            </w:r>
          </w:p>
        </w:tc>
      </w:tr>
      <w:tr w14:paraId="3033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41" w:type="dxa"/>
            <w:vMerge w:val="continue"/>
            <w:vAlign w:val="center"/>
          </w:tcPr>
          <w:p w14:paraId="024D14E1">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6723AEEC">
            <w:pPr>
              <w:widowControl/>
              <w:spacing w:line="360" w:lineRule="exac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所在流域：</w:t>
            </w:r>
            <w:r>
              <w:rPr>
                <w:rFonts w:hint="default" w:ascii="Times New Roman" w:hAnsi="Times New Roman" w:eastAsia="方正仿宋_GBK" w:cs="Times New Roman"/>
                <w:sz w:val="28"/>
                <w:szCs w:val="28"/>
                <w:lang w:eastAsia="zh-CN"/>
              </w:rPr>
              <w:t>长江</w:t>
            </w:r>
          </w:p>
        </w:tc>
      </w:tr>
      <w:tr w14:paraId="39B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941" w:type="dxa"/>
            <w:vMerge w:val="continue"/>
            <w:vAlign w:val="center"/>
          </w:tcPr>
          <w:p w14:paraId="1493B2FF">
            <w:pPr>
              <w:widowControl/>
              <w:spacing w:line="360" w:lineRule="exact"/>
              <w:jc w:val="center"/>
              <w:rPr>
                <w:rFonts w:hint="default" w:ascii="Times New Roman" w:hAnsi="Times New Roman" w:eastAsia="方正仿宋_GBK" w:cs="Times New Roman"/>
                <w:sz w:val="28"/>
                <w:szCs w:val="28"/>
              </w:rPr>
            </w:pPr>
          </w:p>
        </w:tc>
        <w:tc>
          <w:tcPr>
            <w:tcW w:w="6004" w:type="dxa"/>
            <w:gridSpan w:val="6"/>
            <w:vAlign w:val="center"/>
          </w:tcPr>
          <w:p w14:paraId="1D778DA0">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经度：108.490273°</w:t>
            </w:r>
          </w:p>
          <w:p w14:paraId="3A85392C">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纬度：29.218419°</w:t>
            </w:r>
          </w:p>
        </w:tc>
      </w:tr>
      <w:tr w14:paraId="0721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41" w:type="dxa"/>
            <w:vAlign w:val="center"/>
          </w:tcPr>
          <w:p w14:paraId="70273312">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污水排放方式</w:t>
            </w:r>
          </w:p>
        </w:tc>
        <w:tc>
          <w:tcPr>
            <w:tcW w:w="1141" w:type="dxa"/>
            <w:vAlign w:val="center"/>
          </w:tcPr>
          <w:p w14:paraId="095B623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 xml:space="preserve">连续 </w:t>
            </w:r>
          </w:p>
          <w:p w14:paraId="44A6DF52">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间歇</w:t>
            </w:r>
          </w:p>
        </w:tc>
        <w:tc>
          <w:tcPr>
            <w:tcW w:w="732" w:type="dxa"/>
            <w:vMerge w:val="restart"/>
            <w:vAlign w:val="center"/>
          </w:tcPr>
          <w:p w14:paraId="4489C89D">
            <w:pPr>
              <w:widowControl/>
              <w:spacing w:line="360" w:lineRule="exact"/>
              <w:ind w:right="-105" w:right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w:t>
            </w:r>
          </w:p>
          <w:p w14:paraId="27E381E9">
            <w:pPr>
              <w:widowControl/>
              <w:spacing w:line="360" w:lineRule="exact"/>
              <w:ind w:right="-105" w:rightChars="-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方式</w:t>
            </w:r>
          </w:p>
        </w:tc>
        <w:tc>
          <w:tcPr>
            <w:tcW w:w="4131" w:type="dxa"/>
            <w:gridSpan w:val="4"/>
            <w:vMerge w:val="restart"/>
            <w:vAlign w:val="center"/>
          </w:tcPr>
          <w:p w14:paraId="0547E421">
            <w:pPr>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明渠  </w:t>
            </w: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sz w:val="28"/>
                <w:szCs w:val="28"/>
              </w:rPr>
              <w:t>管道</w:t>
            </w:r>
          </w:p>
          <w:p w14:paraId="1BFDE023">
            <w:pPr>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泵站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涵闸</w:t>
            </w:r>
          </w:p>
          <w:p w14:paraId="3AA33006">
            <w:pPr>
              <w:widowControl/>
              <w:spacing w:line="360" w:lineRule="exact"/>
              <w:ind w:firstLine="420" w:firstLineChars="15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 xml:space="preserve">箱涵  </w:t>
            </w: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其他：_______</w:t>
            </w:r>
          </w:p>
        </w:tc>
      </w:tr>
      <w:tr w14:paraId="0154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41" w:type="dxa"/>
            <w:vAlign w:val="center"/>
          </w:tcPr>
          <w:p w14:paraId="18A80F5E">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是否共用</w:t>
            </w:r>
          </w:p>
        </w:tc>
        <w:tc>
          <w:tcPr>
            <w:tcW w:w="1141" w:type="dxa"/>
            <w:vAlign w:val="center"/>
          </w:tcPr>
          <w:p w14:paraId="54A8264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2" w:char="00A3"/>
            </w:r>
            <w:r>
              <w:rPr>
                <w:rFonts w:hint="default" w:ascii="Times New Roman" w:hAnsi="Times New Roman" w:eastAsia="方正仿宋_GBK" w:cs="Times New Roman"/>
                <w:sz w:val="28"/>
                <w:szCs w:val="28"/>
              </w:rPr>
              <w:t>是</w:t>
            </w:r>
          </w:p>
          <w:p w14:paraId="4D229AF6">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color w:val="auto"/>
                <w:sz w:val="28"/>
                <w:szCs w:val="28"/>
              </w:rPr>
              <w:t>否</w:t>
            </w:r>
          </w:p>
        </w:tc>
        <w:tc>
          <w:tcPr>
            <w:tcW w:w="732" w:type="dxa"/>
            <w:vMerge w:val="continue"/>
            <w:vAlign w:val="center"/>
          </w:tcPr>
          <w:p w14:paraId="74E84AC4">
            <w:pPr>
              <w:widowControl/>
              <w:spacing w:line="360" w:lineRule="exact"/>
              <w:rPr>
                <w:rFonts w:hint="default" w:ascii="Times New Roman" w:hAnsi="Times New Roman" w:eastAsia="方正仿宋_GBK" w:cs="Times New Roman"/>
                <w:sz w:val="28"/>
                <w:szCs w:val="28"/>
              </w:rPr>
            </w:pPr>
          </w:p>
        </w:tc>
        <w:tc>
          <w:tcPr>
            <w:tcW w:w="4131" w:type="dxa"/>
            <w:gridSpan w:val="4"/>
            <w:vMerge w:val="continue"/>
            <w:vAlign w:val="center"/>
          </w:tcPr>
          <w:p w14:paraId="57A688D9">
            <w:pPr>
              <w:widowControl/>
              <w:spacing w:line="360" w:lineRule="exact"/>
              <w:rPr>
                <w:rFonts w:hint="default" w:ascii="Times New Roman" w:hAnsi="Times New Roman" w:eastAsia="方正仿宋_GBK" w:cs="Times New Roman"/>
                <w:sz w:val="28"/>
                <w:szCs w:val="28"/>
              </w:rPr>
            </w:pPr>
          </w:p>
        </w:tc>
      </w:tr>
      <w:tr w14:paraId="3CC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941" w:type="dxa"/>
            <w:vMerge w:val="restart"/>
            <w:vAlign w:val="center"/>
          </w:tcPr>
          <w:p w14:paraId="6F7E8982">
            <w:pPr>
              <w:widowControl/>
              <w:spacing w:line="360" w:lineRule="exact"/>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入河排污口截面信息</w:t>
            </w:r>
          </w:p>
        </w:tc>
        <w:tc>
          <w:tcPr>
            <w:tcW w:w="6004" w:type="dxa"/>
            <w:gridSpan w:val="6"/>
            <w:vAlign w:val="center"/>
          </w:tcPr>
          <w:p w14:paraId="35DAE19A">
            <w:pPr>
              <w:widowControl/>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sz w:val="28"/>
                <w:szCs w:val="28"/>
              </w:rPr>
              <w:sym w:font="Wingdings" w:char="00A8"/>
            </w:r>
            <w:r>
              <w:rPr>
                <w:rFonts w:hint="default" w:ascii="Times New Roman" w:hAnsi="Times New Roman" w:eastAsia="方正仿宋_GBK" w:cs="Times New Roman"/>
                <w:color w:val="auto"/>
                <w:sz w:val="28"/>
                <w:szCs w:val="28"/>
              </w:rPr>
              <w:t>圆形截面：d=</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m，S=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m</w:t>
            </w:r>
            <w:r>
              <w:rPr>
                <w:rFonts w:hint="default" w:ascii="Times New Roman" w:hAnsi="Times New Roman" w:eastAsia="方正仿宋_GBK" w:cs="Times New Roman"/>
                <w:color w:val="auto"/>
                <w:sz w:val="28"/>
                <w:szCs w:val="28"/>
                <w:vertAlign w:val="superscript"/>
              </w:rPr>
              <w:t>2</w:t>
            </w:r>
          </w:p>
        </w:tc>
      </w:tr>
      <w:tr w14:paraId="64DB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941" w:type="dxa"/>
            <w:vMerge w:val="continue"/>
            <w:vAlign w:val="center"/>
          </w:tcPr>
          <w:p w14:paraId="49E24F5E">
            <w:pPr>
              <w:widowControl/>
              <w:spacing w:line="360" w:lineRule="exact"/>
              <w:rPr>
                <w:rFonts w:hint="default" w:ascii="Times New Roman" w:hAnsi="Times New Roman" w:eastAsia="方正仿宋_GBK" w:cs="Times New Roman"/>
                <w:color w:val="auto"/>
                <w:sz w:val="28"/>
                <w:szCs w:val="28"/>
              </w:rPr>
            </w:pPr>
          </w:p>
        </w:tc>
        <w:tc>
          <w:tcPr>
            <w:tcW w:w="6004" w:type="dxa"/>
            <w:gridSpan w:val="6"/>
            <w:vAlign w:val="center"/>
          </w:tcPr>
          <w:p w14:paraId="7D9701DE">
            <w:pPr>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sym w:font="Wingdings 2" w:char="00A3"/>
            </w:r>
            <w:r>
              <w:rPr>
                <w:rFonts w:hint="default" w:ascii="Times New Roman" w:hAnsi="Times New Roman" w:eastAsia="方正仿宋_GBK" w:cs="Times New Roman"/>
                <w:color w:val="auto"/>
                <w:sz w:val="28"/>
                <w:szCs w:val="28"/>
              </w:rPr>
              <w:t>方形截面：L×B=   m×  m，S=   m</w:t>
            </w:r>
            <w:r>
              <w:rPr>
                <w:rFonts w:hint="default" w:ascii="Times New Roman" w:hAnsi="Times New Roman" w:eastAsia="方正仿宋_GBK" w:cs="Times New Roman"/>
                <w:color w:val="auto"/>
                <w:sz w:val="28"/>
                <w:szCs w:val="28"/>
                <w:vertAlign w:val="superscript"/>
              </w:rPr>
              <w:t>2</w:t>
            </w:r>
          </w:p>
        </w:tc>
      </w:tr>
      <w:tr w14:paraId="5CB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941" w:type="dxa"/>
            <w:vMerge w:val="continue"/>
            <w:vAlign w:val="center"/>
          </w:tcPr>
          <w:p w14:paraId="2B2789E1">
            <w:pPr>
              <w:widowControl/>
              <w:spacing w:line="360" w:lineRule="exact"/>
              <w:rPr>
                <w:rFonts w:hint="default" w:ascii="Times New Roman" w:hAnsi="Times New Roman" w:eastAsia="方正仿宋_GBK" w:cs="Times New Roman"/>
                <w:color w:val="auto"/>
                <w:sz w:val="28"/>
                <w:szCs w:val="28"/>
              </w:rPr>
            </w:pPr>
          </w:p>
        </w:tc>
        <w:tc>
          <w:tcPr>
            <w:tcW w:w="6004" w:type="dxa"/>
            <w:gridSpan w:val="6"/>
            <w:vAlign w:val="center"/>
          </w:tcPr>
          <w:p w14:paraId="0CEF5309">
            <w:pPr>
              <w:spacing w:line="360" w:lineRule="exact"/>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sym w:font="Wingdings" w:char="00FE"/>
            </w:r>
            <w:r>
              <w:rPr>
                <w:rFonts w:hint="default" w:ascii="Times New Roman" w:hAnsi="Times New Roman" w:eastAsia="方正仿宋_GBK" w:cs="Times New Roman"/>
                <w:color w:val="auto"/>
                <w:sz w:val="28"/>
                <w:szCs w:val="28"/>
              </w:rPr>
              <w:t>其他形状截面：S=</w:t>
            </w:r>
            <w:r>
              <w:rPr>
                <w:rFonts w:hint="eastAsia" w:eastAsia="方正仿宋_GBK" w:cs="Times New Roman"/>
                <w:color w:val="auto"/>
                <w:sz w:val="28"/>
                <w:szCs w:val="28"/>
                <w:lang w:val="en-US" w:eastAsia="zh-CN"/>
              </w:rPr>
              <w:t xml:space="preserve"> 0.50 </w:t>
            </w:r>
            <w:r>
              <w:rPr>
                <w:rFonts w:hint="default" w:ascii="Times New Roman" w:hAnsi="Times New Roman" w:eastAsia="方正仿宋_GBK" w:cs="Times New Roman"/>
                <w:color w:val="auto"/>
                <w:sz w:val="28"/>
                <w:szCs w:val="28"/>
              </w:rPr>
              <w:t>m</w:t>
            </w:r>
            <w:r>
              <w:rPr>
                <w:rFonts w:hint="default" w:ascii="Times New Roman" w:hAnsi="Times New Roman" w:eastAsia="方正仿宋_GBK" w:cs="Times New Roman"/>
                <w:color w:val="auto"/>
                <w:sz w:val="28"/>
                <w:szCs w:val="28"/>
                <w:vertAlign w:val="superscript"/>
              </w:rPr>
              <w:t>2</w:t>
            </w:r>
          </w:p>
        </w:tc>
      </w:tr>
      <w:tr w14:paraId="4E63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536B374D">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入河排污口污水排放量，入河排污口重点污染物排放种类、排放浓度和排放量</w:t>
            </w:r>
          </w:p>
        </w:tc>
      </w:tr>
      <w:tr w14:paraId="3FF1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941" w:type="dxa"/>
            <w:vMerge w:val="restart"/>
            <w:vAlign w:val="center"/>
          </w:tcPr>
          <w:p w14:paraId="7075D75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污染物种类</w:t>
            </w:r>
          </w:p>
        </w:tc>
        <w:tc>
          <w:tcPr>
            <w:tcW w:w="1141" w:type="dxa"/>
            <w:vMerge w:val="restart"/>
            <w:vAlign w:val="center"/>
          </w:tcPr>
          <w:p w14:paraId="00FD804B">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排放浓度（mg/L）</w:t>
            </w:r>
          </w:p>
        </w:tc>
        <w:tc>
          <w:tcPr>
            <w:tcW w:w="2495" w:type="dxa"/>
            <w:gridSpan w:val="3"/>
            <w:vAlign w:val="center"/>
          </w:tcPr>
          <w:p w14:paraId="2F811465">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全年</w:t>
            </w:r>
          </w:p>
        </w:tc>
        <w:tc>
          <w:tcPr>
            <w:tcW w:w="2368" w:type="dxa"/>
            <w:gridSpan w:val="2"/>
            <w:vAlign w:val="center"/>
          </w:tcPr>
          <w:p w14:paraId="72717F7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特殊时段（</w:t>
            </w:r>
            <w:r>
              <w:rPr>
                <w:rFonts w:hint="eastAsia" w:eastAsia="方正仿宋_GBK" w:cs="Times New Roman"/>
                <w:sz w:val="28"/>
                <w:szCs w:val="28"/>
                <w:lang w:val="en-US" w:eastAsia="zh-CN"/>
              </w:rPr>
              <w:t>7</w:t>
            </w:r>
            <w:r>
              <w:rPr>
                <w:rFonts w:hint="default" w:ascii="Times New Roman" w:hAnsi="Times New Roman" w:eastAsia="方正仿宋_GBK" w:cs="Times New Roman"/>
                <w:sz w:val="28"/>
                <w:szCs w:val="28"/>
              </w:rPr>
              <w:t>月至</w:t>
            </w:r>
            <w:r>
              <w:rPr>
                <w:rFonts w:hint="eastAsia" w:eastAsia="方正仿宋_GBK" w:cs="Times New Roman"/>
                <w:sz w:val="28"/>
                <w:szCs w:val="28"/>
                <w:lang w:val="en-US" w:eastAsia="zh-CN"/>
              </w:rPr>
              <w:t>9</w:t>
            </w:r>
            <w:r>
              <w:rPr>
                <w:rFonts w:hint="default" w:ascii="Times New Roman" w:hAnsi="Times New Roman" w:eastAsia="方正仿宋_GBK" w:cs="Times New Roman"/>
                <w:sz w:val="28"/>
                <w:szCs w:val="28"/>
              </w:rPr>
              <w:t>月）</w:t>
            </w:r>
          </w:p>
        </w:tc>
      </w:tr>
      <w:tr w14:paraId="2171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941" w:type="dxa"/>
            <w:vMerge w:val="continue"/>
            <w:vAlign w:val="center"/>
          </w:tcPr>
          <w:p w14:paraId="5DC60037">
            <w:pPr>
              <w:spacing w:line="360" w:lineRule="exact"/>
              <w:rPr>
                <w:rFonts w:hint="default" w:ascii="Times New Roman" w:hAnsi="Times New Roman" w:eastAsia="方正仿宋_GBK" w:cs="Times New Roman"/>
                <w:sz w:val="28"/>
                <w:szCs w:val="28"/>
              </w:rPr>
            </w:pPr>
          </w:p>
        </w:tc>
        <w:tc>
          <w:tcPr>
            <w:tcW w:w="1141" w:type="dxa"/>
            <w:vMerge w:val="continue"/>
            <w:vAlign w:val="center"/>
          </w:tcPr>
          <w:p w14:paraId="7EDAF81D">
            <w:pPr>
              <w:widowControl/>
              <w:spacing w:line="360" w:lineRule="exact"/>
              <w:jc w:val="center"/>
              <w:rPr>
                <w:rFonts w:hint="default" w:ascii="Times New Roman" w:hAnsi="Times New Roman" w:eastAsia="方正仿宋_GBK" w:cs="Times New Roman"/>
                <w:sz w:val="28"/>
                <w:szCs w:val="28"/>
              </w:rPr>
            </w:pPr>
          </w:p>
        </w:tc>
        <w:tc>
          <w:tcPr>
            <w:tcW w:w="1158" w:type="dxa"/>
            <w:gridSpan w:val="2"/>
            <w:vAlign w:val="center"/>
          </w:tcPr>
          <w:p w14:paraId="41834EA6">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污水排放量（万t/a）</w:t>
            </w:r>
          </w:p>
        </w:tc>
        <w:tc>
          <w:tcPr>
            <w:tcW w:w="1337" w:type="dxa"/>
            <w:vAlign w:val="center"/>
          </w:tcPr>
          <w:p w14:paraId="13925E8F">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污染物排放量（t/a）</w:t>
            </w:r>
          </w:p>
        </w:tc>
        <w:tc>
          <w:tcPr>
            <w:tcW w:w="1043" w:type="dxa"/>
            <w:vAlign w:val="center"/>
          </w:tcPr>
          <w:p w14:paraId="6BAC2700">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污水日排放量（t/d）</w:t>
            </w:r>
          </w:p>
        </w:tc>
        <w:tc>
          <w:tcPr>
            <w:tcW w:w="1325" w:type="dxa"/>
            <w:vAlign w:val="center"/>
          </w:tcPr>
          <w:p w14:paraId="1CF509BC">
            <w:pPr>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污染物日排放量（t/d）</w:t>
            </w:r>
          </w:p>
        </w:tc>
      </w:tr>
      <w:tr w14:paraId="4EF1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1E36522A">
            <w:pPr>
              <w:widowControl/>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入河排污口合计</w:t>
            </w:r>
            <w:r>
              <w:rPr>
                <w:rFonts w:hint="default" w:ascii="Times New Roman" w:hAnsi="Times New Roman" w:eastAsia="方正仿宋_GBK" w:cs="Times New Roman"/>
                <w:kern w:val="0"/>
                <w:sz w:val="28"/>
                <w:szCs w:val="28"/>
              </w:rPr>
              <w:t>（单一责任主体只需记载此项）</w:t>
            </w:r>
          </w:p>
        </w:tc>
      </w:tr>
      <w:tr w14:paraId="5E1C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1" w:type="dxa"/>
            <w:shd w:val="clear" w:color="auto" w:fill="auto"/>
            <w:vAlign w:val="center"/>
          </w:tcPr>
          <w:p w14:paraId="50DBCCFA">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COD</w:t>
            </w:r>
          </w:p>
        </w:tc>
        <w:tc>
          <w:tcPr>
            <w:tcW w:w="1141" w:type="dxa"/>
            <w:vAlign w:val="center"/>
          </w:tcPr>
          <w:p w14:paraId="37D668D5">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60</w:t>
            </w:r>
          </w:p>
        </w:tc>
        <w:tc>
          <w:tcPr>
            <w:tcW w:w="1158" w:type="dxa"/>
            <w:gridSpan w:val="2"/>
            <w:vMerge w:val="restart"/>
            <w:vAlign w:val="center"/>
          </w:tcPr>
          <w:p w14:paraId="4BB26C23">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2.19</w:t>
            </w:r>
          </w:p>
        </w:tc>
        <w:tc>
          <w:tcPr>
            <w:tcW w:w="1337" w:type="dxa"/>
            <w:vAlign w:val="center"/>
          </w:tcPr>
          <w:p w14:paraId="19FC6372">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1.314</w:t>
            </w:r>
          </w:p>
        </w:tc>
        <w:tc>
          <w:tcPr>
            <w:tcW w:w="1043" w:type="dxa"/>
            <w:vMerge w:val="restart"/>
            <w:vAlign w:val="center"/>
          </w:tcPr>
          <w:p w14:paraId="52A3277A">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60</w:t>
            </w:r>
          </w:p>
        </w:tc>
        <w:tc>
          <w:tcPr>
            <w:tcW w:w="1325" w:type="dxa"/>
            <w:vAlign w:val="center"/>
          </w:tcPr>
          <w:p w14:paraId="364A9777">
            <w:pPr>
              <w:widowControl/>
              <w:spacing w:line="360" w:lineRule="exac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0.0036</w:t>
            </w:r>
          </w:p>
        </w:tc>
      </w:tr>
      <w:tr w14:paraId="356F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1" w:type="dxa"/>
            <w:shd w:val="clear" w:color="auto" w:fill="auto"/>
            <w:vAlign w:val="center"/>
          </w:tcPr>
          <w:p w14:paraId="34E7C62F">
            <w:pPr>
              <w:widowControl/>
              <w:spacing w:line="36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NH</w:t>
            </w:r>
            <w:r>
              <w:rPr>
                <w:rFonts w:hint="default" w:ascii="Times New Roman" w:hAnsi="Times New Roman" w:eastAsia="方正仿宋_GBK" w:cs="Times New Roman"/>
                <w:sz w:val="28"/>
                <w:szCs w:val="28"/>
                <w:vertAlign w:val="subscript"/>
              </w:rPr>
              <w:t>3</w:t>
            </w:r>
            <w:r>
              <w:rPr>
                <w:rFonts w:hint="default" w:ascii="Times New Roman" w:hAnsi="Times New Roman" w:eastAsia="方正仿宋_GBK" w:cs="Times New Roman"/>
                <w:sz w:val="28"/>
                <w:szCs w:val="28"/>
              </w:rPr>
              <w:t>-N</w:t>
            </w:r>
          </w:p>
        </w:tc>
        <w:tc>
          <w:tcPr>
            <w:tcW w:w="1141" w:type="dxa"/>
            <w:vAlign w:val="center"/>
          </w:tcPr>
          <w:p w14:paraId="52EE580D">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8</w:t>
            </w:r>
          </w:p>
        </w:tc>
        <w:tc>
          <w:tcPr>
            <w:tcW w:w="1158" w:type="dxa"/>
            <w:gridSpan w:val="2"/>
            <w:vMerge w:val="continue"/>
            <w:vAlign w:val="center"/>
          </w:tcPr>
          <w:p w14:paraId="129DD7EB">
            <w:pPr>
              <w:widowControl/>
              <w:spacing w:line="360" w:lineRule="exact"/>
              <w:rPr>
                <w:rFonts w:hint="default" w:ascii="Times New Roman" w:hAnsi="Times New Roman" w:eastAsia="方正仿宋_GBK" w:cs="Times New Roman"/>
                <w:sz w:val="28"/>
                <w:szCs w:val="28"/>
              </w:rPr>
            </w:pPr>
          </w:p>
        </w:tc>
        <w:tc>
          <w:tcPr>
            <w:tcW w:w="1337" w:type="dxa"/>
            <w:vAlign w:val="center"/>
          </w:tcPr>
          <w:p w14:paraId="141A135E">
            <w:pPr>
              <w:widowControl/>
              <w:spacing w:line="360" w:lineRule="exact"/>
              <w:jc w:val="center"/>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0.175</w:t>
            </w:r>
          </w:p>
        </w:tc>
        <w:tc>
          <w:tcPr>
            <w:tcW w:w="1043" w:type="dxa"/>
            <w:vMerge w:val="continue"/>
            <w:vAlign w:val="center"/>
          </w:tcPr>
          <w:p w14:paraId="1B0CAC47">
            <w:pPr>
              <w:widowControl/>
              <w:spacing w:line="360" w:lineRule="exact"/>
              <w:rPr>
                <w:rFonts w:hint="default" w:ascii="Times New Roman" w:hAnsi="Times New Roman" w:eastAsia="方正仿宋_GBK" w:cs="Times New Roman"/>
                <w:sz w:val="28"/>
                <w:szCs w:val="28"/>
              </w:rPr>
            </w:pPr>
          </w:p>
        </w:tc>
        <w:tc>
          <w:tcPr>
            <w:tcW w:w="1325" w:type="dxa"/>
            <w:vAlign w:val="center"/>
          </w:tcPr>
          <w:p w14:paraId="63A6DFF7">
            <w:pPr>
              <w:widowControl/>
              <w:spacing w:line="360" w:lineRule="exact"/>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0.00048</w:t>
            </w:r>
          </w:p>
        </w:tc>
      </w:tr>
      <w:tr w14:paraId="0D82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12C8F1E9">
            <w:pPr>
              <w:widowControl/>
              <w:snapToGrid w:val="0"/>
              <w:spacing w:line="36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信息公开要求：</w:t>
            </w:r>
          </w:p>
          <w:p w14:paraId="011397F3">
            <w:pPr>
              <w:pStyle w:val="9"/>
              <w:widowControl/>
              <w:snapToGrid w:val="0"/>
              <w:spacing w:line="360" w:lineRule="exact"/>
              <w:ind w:left="0" w:firstLine="560" w:firstLineChars="200"/>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eastAsia="zh-CN"/>
              </w:rPr>
              <w:t>根据《入河排污口监督管理办法》以及HJ1386标准要求，该入河排污口的名称、经纬度、责任主体、监督电话、排口类型等信息应以</w:t>
            </w:r>
            <w:r>
              <w:rPr>
                <w:rFonts w:hint="default" w:ascii="Times New Roman" w:hAnsi="Times New Roman" w:eastAsia="方正仿宋_GBK" w:cs="Times New Roman"/>
                <w:sz w:val="28"/>
                <w:szCs w:val="28"/>
              </w:rPr>
              <w:sym w:font="Wingdings" w:char="00FE"/>
            </w:r>
            <w:r>
              <w:rPr>
                <w:rFonts w:hint="default" w:ascii="Times New Roman" w:hAnsi="Times New Roman" w:eastAsia="方正仿宋_GBK" w:cs="Times New Roman"/>
                <w:kern w:val="2"/>
                <w:sz w:val="28"/>
                <w:szCs w:val="28"/>
                <w:lang w:eastAsia="zh-CN"/>
              </w:rPr>
              <w:t>标识牌/</w:t>
            </w:r>
            <w:r>
              <w:rPr>
                <w:rFonts w:hint="default" w:ascii="Times New Roman" w:hAnsi="Times New Roman" w:eastAsia="方正仿宋_GBK" w:cs="Times New Roman"/>
                <w:kern w:val="2"/>
                <w:sz w:val="28"/>
                <w:szCs w:val="28"/>
                <w:lang w:eastAsia="zh-CN"/>
              </w:rPr>
              <w:sym w:font="Wingdings 2" w:char="00A3"/>
            </w:r>
            <w:r>
              <w:rPr>
                <w:rFonts w:hint="default" w:ascii="Times New Roman" w:hAnsi="Times New Roman" w:eastAsia="方正仿宋_GBK" w:cs="Times New Roman"/>
                <w:kern w:val="2"/>
                <w:sz w:val="28"/>
                <w:szCs w:val="28"/>
                <w:lang w:eastAsia="zh-CN"/>
              </w:rPr>
              <w:t>二维码/</w:t>
            </w:r>
            <w:r>
              <w:rPr>
                <w:rFonts w:hint="default" w:ascii="Times New Roman" w:hAnsi="Times New Roman" w:eastAsia="方正仿宋_GBK" w:cs="Times New Roman"/>
                <w:kern w:val="2"/>
                <w:sz w:val="28"/>
                <w:szCs w:val="28"/>
                <w:lang w:eastAsia="zh-CN"/>
              </w:rPr>
              <w:sym w:font="Wingdings 2" w:char="00A3"/>
            </w:r>
            <w:r>
              <w:rPr>
                <w:rFonts w:hint="default" w:ascii="Times New Roman" w:hAnsi="Times New Roman" w:eastAsia="方正仿宋_GBK" w:cs="Times New Roman"/>
                <w:kern w:val="2"/>
                <w:sz w:val="28"/>
                <w:szCs w:val="28"/>
                <w:lang w:eastAsia="zh-CN"/>
              </w:rPr>
              <w:t>显示屏等方式在入河排污口处信息公开。</w:t>
            </w:r>
          </w:p>
        </w:tc>
      </w:tr>
      <w:tr w14:paraId="0CF8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945" w:type="dxa"/>
            <w:gridSpan w:val="7"/>
            <w:vAlign w:val="center"/>
          </w:tcPr>
          <w:p w14:paraId="736CA4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水污染事故应急处理预案以及环境风险防范措施：</w:t>
            </w:r>
          </w:p>
          <w:p w14:paraId="2C6EA2F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kern w:val="2"/>
                <w:sz w:val="28"/>
                <w:szCs w:val="28"/>
                <w:lang w:val="en-US" w:eastAsia="zh-CN" w:bidi="ar-SA"/>
              </w:rPr>
              <w:t>该入河排污口对应的责任主体重庆环保投资集团有限公司应当按照排污单位有关要求，做好污染事故应急处理预案、环境风险防范及应急处置措施，具体包括：</w:t>
            </w:r>
            <w:r>
              <w:rPr>
                <w:rFonts w:hint="default" w:ascii="Times New Roman" w:hAnsi="Times New Roman" w:eastAsia="方正仿宋_GBK" w:cs="Times New Roman"/>
                <w:sz w:val="28"/>
                <w:szCs w:val="28"/>
              </w:rPr>
              <w:t>加强风险防控管理，确保事故防控体系正常运行，不断优化改进事故分级响应和应急处置预案，定期开展应急演练，防止各类污染事故发生，确保发生事故时污染物不会通过该入河排污口进入外环境。</w:t>
            </w:r>
          </w:p>
        </w:tc>
      </w:tr>
      <w:tr w14:paraId="392C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tcPr>
          <w:p w14:paraId="659D4971">
            <w:pPr>
              <w:pStyle w:val="9"/>
              <w:keepNext w:val="0"/>
              <w:keepLines w:val="0"/>
              <w:pageBreakBefore w:val="0"/>
              <w:widowControl/>
              <w:kinsoku/>
              <w:wordWrap/>
              <w:overflowPunct/>
              <w:topLinePunct w:val="0"/>
              <w:autoSpaceDE/>
              <w:autoSpaceDN/>
              <w:bidi w:val="0"/>
              <w:adjustRightInd/>
              <w:snapToGrid w:val="0"/>
              <w:spacing w:before="0" w:line="360" w:lineRule="exact"/>
              <w:ind w:left="0"/>
              <w:jc w:val="both"/>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水生态环境保护措施：</w:t>
            </w:r>
          </w:p>
          <w:p w14:paraId="31683D88">
            <w:pPr>
              <w:pStyle w:val="9"/>
              <w:keepNext w:val="0"/>
              <w:keepLines w:val="0"/>
              <w:pageBreakBefore w:val="0"/>
              <w:widowControl/>
              <w:kinsoku/>
              <w:wordWrap/>
              <w:overflowPunct/>
              <w:topLinePunct w:val="0"/>
              <w:autoSpaceDE/>
              <w:autoSpaceDN/>
              <w:bidi w:val="0"/>
              <w:adjustRightInd w:val="0"/>
              <w:snapToGrid w:val="0"/>
              <w:spacing w:before="0" w:after="0" w:line="360" w:lineRule="exact"/>
              <w:ind w:left="0" w:right="0"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val="en-US" w:eastAsia="zh-CN" w:bidi="ar-SA"/>
              </w:rPr>
              <w:t>为减免该入河排污口设置带来的不利影响，入河排污口使用过程中应当采取监测、巡查、预警等水生态环境保护措施，具体包括依法依规对污水处理厂进、出水主要污染物浓度及污水量进行监测，定期向我局报送监测报告和有关统计信息。加强日常管理，采取有效措施实现稳定达标排放，并符合排放总量控制要求；禁止其他生产生活废污水通过该排污口排放。定期检查管网，防止堵塞和渗漏现象发生。</w:t>
            </w:r>
          </w:p>
        </w:tc>
      </w:tr>
      <w:tr w14:paraId="2E84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tcPr>
          <w:p w14:paraId="1364114A">
            <w:pPr>
              <w:widowControl/>
              <w:snapToGrid w:val="0"/>
              <w:spacing w:line="36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其他需要注意的事项：</w:t>
            </w:r>
          </w:p>
          <w:p w14:paraId="69013BCE">
            <w:pPr>
              <w:pStyle w:val="9"/>
              <w:widowControl/>
              <w:snapToGrid w:val="0"/>
              <w:spacing w:line="360" w:lineRule="exact"/>
              <w:ind w:left="0"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kern w:val="2"/>
                <w:sz w:val="28"/>
                <w:szCs w:val="28"/>
                <w:lang w:eastAsia="zh-CN"/>
              </w:rPr>
              <w:t>（一）在满足污染排放要求基础上，应符合相关部门对供水、堤防安全和河势稳定等问题的保护措施要求；</w:t>
            </w:r>
          </w:p>
          <w:p w14:paraId="3A9DD825">
            <w:pPr>
              <w:snapToGrid w:val="0"/>
              <w:spacing w:line="36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（二）该入河排污口设置经批准后，如果入河排污口位置、污水排放量、污水处理工艺等发生较大变动的，应重新进行入河排污口设置申请。</w:t>
            </w:r>
          </w:p>
        </w:tc>
      </w:tr>
    </w:tbl>
    <w:p w14:paraId="6A98ADD5">
      <w:pPr>
        <w:pStyle w:val="9"/>
        <w:spacing w:before="0" w:line="360" w:lineRule="exact"/>
        <w:jc w:val="right"/>
        <w:rPr>
          <w:rFonts w:hint="default" w:ascii="Times New Roman" w:hAnsi="Times New Roman" w:eastAsia="方正仿宋_GBK" w:cs="Times New Roman"/>
          <w:spacing w:val="-5"/>
          <w:sz w:val="32"/>
          <w:szCs w:val="32"/>
          <w:lang w:eastAsia="zh-CN"/>
        </w:rPr>
      </w:pPr>
    </w:p>
    <w:p w14:paraId="01E63C90">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pacing w:val="-5"/>
          <w:sz w:val="32"/>
          <w:szCs w:val="32"/>
          <w:lang w:eastAsia="zh-CN"/>
        </w:rPr>
      </w:pPr>
    </w:p>
    <w:p w14:paraId="4FEB13E3">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pacing w:val="-5"/>
          <w:sz w:val="32"/>
          <w:szCs w:val="32"/>
          <w:lang w:eastAsia="zh-CN"/>
        </w:rPr>
      </w:pPr>
    </w:p>
    <w:p w14:paraId="08265987">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righ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pacing w:val="-5"/>
          <w:sz w:val="32"/>
          <w:szCs w:val="32"/>
          <w:lang w:eastAsia="zh-CN"/>
        </w:rPr>
        <w:t>彭水苗族土家族自治县生态环境局</w:t>
      </w:r>
    </w:p>
    <w:p w14:paraId="4363DC26">
      <w:pPr>
        <w:pStyle w:val="9"/>
        <w:keepNext w:val="0"/>
        <w:keepLines w:val="0"/>
        <w:pageBreakBefore w:val="0"/>
        <w:widowControl w:val="0"/>
        <w:kinsoku/>
        <w:wordWrap/>
        <w:overflowPunct/>
        <w:topLinePunct w:val="0"/>
        <w:autoSpaceDE/>
        <w:autoSpaceDN/>
        <w:bidi w:val="0"/>
        <w:adjustRightInd/>
        <w:snapToGrid/>
        <w:spacing w:before="0" w:line="560" w:lineRule="exact"/>
        <w:ind w:left="113"/>
        <w:jc w:val="center"/>
        <w:textAlignment w:val="auto"/>
        <w:rPr>
          <w:lang w:eastAsia="zh-CN"/>
        </w:rPr>
      </w:pPr>
      <w:r>
        <w:rPr>
          <w:rFonts w:hint="eastAsia" w:ascii="Times New Roman" w:hAnsi="Times New Roman" w:eastAsia="方正仿宋_GBK" w:cs="Times New Roman"/>
          <w:sz w:val="32"/>
          <w:szCs w:val="32"/>
          <w:lang w:val="en-US" w:eastAsia="zh-CN"/>
        </w:rPr>
        <w:t xml:space="preserve">                     2025</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21</w:t>
      </w:r>
      <w:bookmarkStart w:id="1" w:name="_GoBack"/>
      <w:bookmarkEnd w:id="1"/>
      <w:r>
        <w:rPr>
          <w:rFonts w:hint="default" w:ascii="Times New Roman" w:hAnsi="Times New Roman" w:eastAsia="方正仿宋_GBK" w:cs="Times New Roman"/>
          <w:sz w:val="32"/>
          <w:szCs w:val="32"/>
          <w:lang w:eastAsia="zh-CN"/>
        </w:rPr>
        <w:t>日</w:t>
      </w:r>
    </w:p>
    <w:bookmarkEnd w:id="0"/>
    <w:p w14:paraId="5C2D4BBE">
      <w:pPr>
        <w:topLinePunct/>
        <w:adjustRightInd w:val="0"/>
        <w:spacing w:line="360" w:lineRule="exact"/>
        <w:jc w:val="center"/>
        <w:outlineLvl w:val="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BFB4AC2-6680-4A80-97E5-7822B12256D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4D9D0212-16E6-4996-9CF2-98A70AE1FE12}"/>
  </w:font>
  <w:font w:name="方正仿宋_GBK">
    <w:panose1 w:val="03000509000000000000"/>
    <w:charset w:val="86"/>
    <w:family w:val="script"/>
    <w:pitch w:val="default"/>
    <w:sig w:usb0="00000001" w:usb1="080E0000" w:usb2="00000000" w:usb3="00000000" w:csb0="00040000" w:csb1="00000000"/>
    <w:embedRegular r:id="rId3" w:fontKey="{AC8ED3BD-4063-4176-A5C0-4D62C9080AA0}"/>
  </w:font>
  <w:font w:name="Wingdings 2">
    <w:panose1 w:val="05020102010507070707"/>
    <w:charset w:val="02"/>
    <w:family w:val="roman"/>
    <w:pitch w:val="default"/>
    <w:sig w:usb0="00000000" w:usb1="00000000" w:usb2="00000000" w:usb3="00000000" w:csb0="80000000" w:csb1="00000000"/>
    <w:embedRegular r:id="rId4" w:fontKey="{DB8A9026-BAFA-4AE1-843A-F1A05BBE7FEB}"/>
  </w:font>
  <w:font w:name="WPSEMBED4">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7D802">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25F"/>
    <w:rsid w:val="000B7D37"/>
    <w:rsid w:val="000C0EBD"/>
    <w:rsid w:val="000C2596"/>
    <w:rsid w:val="000C73F5"/>
    <w:rsid w:val="000C791B"/>
    <w:rsid w:val="000D41A9"/>
    <w:rsid w:val="000D4844"/>
    <w:rsid w:val="000D495D"/>
    <w:rsid w:val="000D58F0"/>
    <w:rsid w:val="000E5431"/>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DB6"/>
    <w:rsid w:val="00252E11"/>
    <w:rsid w:val="0025417B"/>
    <w:rsid w:val="00254A8A"/>
    <w:rsid w:val="002560E1"/>
    <w:rsid w:val="00260E77"/>
    <w:rsid w:val="00261F96"/>
    <w:rsid w:val="00263429"/>
    <w:rsid w:val="00265E81"/>
    <w:rsid w:val="0026629F"/>
    <w:rsid w:val="002720AC"/>
    <w:rsid w:val="002729C9"/>
    <w:rsid w:val="0027323C"/>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31E9"/>
    <w:rsid w:val="0031412E"/>
    <w:rsid w:val="0032054E"/>
    <w:rsid w:val="00322539"/>
    <w:rsid w:val="00322832"/>
    <w:rsid w:val="003236E1"/>
    <w:rsid w:val="0032699C"/>
    <w:rsid w:val="00331B23"/>
    <w:rsid w:val="00336C9D"/>
    <w:rsid w:val="00336E50"/>
    <w:rsid w:val="00340E6A"/>
    <w:rsid w:val="00343D4E"/>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91BCB"/>
    <w:rsid w:val="003A08BE"/>
    <w:rsid w:val="003A3725"/>
    <w:rsid w:val="003A4889"/>
    <w:rsid w:val="003A4E0E"/>
    <w:rsid w:val="003A6E56"/>
    <w:rsid w:val="003B36F9"/>
    <w:rsid w:val="003B49AF"/>
    <w:rsid w:val="003C12E5"/>
    <w:rsid w:val="003C3349"/>
    <w:rsid w:val="003C33DA"/>
    <w:rsid w:val="003C3C91"/>
    <w:rsid w:val="003C4306"/>
    <w:rsid w:val="003C7166"/>
    <w:rsid w:val="003D0C09"/>
    <w:rsid w:val="003D0EB2"/>
    <w:rsid w:val="003D212E"/>
    <w:rsid w:val="003D25C1"/>
    <w:rsid w:val="003D2709"/>
    <w:rsid w:val="003D2BDC"/>
    <w:rsid w:val="003D7BE2"/>
    <w:rsid w:val="003E0873"/>
    <w:rsid w:val="003E23CE"/>
    <w:rsid w:val="003E3BF6"/>
    <w:rsid w:val="003E782B"/>
    <w:rsid w:val="003F0170"/>
    <w:rsid w:val="003F0B35"/>
    <w:rsid w:val="003F1FF6"/>
    <w:rsid w:val="003F354B"/>
    <w:rsid w:val="003F703E"/>
    <w:rsid w:val="004039B0"/>
    <w:rsid w:val="00403F75"/>
    <w:rsid w:val="00404C8B"/>
    <w:rsid w:val="00405C72"/>
    <w:rsid w:val="004061F0"/>
    <w:rsid w:val="0041413F"/>
    <w:rsid w:val="00415FB1"/>
    <w:rsid w:val="00420254"/>
    <w:rsid w:val="00420643"/>
    <w:rsid w:val="00421223"/>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753"/>
    <w:rsid w:val="004E552E"/>
    <w:rsid w:val="004E604F"/>
    <w:rsid w:val="004E75F0"/>
    <w:rsid w:val="004F1141"/>
    <w:rsid w:val="004F1D65"/>
    <w:rsid w:val="004F1DED"/>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40AA"/>
    <w:rsid w:val="006B637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D6B"/>
    <w:rsid w:val="0079597C"/>
    <w:rsid w:val="00797A5D"/>
    <w:rsid w:val="007A0074"/>
    <w:rsid w:val="007A4468"/>
    <w:rsid w:val="007A458C"/>
    <w:rsid w:val="007A5535"/>
    <w:rsid w:val="007A64D5"/>
    <w:rsid w:val="007A6B58"/>
    <w:rsid w:val="007A771D"/>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3934"/>
    <w:rsid w:val="007F443E"/>
    <w:rsid w:val="007F48BA"/>
    <w:rsid w:val="00800781"/>
    <w:rsid w:val="00800B27"/>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298C"/>
    <w:rsid w:val="008F33BA"/>
    <w:rsid w:val="008F3697"/>
    <w:rsid w:val="008F3745"/>
    <w:rsid w:val="008F3AF2"/>
    <w:rsid w:val="008F3F7D"/>
    <w:rsid w:val="008F4449"/>
    <w:rsid w:val="00902987"/>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5FB"/>
    <w:rsid w:val="00972F11"/>
    <w:rsid w:val="00977288"/>
    <w:rsid w:val="009811CE"/>
    <w:rsid w:val="00981315"/>
    <w:rsid w:val="00981377"/>
    <w:rsid w:val="00982197"/>
    <w:rsid w:val="00982990"/>
    <w:rsid w:val="00987FD5"/>
    <w:rsid w:val="009905A6"/>
    <w:rsid w:val="009936FF"/>
    <w:rsid w:val="00993ED7"/>
    <w:rsid w:val="00995EB2"/>
    <w:rsid w:val="009A14F9"/>
    <w:rsid w:val="009A15AC"/>
    <w:rsid w:val="009A2976"/>
    <w:rsid w:val="009A2F9E"/>
    <w:rsid w:val="009A3530"/>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B1F"/>
    <w:rsid w:val="00A664FD"/>
    <w:rsid w:val="00A7009E"/>
    <w:rsid w:val="00A73735"/>
    <w:rsid w:val="00A737A2"/>
    <w:rsid w:val="00A74876"/>
    <w:rsid w:val="00A74C86"/>
    <w:rsid w:val="00A77DDB"/>
    <w:rsid w:val="00A84639"/>
    <w:rsid w:val="00A85A10"/>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EC1"/>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1B85"/>
    <w:rsid w:val="00FB1D51"/>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1E55B53"/>
    <w:rsid w:val="022143EC"/>
    <w:rsid w:val="02A209F3"/>
    <w:rsid w:val="02B01361"/>
    <w:rsid w:val="034A5312"/>
    <w:rsid w:val="04472A79"/>
    <w:rsid w:val="04943389"/>
    <w:rsid w:val="05034C75"/>
    <w:rsid w:val="05F31C91"/>
    <w:rsid w:val="06090798"/>
    <w:rsid w:val="06502A37"/>
    <w:rsid w:val="067D17F3"/>
    <w:rsid w:val="0A590451"/>
    <w:rsid w:val="0BC11EE9"/>
    <w:rsid w:val="0BFDA643"/>
    <w:rsid w:val="0C1E5B1C"/>
    <w:rsid w:val="0CA27F6D"/>
    <w:rsid w:val="0CBE28CD"/>
    <w:rsid w:val="0D0A1357"/>
    <w:rsid w:val="0D841421"/>
    <w:rsid w:val="0E2436DF"/>
    <w:rsid w:val="0EAFFE13"/>
    <w:rsid w:val="0EBD0938"/>
    <w:rsid w:val="0EEC54CF"/>
    <w:rsid w:val="0F2C7FC2"/>
    <w:rsid w:val="0F6A6E6B"/>
    <w:rsid w:val="0FBF4992"/>
    <w:rsid w:val="0FDB09EB"/>
    <w:rsid w:val="0FDD5904"/>
    <w:rsid w:val="10EC17B7"/>
    <w:rsid w:val="119B62FE"/>
    <w:rsid w:val="12DA28E8"/>
    <w:rsid w:val="13565192"/>
    <w:rsid w:val="1398780B"/>
    <w:rsid w:val="15100307"/>
    <w:rsid w:val="151D2886"/>
    <w:rsid w:val="158F4E06"/>
    <w:rsid w:val="15F52B78"/>
    <w:rsid w:val="15FE3B78"/>
    <w:rsid w:val="16041350"/>
    <w:rsid w:val="160E0032"/>
    <w:rsid w:val="172F68E4"/>
    <w:rsid w:val="179D1A5D"/>
    <w:rsid w:val="17B86E19"/>
    <w:rsid w:val="18185587"/>
    <w:rsid w:val="18291542"/>
    <w:rsid w:val="186407CC"/>
    <w:rsid w:val="19F1336E"/>
    <w:rsid w:val="19FBB57E"/>
    <w:rsid w:val="1A614963"/>
    <w:rsid w:val="1AB84C4F"/>
    <w:rsid w:val="1AE3E9B7"/>
    <w:rsid w:val="1B2D8937"/>
    <w:rsid w:val="1BB56F0A"/>
    <w:rsid w:val="1BDD2BE1"/>
    <w:rsid w:val="1C63577B"/>
    <w:rsid w:val="1CDF53C0"/>
    <w:rsid w:val="1D596D99"/>
    <w:rsid w:val="1E202CF1"/>
    <w:rsid w:val="1F9A4CB0"/>
    <w:rsid w:val="20C5525C"/>
    <w:rsid w:val="20D83B05"/>
    <w:rsid w:val="21512926"/>
    <w:rsid w:val="21EF6054"/>
    <w:rsid w:val="22207FFF"/>
    <w:rsid w:val="23BC326A"/>
    <w:rsid w:val="23EBF95F"/>
    <w:rsid w:val="24074DC2"/>
    <w:rsid w:val="240E19B7"/>
    <w:rsid w:val="25903571"/>
    <w:rsid w:val="26094761"/>
    <w:rsid w:val="264D0715"/>
    <w:rsid w:val="26E34A53"/>
    <w:rsid w:val="272555CB"/>
    <w:rsid w:val="274F0C47"/>
    <w:rsid w:val="28537F15"/>
    <w:rsid w:val="29210904"/>
    <w:rsid w:val="298A3D09"/>
    <w:rsid w:val="29A80A9E"/>
    <w:rsid w:val="2A1D07DB"/>
    <w:rsid w:val="2A9071FF"/>
    <w:rsid w:val="2B176FCC"/>
    <w:rsid w:val="2BD36676"/>
    <w:rsid w:val="2C486806"/>
    <w:rsid w:val="2D172C70"/>
    <w:rsid w:val="2D8F379E"/>
    <w:rsid w:val="2D9B2143"/>
    <w:rsid w:val="2DA6475A"/>
    <w:rsid w:val="2DB07F4C"/>
    <w:rsid w:val="2DBE4083"/>
    <w:rsid w:val="2E112405"/>
    <w:rsid w:val="2E3D144C"/>
    <w:rsid w:val="2E633990"/>
    <w:rsid w:val="2EC35DF5"/>
    <w:rsid w:val="2F076CF4"/>
    <w:rsid w:val="2F4F7689"/>
    <w:rsid w:val="2F5FD4B2"/>
    <w:rsid w:val="2FCA31B3"/>
    <w:rsid w:val="30081E4E"/>
    <w:rsid w:val="3062639E"/>
    <w:rsid w:val="30B453C0"/>
    <w:rsid w:val="316E4AD3"/>
    <w:rsid w:val="318D26EA"/>
    <w:rsid w:val="32290665"/>
    <w:rsid w:val="327318E0"/>
    <w:rsid w:val="32A61270"/>
    <w:rsid w:val="32BD6FFF"/>
    <w:rsid w:val="33154729"/>
    <w:rsid w:val="33BF2903"/>
    <w:rsid w:val="34486852"/>
    <w:rsid w:val="34847DD4"/>
    <w:rsid w:val="34DF51DF"/>
    <w:rsid w:val="3659CF09"/>
    <w:rsid w:val="371D201C"/>
    <w:rsid w:val="375872F6"/>
    <w:rsid w:val="37D7D64D"/>
    <w:rsid w:val="37DD58B2"/>
    <w:rsid w:val="37E6C5A9"/>
    <w:rsid w:val="37ED9385"/>
    <w:rsid w:val="37FE66BC"/>
    <w:rsid w:val="37FE75B6"/>
    <w:rsid w:val="381C424B"/>
    <w:rsid w:val="3862042D"/>
    <w:rsid w:val="388D536B"/>
    <w:rsid w:val="389F4E2A"/>
    <w:rsid w:val="39836E80"/>
    <w:rsid w:val="39CF674E"/>
    <w:rsid w:val="39FB7351"/>
    <w:rsid w:val="3A797CAF"/>
    <w:rsid w:val="3ACBD264"/>
    <w:rsid w:val="3AD7394F"/>
    <w:rsid w:val="3B021A53"/>
    <w:rsid w:val="3B6224F2"/>
    <w:rsid w:val="3BB93E68"/>
    <w:rsid w:val="3BBF513D"/>
    <w:rsid w:val="3BFBAC74"/>
    <w:rsid w:val="3CBE19AA"/>
    <w:rsid w:val="3CDEB68B"/>
    <w:rsid w:val="3D1E4B3E"/>
    <w:rsid w:val="3D2F28A7"/>
    <w:rsid w:val="3D5E58F7"/>
    <w:rsid w:val="3D6064EF"/>
    <w:rsid w:val="3DB26019"/>
    <w:rsid w:val="3DCF8497"/>
    <w:rsid w:val="3DDA0E2F"/>
    <w:rsid w:val="3DEF2F52"/>
    <w:rsid w:val="3E5D256C"/>
    <w:rsid w:val="3EA05CBF"/>
    <w:rsid w:val="3EE4B5F7"/>
    <w:rsid w:val="3EF96906"/>
    <w:rsid w:val="3F4B7F0F"/>
    <w:rsid w:val="3F4F1BC3"/>
    <w:rsid w:val="3F59FBCB"/>
    <w:rsid w:val="3FBA75E8"/>
    <w:rsid w:val="3FCE91F8"/>
    <w:rsid w:val="3FEDB705"/>
    <w:rsid w:val="3FF311E4"/>
    <w:rsid w:val="3FF76A73"/>
    <w:rsid w:val="3FFBA2A1"/>
    <w:rsid w:val="3FFF7528"/>
    <w:rsid w:val="407F5BDC"/>
    <w:rsid w:val="40C559FD"/>
    <w:rsid w:val="419B49AF"/>
    <w:rsid w:val="42005B16"/>
    <w:rsid w:val="425B4356"/>
    <w:rsid w:val="42E47C90"/>
    <w:rsid w:val="42FA74B4"/>
    <w:rsid w:val="430622FC"/>
    <w:rsid w:val="43662581"/>
    <w:rsid w:val="43EB2EA4"/>
    <w:rsid w:val="441445A5"/>
    <w:rsid w:val="442246DB"/>
    <w:rsid w:val="4484797D"/>
    <w:rsid w:val="44882FFF"/>
    <w:rsid w:val="449F36A9"/>
    <w:rsid w:val="44C257D4"/>
    <w:rsid w:val="44C8791D"/>
    <w:rsid w:val="450F36EA"/>
    <w:rsid w:val="45B24076"/>
    <w:rsid w:val="46467707"/>
    <w:rsid w:val="467B6220"/>
    <w:rsid w:val="467C15A7"/>
    <w:rsid w:val="47522184"/>
    <w:rsid w:val="47D41179"/>
    <w:rsid w:val="484A2A15"/>
    <w:rsid w:val="493556E9"/>
    <w:rsid w:val="4976569D"/>
    <w:rsid w:val="49BA48C9"/>
    <w:rsid w:val="49CF1E07"/>
    <w:rsid w:val="49D547D7"/>
    <w:rsid w:val="4ABE4612"/>
    <w:rsid w:val="4B4E0679"/>
    <w:rsid w:val="4BB22BD9"/>
    <w:rsid w:val="4D1D4262"/>
    <w:rsid w:val="4D1F0243"/>
    <w:rsid w:val="4D3B4D64"/>
    <w:rsid w:val="4DBE96BF"/>
    <w:rsid w:val="4E3F6FA8"/>
    <w:rsid w:val="4E761A7B"/>
    <w:rsid w:val="4EE334F2"/>
    <w:rsid w:val="4EFDF4D7"/>
    <w:rsid w:val="4FA233AD"/>
    <w:rsid w:val="4FFF2D6A"/>
    <w:rsid w:val="50227C85"/>
    <w:rsid w:val="50BE690B"/>
    <w:rsid w:val="50D97BF5"/>
    <w:rsid w:val="510C05F6"/>
    <w:rsid w:val="51164E29"/>
    <w:rsid w:val="51663C9A"/>
    <w:rsid w:val="51774FE5"/>
    <w:rsid w:val="51D43D07"/>
    <w:rsid w:val="5314426D"/>
    <w:rsid w:val="541F721C"/>
    <w:rsid w:val="54710158"/>
    <w:rsid w:val="54801843"/>
    <w:rsid w:val="54A454D1"/>
    <w:rsid w:val="54EE666D"/>
    <w:rsid w:val="5599D6D3"/>
    <w:rsid w:val="561F0B20"/>
    <w:rsid w:val="56963A5E"/>
    <w:rsid w:val="56EF634F"/>
    <w:rsid w:val="56FF222C"/>
    <w:rsid w:val="570B1F9E"/>
    <w:rsid w:val="570C5CDB"/>
    <w:rsid w:val="57B79897"/>
    <w:rsid w:val="57F5C41D"/>
    <w:rsid w:val="585146C8"/>
    <w:rsid w:val="58767185"/>
    <w:rsid w:val="59AD6BD6"/>
    <w:rsid w:val="59ADC631"/>
    <w:rsid w:val="5A0A04CC"/>
    <w:rsid w:val="5AFF321E"/>
    <w:rsid w:val="5B4E7A84"/>
    <w:rsid w:val="5B7EA3E9"/>
    <w:rsid w:val="5B9D1B1E"/>
    <w:rsid w:val="5BCC5A39"/>
    <w:rsid w:val="5BEF9706"/>
    <w:rsid w:val="5BFFE157"/>
    <w:rsid w:val="5C9E5420"/>
    <w:rsid w:val="5CAC6A8A"/>
    <w:rsid w:val="5D064F7B"/>
    <w:rsid w:val="5D3E3516"/>
    <w:rsid w:val="5D5FCA30"/>
    <w:rsid w:val="5DEB6D7F"/>
    <w:rsid w:val="5DF76BE1"/>
    <w:rsid w:val="5DFD7922"/>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6621B4"/>
    <w:rsid w:val="609863C2"/>
    <w:rsid w:val="60BF4586"/>
    <w:rsid w:val="61330309"/>
    <w:rsid w:val="614B6D12"/>
    <w:rsid w:val="61E5A510"/>
    <w:rsid w:val="625C7A39"/>
    <w:rsid w:val="62816E52"/>
    <w:rsid w:val="62F021A1"/>
    <w:rsid w:val="63490BD7"/>
    <w:rsid w:val="637644DD"/>
    <w:rsid w:val="63A364B9"/>
    <w:rsid w:val="63BE1555"/>
    <w:rsid w:val="63FA6B1B"/>
    <w:rsid w:val="647F13A0"/>
    <w:rsid w:val="64B79261"/>
    <w:rsid w:val="64C95BF3"/>
    <w:rsid w:val="64D33A17"/>
    <w:rsid w:val="653F6699"/>
    <w:rsid w:val="657F58CB"/>
    <w:rsid w:val="658E3D60"/>
    <w:rsid w:val="65F9C941"/>
    <w:rsid w:val="66521231"/>
    <w:rsid w:val="66703608"/>
    <w:rsid w:val="66C537B1"/>
    <w:rsid w:val="66EDEF08"/>
    <w:rsid w:val="66F355ED"/>
    <w:rsid w:val="66FFF09D"/>
    <w:rsid w:val="675C4EAE"/>
    <w:rsid w:val="677A0108"/>
    <w:rsid w:val="679F2D57"/>
    <w:rsid w:val="679F61E3"/>
    <w:rsid w:val="67B236E0"/>
    <w:rsid w:val="67C47F0C"/>
    <w:rsid w:val="67DD9C20"/>
    <w:rsid w:val="67EC1211"/>
    <w:rsid w:val="67FF0B6A"/>
    <w:rsid w:val="67FFD784"/>
    <w:rsid w:val="68F842D5"/>
    <w:rsid w:val="68FB333A"/>
    <w:rsid w:val="692C7B17"/>
    <w:rsid w:val="693C34D0"/>
    <w:rsid w:val="69EE301F"/>
    <w:rsid w:val="6A2B31C3"/>
    <w:rsid w:val="6AF369C1"/>
    <w:rsid w:val="6B713F07"/>
    <w:rsid w:val="6B7F24B4"/>
    <w:rsid w:val="6BC95AF1"/>
    <w:rsid w:val="6BEBED43"/>
    <w:rsid w:val="6BFF439A"/>
    <w:rsid w:val="6CB33B27"/>
    <w:rsid w:val="6CEE572F"/>
    <w:rsid w:val="6D036DE1"/>
    <w:rsid w:val="6D2500AA"/>
    <w:rsid w:val="6D374E14"/>
    <w:rsid w:val="6D837955"/>
    <w:rsid w:val="6DFABB7D"/>
    <w:rsid w:val="6DFF3A58"/>
    <w:rsid w:val="6E4E6782"/>
    <w:rsid w:val="6E5B8151"/>
    <w:rsid w:val="6E8B52E0"/>
    <w:rsid w:val="6EC7536C"/>
    <w:rsid w:val="6ECB1B80"/>
    <w:rsid w:val="6EF54E4F"/>
    <w:rsid w:val="6EF722B4"/>
    <w:rsid w:val="6F045092"/>
    <w:rsid w:val="6F0E7983"/>
    <w:rsid w:val="6F54013B"/>
    <w:rsid w:val="6F636604"/>
    <w:rsid w:val="6F722607"/>
    <w:rsid w:val="6F7C3251"/>
    <w:rsid w:val="6FDFA327"/>
    <w:rsid w:val="6FEF813C"/>
    <w:rsid w:val="6FFEBBA4"/>
    <w:rsid w:val="6FFF2EE4"/>
    <w:rsid w:val="704E0CBB"/>
    <w:rsid w:val="70657DB3"/>
    <w:rsid w:val="706933FF"/>
    <w:rsid w:val="708E10B8"/>
    <w:rsid w:val="71B9DEF1"/>
    <w:rsid w:val="71D68E8F"/>
    <w:rsid w:val="72A619EF"/>
    <w:rsid w:val="72BD28C7"/>
    <w:rsid w:val="72E07771"/>
    <w:rsid w:val="7328452A"/>
    <w:rsid w:val="734F0FD2"/>
    <w:rsid w:val="737415B2"/>
    <w:rsid w:val="737782FA"/>
    <w:rsid w:val="73FE15E2"/>
    <w:rsid w:val="74640AAD"/>
    <w:rsid w:val="74B71970"/>
    <w:rsid w:val="74ED2FA0"/>
    <w:rsid w:val="753D6AD7"/>
    <w:rsid w:val="756F6031"/>
    <w:rsid w:val="75752846"/>
    <w:rsid w:val="75861DE0"/>
    <w:rsid w:val="75BE4D01"/>
    <w:rsid w:val="75C537CD"/>
    <w:rsid w:val="75ED5D32"/>
    <w:rsid w:val="75F7986D"/>
    <w:rsid w:val="761E723F"/>
    <w:rsid w:val="7621652A"/>
    <w:rsid w:val="767F21FC"/>
    <w:rsid w:val="76C94E97"/>
    <w:rsid w:val="772B62BA"/>
    <w:rsid w:val="775E8BE0"/>
    <w:rsid w:val="77D731B2"/>
    <w:rsid w:val="77EE2232"/>
    <w:rsid w:val="77EE2B35"/>
    <w:rsid w:val="77F78E5A"/>
    <w:rsid w:val="77F79C87"/>
    <w:rsid w:val="77FB7C32"/>
    <w:rsid w:val="77FED90E"/>
    <w:rsid w:val="78AE0E5B"/>
    <w:rsid w:val="78FFED4B"/>
    <w:rsid w:val="79B78283"/>
    <w:rsid w:val="79D0253E"/>
    <w:rsid w:val="79EFA7F3"/>
    <w:rsid w:val="79F7B33A"/>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A9AB6"/>
    <w:rsid w:val="7C8F034D"/>
    <w:rsid w:val="7C96D794"/>
    <w:rsid w:val="7C9790BD"/>
    <w:rsid w:val="7CCF418F"/>
    <w:rsid w:val="7CE0154C"/>
    <w:rsid w:val="7CEA9EFA"/>
    <w:rsid w:val="7CF4BC7D"/>
    <w:rsid w:val="7CF6B899"/>
    <w:rsid w:val="7D253A4A"/>
    <w:rsid w:val="7D2A0123"/>
    <w:rsid w:val="7D5333FA"/>
    <w:rsid w:val="7D659D25"/>
    <w:rsid w:val="7D690EE2"/>
    <w:rsid w:val="7DA1AAF4"/>
    <w:rsid w:val="7DB00AEC"/>
    <w:rsid w:val="7DB66434"/>
    <w:rsid w:val="7DBF7E54"/>
    <w:rsid w:val="7DDFC53D"/>
    <w:rsid w:val="7DEDF204"/>
    <w:rsid w:val="7DF61FB2"/>
    <w:rsid w:val="7E192F96"/>
    <w:rsid w:val="7E6B34CC"/>
    <w:rsid w:val="7E7AF17E"/>
    <w:rsid w:val="7E835FD4"/>
    <w:rsid w:val="7E8794CC"/>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8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annotation text"/>
    <w:basedOn w:val="1"/>
    <w:link w:val="42"/>
    <w:unhideWhenUsed/>
    <w:qFormat/>
    <w:uiPriority w:val="99"/>
    <w:pPr>
      <w:jc w:val="left"/>
    </w:pPr>
  </w:style>
  <w:style w:type="paragraph" w:styleId="8">
    <w:name w:val="Salutation"/>
    <w:basedOn w:val="1"/>
    <w:next w:val="1"/>
    <w:link w:val="43"/>
    <w:qFormat/>
    <w:uiPriority w:val="0"/>
    <w:rPr>
      <w:szCs w:val="20"/>
      <w:lang w:bidi="mn-Mong-CN"/>
    </w:rPr>
  </w:style>
  <w:style w:type="paragraph" w:styleId="9">
    <w:name w:val="Body Text"/>
    <w:basedOn w:val="1"/>
    <w:link w:val="38"/>
    <w:qFormat/>
    <w:uiPriority w:val="0"/>
    <w:pPr>
      <w:spacing w:before="39"/>
      <w:ind w:left="111"/>
      <w:jc w:val="left"/>
    </w:pPr>
    <w:rPr>
      <w:rFonts w:ascii="仿宋_GB2312" w:hAnsi="仿宋_GB2312" w:eastAsia="仿宋_GB2312"/>
      <w:kern w:val="0"/>
      <w:sz w:val="30"/>
      <w:szCs w:val="30"/>
      <w:lang w:eastAsia="en-US"/>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Date"/>
    <w:basedOn w:val="1"/>
    <w:next w:val="1"/>
    <w:link w:val="44"/>
    <w:unhideWhenUsed/>
    <w:qFormat/>
    <w:uiPriority w:val="99"/>
    <w:pPr>
      <w:ind w:left="100" w:leftChars="2500"/>
    </w:pPr>
  </w:style>
  <w:style w:type="paragraph" w:styleId="14">
    <w:name w:val="Body Text Indent 2"/>
    <w:basedOn w:val="1"/>
    <w:link w:val="45"/>
    <w:qFormat/>
    <w:uiPriority w:val="0"/>
    <w:pPr>
      <w:spacing w:after="120" w:line="480" w:lineRule="auto"/>
      <w:ind w:left="420" w:leftChars="200" w:firstLine="200" w:firstLineChars="200"/>
    </w:pPr>
    <w:rPr>
      <w:szCs w:val="24"/>
    </w:rPr>
  </w:style>
  <w:style w:type="paragraph" w:styleId="15">
    <w:name w:val="endnote text"/>
    <w:basedOn w:val="1"/>
    <w:link w:val="46"/>
    <w:unhideWhenUsed/>
    <w:qFormat/>
    <w:uiPriority w:val="99"/>
    <w:pPr>
      <w:snapToGrid w:val="0"/>
      <w:jc w:val="left"/>
    </w:pPr>
  </w:style>
  <w:style w:type="paragraph" w:styleId="16">
    <w:name w:val="Balloon Text"/>
    <w:basedOn w:val="1"/>
    <w:link w:val="47"/>
    <w:unhideWhenUsed/>
    <w:qFormat/>
    <w:uiPriority w:val="99"/>
    <w:rPr>
      <w:sz w:val="18"/>
      <w:szCs w:val="18"/>
    </w:rPr>
  </w:style>
  <w:style w:type="paragraph" w:styleId="17">
    <w:name w:val="footer"/>
    <w:basedOn w:val="1"/>
    <w:link w:val="48"/>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ascii="等线" w:eastAsia="等线"/>
      <w:b/>
      <w:bCs/>
      <w:caps/>
      <w:sz w:val="20"/>
      <w:szCs w:val="20"/>
    </w:rPr>
  </w:style>
  <w:style w:type="paragraph" w:styleId="20">
    <w:name w:val="toc 4"/>
    <w:basedOn w:val="1"/>
    <w:next w:val="1"/>
    <w:unhideWhenUsed/>
    <w:qFormat/>
    <w:uiPriority w:val="39"/>
    <w:pPr>
      <w:ind w:left="630"/>
      <w:jc w:val="left"/>
    </w:pPr>
    <w:rPr>
      <w:rFonts w:ascii="等线" w:eastAsia="等线"/>
      <w:sz w:val="18"/>
      <w:szCs w:val="18"/>
    </w:rPr>
  </w:style>
  <w:style w:type="paragraph" w:styleId="21">
    <w:name w:val="footnote text"/>
    <w:basedOn w:val="1"/>
    <w:link w:val="50"/>
    <w:unhideWhenUsed/>
    <w:qFormat/>
    <w:uiPriority w:val="99"/>
    <w:pPr>
      <w:snapToGrid w:val="0"/>
      <w:jc w:val="left"/>
    </w:pPr>
    <w:rPr>
      <w:sz w:val="18"/>
      <w:szCs w:val="18"/>
    </w:rPr>
  </w:style>
  <w:style w:type="paragraph" w:styleId="22">
    <w:name w:val="toc 6"/>
    <w:basedOn w:val="1"/>
    <w:next w:val="1"/>
    <w:unhideWhenUsed/>
    <w:qFormat/>
    <w:uiPriority w:val="39"/>
    <w:pPr>
      <w:ind w:left="1050"/>
      <w:jc w:val="left"/>
    </w:pPr>
    <w:rPr>
      <w:rFonts w:ascii="等线" w:eastAsia="等线"/>
      <w:sz w:val="18"/>
      <w:szCs w:val="18"/>
    </w:rPr>
  </w:style>
  <w:style w:type="paragraph" w:styleId="23">
    <w:name w:val="toc 2"/>
    <w:basedOn w:val="1"/>
    <w:next w:val="1"/>
    <w:unhideWhenUsed/>
    <w:qFormat/>
    <w:uiPriority w:val="39"/>
    <w:pPr>
      <w:ind w:left="210"/>
      <w:jc w:val="left"/>
    </w:pPr>
    <w:rPr>
      <w:rFonts w:ascii="等线" w:eastAsia="等线"/>
      <w:smallCaps/>
      <w:sz w:val="20"/>
      <w:szCs w:val="20"/>
    </w:rPr>
  </w:style>
  <w:style w:type="paragraph" w:styleId="24">
    <w:name w:val="toc 9"/>
    <w:basedOn w:val="1"/>
    <w:next w:val="1"/>
    <w:unhideWhenUsed/>
    <w:qFormat/>
    <w:uiPriority w:val="39"/>
    <w:pPr>
      <w:ind w:left="1680"/>
      <w:jc w:val="left"/>
    </w:pPr>
    <w:rPr>
      <w:rFonts w:ascii="等线" w:eastAsia="等线"/>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7"/>
    <w:next w:val="7"/>
    <w:link w:val="51"/>
    <w:unhideWhenUsed/>
    <w:qFormat/>
    <w:uiPriority w:val="99"/>
    <w:rPr>
      <w:b/>
      <w:bCs/>
    </w:rPr>
  </w:style>
  <w:style w:type="table" w:styleId="28">
    <w:name w:val="Table Grid"/>
    <w:basedOn w:val="27"/>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unhideWhenUsed/>
    <w:qFormat/>
    <w:uiPriority w:val="99"/>
    <w:rPr>
      <w:vertAlign w:val="superscript"/>
    </w:rPr>
  </w:style>
  <w:style w:type="character" w:styleId="32">
    <w:name w:val="page number"/>
    <w:qFormat/>
    <w:uiPriority w:val="0"/>
    <w:rPr>
      <w:rFonts w:ascii="Times New Roman" w:hAnsi="Times New Roman" w:eastAsia="宋体"/>
      <w:sz w:val="18"/>
    </w:rPr>
  </w:style>
  <w:style w:type="character" w:styleId="33">
    <w:name w:val="Emphasis"/>
    <w:qFormat/>
    <w:uiPriority w:val="20"/>
    <w:rPr>
      <w:i/>
    </w:rPr>
  </w:style>
  <w:style w:type="character" w:styleId="34">
    <w:name w:val="Hyperlink"/>
    <w:basedOn w:val="29"/>
    <w:unhideWhenUsed/>
    <w:qFormat/>
    <w:uiPriority w:val="99"/>
    <w:rPr>
      <w:color w:val="0563C1"/>
      <w:u w:val="single"/>
    </w:rPr>
  </w:style>
  <w:style w:type="character" w:styleId="35">
    <w:name w:val="annotation reference"/>
    <w:unhideWhenUsed/>
    <w:qFormat/>
    <w:uiPriority w:val="99"/>
    <w:rPr>
      <w:sz w:val="21"/>
      <w:szCs w:val="21"/>
    </w:rPr>
  </w:style>
  <w:style w:type="character" w:styleId="36">
    <w:name w:val="footnote reference"/>
    <w:unhideWhenUsed/>
    <w:qFormat/>
    <w:uiPriority w:val="99"/>
    <w:rPr>
      <w:vertAlign w:val="superscript"/>
    </w:rPr>
  </w:style>
  <w:style w:type="paragraph" w:customStyle="1" w:styleId="37">
    <w:name w:val="正文 首行缩进:  2 字符"/>
    <w:qFormat/>
    <w:uiPriority w:val="0"/>
    <w:pPr>
      <w:widowControl w:val="0"/>
      <w:adjustRightInd w:val="0"/>
      <w:snapToGrid w:val="0"/>
      <w:spacing w:line="360" w:lineRule="auto"/>
      <w:ind w:firstLine="1040" w:firstLineChars="200"/>
    </w:pPr>
    <w:rPr>
      <w:rFonts w:ascii="Times New Roman" w:hAnsi="Times New Roman" w:eastAsia="宋体" w:cs="宋体"/>
      <w:kern w:val="2"/>
      <w:sz w:val="24"/>
      <w:lang w:val="en-US" w:eastAsia="zh-CN" w:bidi="ar-SA"/>
    </w:rPr>
  </w:style>
  <w:style w:type="character" w:customStyle="1" w:styleId="38">
    <w:name w:val="正文文本 字符1"/>
    <w:link w:val="9"/>
    <w:qFormat/>
    <w:uiPriority w:val="0"/>
    <w:rPr>
      <w:rFonts w:ascii="仿宋_GB2312" w:hAnsi="仿宋_GB2312" w:eastAsia="仿宋_GB2312" w:cs="Times New Roman"/>
      <w:sz w:val="30"/>
      <w:szCs w:val="30"/>
      <w:lang w:eastAsia="en-US" w:bidi="ar-SA"/>
    </w:rPr>
  </w:style>
  <w:style w:type="character" w:customStyle="1" w:styleId="39">
    <w:name w:val="标题 1 字符1"/>
    <w:link w:val="2"/>
    <w:qFormat/>
    <w:uiPriority w:val="0"/>
    <w:rPr>
      <w:rFonts w:ascii="等线" w:hAnsi="等线" w:eastAsia="等线" w:cs="Times New Roman"/>
      <w:b/>
      <w:bCs/>
      <w:kern w:val="44"/>
      <w:sz w:val="44"/>
      <w:szCs w:val="44"/>
      <w:lang w:bidi="ar-SA"/>
    </w:rPr>
  </w:style>
  <w:style w:type="character" w:customStyle="1" w:styleId="40">
    <w:name w:val="标题 2 字符"/>
    <w:link w:val="3"/>
    <w:qFormat/>
    <w:uiPriority w:val="9"/>
    <w:rPr>
      <w:rFonts w:ascii="Calibri Light" w:hAnsi="Calibri Light" w:eastAsia="宋体" w:cs="Mongolian Baiti"/>
      <w:b/>
      <w:bCs/>
      <w:sz w:val="32"/>
      <w:szCs w:val="32"/>
      <w:lang w:bidi="ar-SA"/>
    </w:rPr>
  </w:style>
  <w:style w:type="character" w:customStyle="1" w:styleId="41">
    <w:name w:val="标题 3 字符"/>
    <w:link w:val="4"/>
    <w:semiHidden/>
    <w:qFormat/>
    <w:uiPriority w:val="9"/>
    <w:rPr>
      <w:rFonts w:ascii="Times New Roman" w:hAnsi="Times New Roman" w:eastAsia="宋体" w:cs="Times New Roman"/>
      <w:b/>
      <w:bCs/>
      <w:kern w:val="2"/>
      <w:sz w:val="32"/>
      <w:szCs w:val="32"/>
      <w:lang w:bidi="ar-SA"/>
    </w:rPr>
  </w:style>
  <w:style w:type="character" w:customStyle="1" w:styleId="42">
    <w:name w:val="批注文字 字符"/>
    <w:link w:val="7"/>
    <w:qFormat/>
    <w:uiPriority w:val="99"/>
    <w:rPr>
      <w:rFonts w:ascii="Times New Roman" w:hAnsi="Times New Roman" w:eastAsia="宋体" w:cs="Times New Roman"/>
      <w:szCs w:val="22"/>
      <w:lang w:bidi="ar-SA"/>
    </w:rPr>
  </w:style>
  <w:style w:type="character" w:customStyle="1" w:styleId="43">
    <w:name w:val="称呼 字符"/>
    <w:link w:val="8"/>
    <w:qFormat/>
    <w:uiPriority w:val="0"/>
    <w:rPr>
      <w:rFonts w:ascii="Times New Roman" w:hAnsi="Times New Roman" w:eastAsia="宋体" w:cs="Times New Roman"/>
      <w:kern w:val="2"/>
      <w:sz w:val="21"/>
    </w:rPr>
  </w:style>
  <w:style w:type="character" w:customStyle="1" w:styleId="44">
    <w:name w:val="日期 字符"/>
    <w:link w:val="13"/>
    <w:semiHidden/>
    <w:qFormat/>
    <w:uiPriority w:val="99"/>
    <w:rPr>
      <w:rFonts w:ascii="Times New Roman" w:hAnsi="Times New Roman" w:eastAsia="宋体" w:cs="Times New Roman"/>
      <w:kern w:val="2"/>
      <w:sz w:val="21"/>
      <w:szCs w:val="22"/>
      <w:lang w:bidi="ar-SA"/>
    </w:rPr>
  </w:style>
  <w:style w:type="character" w:customStyle="1" w:styleId="45">
    <w:name w:val="正文文本缩进 2 字符"/>
    <w:link w:val="14"/>
    <w:qFormat/>
    <w:uiPriority w:val="0"/>
    <w:rPr>
      <w:rFonts w:ascii="Times New Roman" w:hAnsi="Times New Roman" w:eastAsia="宋体" w:cs="Times New Roman"/>
      <w:kern w:val="2"/>
      <w:sz w:val="21"/>
      <w:szCs w:val="24"/>
      <w:lang w:bidi="ar-SA"/>
    </w:rPr>
  </w:style>
  <w:style w:type="character" w:customStyle="1" w:styleId="46">
    <w:name w:val="尾注文本 字符"/>
    <w:link w:val="15"/>
    <w:semiHidden/>
    <w:qFormat/>
    <w:uiPriority w:val="99"/>
    <w:rPr>
      <w:rFonts w:ascii="Times New Roman" w:hAnsi="Times New Roman" w:eastAsia="宋体" w:cs="Times New Roman"/>
      <w:kern w:val="2"/>
      <w:sz w:val="21"/>
      <w:szCs w:val="22"/>
      <w:lang w:bidi="ar-SA"/>
    </w:rPr>
  </w:style>
  <w:style w:type="character" w:customStyle="1" w:styleId="47">
    <w:name w:val="批注框文本 字符"/>
    <w:link w:val="16"/>
    <w:semiHidden/>
    <w:qFormat/>
    <w:uiPriority w:val="99"/>
    <w:rPr>
      <w:rFonts w:ascii="Times New Roman" w:hAnsi="Times New Roman" w:eastAsia="宋体" w:cs="Times New Roman"/>
      <w:sz w:val="18"/>
      <w:szCs w:val="18"/>
      <w:lang w:bidi="ar-SA"/>
    </w:rPr>
  </w:style>
  <w:style w:type="character" w:customStyle="1" w:styleId="48">
    <w:name w:val="页脚 字符"/>
    <w:link w:val="17"/>
    <w:qFormat/>
    <w:uiPriority w:val="99"/>
    <w:rPr>
      <w:rFonts w:ascii="等线" w:hAnsi="等线" w:eastAsia="等线" w:cs="Times New Roman"/>
      <w:sz w:val="18"/>
      <w:szCs w:val="18"/>
      <w:lang w:bidi="ar-SA"/>
    </w:rPr>
  </w:style>
  <w:style w:type="character" w:customStyle="1" w:styleId="49">
    <w:name w:val="页眉 字符"/>
    <w:link w:val="18"/>
    <w:qFormat/>
    <w:uiPriority w:val="99"/>
    <w:rPr>
      <w:kern w:val="2"/>
      <w:sz w:val="18"/>
      <w:szCs w:val="18"/>
      <w:lang w:bidi="ar-SA"/>
    </w:rPr>
  </w:style>
  <w:style w:type="character" w:customStyle="1" w:styleId="50">
    <w:name w:val="脚注文本 字符"/>
    <w:link w:val="21"/>
    <w:semiHidden/>
    <w:qFormat/>
    <w:uiPriority w:val="99"/>
    <w:rPr>
      <w:rFonts w:ascii="Times New Roman" w:hAnsi="Times New Roman" w:eastAsia="宋体" w:cs="Times New Roman"/>
      <w:kern w:val="2"/>
      <w:sz w:val="18"/>
      <w:szCs w:val="18"/>
      <w:lang w:bidi="ar-SA"/>
    </w:rPr>
  </w:style>
  <w:style w:type="character" w:customStyle="1" w:styleId="51">
    <w:name w:val="批注主题 字符"/>
    <w:link w:val="26"/>
    <w:semiHidden/>
    <w:qFormat/>
    <w:uiPriority w:val="99"/>
    <w:rPr>
      <w:rFonts w:ascii="Times New Roman" w:hAnsi="Times New Roman" w:eastAsia="宋体" w:cs="Times New Roman"/>
      <w:b/>
      <w:bCs/>
      <w:szCs w:val="22"/>
      <w:lang w:bidi="ar-SA"/>
    </w:rPr>
  </w:style>
  <w:style w:type="character" w:customStyle="1" w:styleId="52">
    <w:name w:val="标题 1 Char"/>
    <w:qFormat/>
    <w:uiPriority w:val="0"/>
    <w:rPr>
      <w:rFonts w:ascii="Times New Roman" w:hAnsi="Times New Roman" w:eastAsia="宋体" w:cs="Times New Roman"/>
      <w:b/>
      <w:bCs/>
      <w:kern w:val="44"/>
      <w:sz w:val="44"/>
      <w:szCs w:val="44"/>
      <w:lang w:bidi="ar-SA"/>
    </w:rPr>
  </w:style>
  <w:style w:type="paragraph" w:customStyle="1" w:styleId="53">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4">
    <w:name w:val="导则标题2"/>
    <w:basedOn w:val="3"/>
    <w:link w:val="55"/>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5">
    <w:name w:val="导则标题2 Char"/>
    <w:link w:val="54"/>
    <w:qFormat/>
    <w:uiPriority w:val="0"/>
    <w:rPr>
      <w:rFonts w:ascii="黑体" w:hAnsi="黑体" w:eastAsia="黑体" w:cs="Times New Roman"/>
      <w:bCs/>
      <w:sz w:val="24"/>
      <w:szCs w:val="24"/>
      <w:lang w:val="zh-CN" w:eastAsia="zh-CN" w:bidi="ar-SA"/>
    </w:rPr>
  </w:style>
  <w:style w:type="paragraph" w:customStyle="1" w:styleId="56">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7">
    <w:name w:val="正文文本 Char"/>
    <w:semiHidden/>
    <w:qFormat/>
    <w:uiPriority w:val="99"/>
    <w:rPr>
      <w:rFonts w:ascii="Times New Roman" w:hAnsi="Times New Roman" w:eastAsia="宋体" w:cs="Times New Roman"/>
      <w:kern w:val="2"/>
      <w:sz w:val="21"/>
      <w:szCs w:val="22"/>
      <w:lang w:bidi="ar-SA"/>
    </w:rPr>
  </w:style>
  <w:style w:type="paragraph" w:customStyle="1" w:styleId="58">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59">
    <w:name w:val="页脚 Char"/>
    <w:semiHidden/>
    <w:qFormat/>
    <w:uiPriority w:val="99"/>
    <w:rPr>
      <w:rFonts w:ascii="Times New Roman" w:hAnsi="Times New Roman" w:eastAsia="宋体" w:cs="Times New Roman"/>
      <w:kern w:val="2"/>
      <w:sz w:val="18"/>
      <w:szCs w:val="18"/>
      <w:lang w:bidi="ar-SA"/>
    </w:rPr>
  </w:style>
  <w:style w:type="paragraph" w:customStyle="1" w:styleId="6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1">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2">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3">
    <w:name w:val="标题 1 字符"/>
    <w:qFormat/>
    <w:uiPriority w:val="0"/>
    <w:rPr>
      <w:b/>
      <w:bCs/>
      <w:kern w:val="44"/>
      <w:sz w:val="44"/>
      <w:szCs w:val="44"/>
    </w:rPr>
  </w:style>
  <w:style w:type="paragraph" w:customStyle="1" w:styleId="64">
    <w:name w:val="_Style 34"/>
    <w:basedOn w:val="1"/>
    <w:next w:val="65"/>
    <w:qFormat/>
    <w:uiPriority w:val="34"/>
    <w:pPr>
      <w:ind w:firstLine="420" w:firstLineChars="200"/>
    </w:pPr>
    <w:rPr>
      <w:rFonts w:ascii="等线" w:hAnsi="等线" w:eastAsia="等线"/>
    </w:rPr>
  </w:style>
  <w:style w:type="paragraph" w:customStyle="1" w:styleId="65">
    <w:name w:val="列出段落1"/>
    <w:basedOn w:val="1"/>
    <w:qFormat/>
    <w:uiPriority w:val="99"/>
    <w:pPr>
      <w:ind w:firstLine="420" w:firstLineChars="200"/>
    </w:pPr>
  </w:style>
  <w:style w:type="paragraph" w:customStyle="1" w:styleId="66">
    <w:name w:val="_Style 37"/>
    <w:basedOn w:val="1"/>
    <w:next w:val="65"/>
    <w:qFormat/>
    <w:uiPriority w:val="34"/>
    <w:pPr>
      <w:ind w:firstLine="420" w:firstLineChars="200"/>
    </w:pPr>
    <w:rPr>
      <w:rFonts w:ascii="等线" w:hAnsi="等线" w:eastAsia="等线"/>
    </w:rPr>
  </w:style>
  <w:style w:type="paragraph" w:customStyle="1" w:styleId="67">
    <w:name w:val="_Style 38"/>
    <w:basedOn w:val="1"/>
    <w:next w:val="65"/>
    <w:qFormat/>
    <w:uiPriority w:val="34"/>
    <w:pPr>
      <w:ind w:firstLine="420" w:firstLineChars="200"/>
    </w:pPr>
    <w:rPr>
      <w:rFonts w:ascii="等线" w:hAnsi="等线" w:eastAsia="等线"/>
    </w:rPr>
  </w:style>
  <w:style w:type="paragraph" w:customStyle="1" w:styleId="68">
    <w:name w:val="_Style 39"/>
    <w:basedOn w:val="1"/>
    <w:next w:val="65"/>
    <w:qFormat/>
    <w:uiPriority w:val="34"/>
    <w:pPr>
      <w:ind w:firstLine="420" w:firstLineChars="200"/>
    </w:pPr>
    <w:rPr>
      <w:rFonts w:ascii="等线" w:hAnsi="等线" w:eastAsia="等线"/>
    </w:rPr>
  </w:style>
  <w:style w:type="paragraph" w:customStyle="1" w:styleId="69">
    <w:name w:val="_Style 40"/>
    <w:basedOn w:val="1"/>
    <w:next w:val="65"/>
    <w:qFormat/>
    <w:uiPriority w:val="34"/>
    <w:pPr>
      <w:ind w:firstLine="420" w:firstLineChars="200"/>
    </w:pPr>
    <w:rPr>
      <w:rFonts w:ascii="等线" w:hAnsi="等线" w:eastAsia="等线"/>
    </w:rPr>
  </w:style>
  <w:style w:type="character" w:customStyle="1" w:styleId="70">
    <w:name w:val="款 Char Char"/>
    <w:link w:val="71"/>
    <w:qFormat/>
    <w:uiPriority w:val="0"/>
    <w:rPr>
      <w:rFonts w:ascii="Times New Roman" w:hAnsi="Times New Roman" w:eastAsia="黑体" w:cs="宋体"/>
      <w:color w:val="000000"/>
    </w:rPr>
  </w:style>
  <w:style w:type="paragraph" w:customStyle="1" w:styleId="71">
    <w:name w:val="款 Char"/>
    <w:basedOn w:val="1"/>
    <w:link w:val="70"/>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2">
    <w:name w:val="正文文本 字符"/>
    <w:qFormat/>
    <w:uiPriority w:val="1"/>
    <w:rPr>
      <w:rFonts w:ascii="仿宋_GB2312" w:hAnsi="仿宋_GB2312" w:eastAsia="仿宋_GB2312"/>
      <w:kern w:val="0"/>
      <w:sz w:val="30"/>
      <w:szCs w:val="30"/>
      <w:lang w:eastAsia="en-US"/>
    </w:rPr>
  </w:style>
  <w:style w:type="paragraph" w:customStyle="1" w:styleId="73">
    <w:name w:val="Table Paragraph"/>
    <w:basedOn w:val="1"/>
    <w:qFormat/>
    <w:uiPriority w:val="1"/>
    <w:pPr>
      <w:jc w:val="left"/>
    </w:pPr>
    <w:rPr>
      <w:rFonts w:ascii="等线" w:hAnsi="等线" w:eastAsia="等线"/>
      <w:kern w:val="0"/>
      <w:sz w:val="22"/>
      <w:lang w:eastAsia="en-US"/>
    </w:rPr>
  </w:style>
  <w:style w:type="paragraph" w:customStyle="1" w:styleId="74">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5">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6">
    <w:name w:val="Char"/>
    <w:basedOn w:val="1"/>
    <w:qFormat/>
    <w:uiPriority w:val="0"/>
    <w:rPr>
      <w:szCs w:val="20"/>
      <w:lang w:bidi="mn-Mong-CN"/>
    </w:rPr>
  </w:style>
  <w:style w:type="paragraph" w:customStyle="1" w:styleId="77">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78">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79">
    <w:name w:val="标题 2 Char"/>
    <w:qFormat/>
    <w:uiPriority w:val="0"/>
    <w:rPr>
      <w:rFonts w:ascii="楷体_GB2312" w:hAnsi="Times New Roman" w:eastAsia="楷体_GB2312" w:cs="Times New Roman"/>
      <w:kern w:val="2"/>
      <w:sz w:val="32"/>
      <w:szCs w:val="32"/>
    </w:rPr>
  </w:style>
  <w:style w:type="paragraph" w:customStyle="1" w:styleId="80">
    <w:name w:val="_Style 76"/>
    <w:basedOn w:val="1"/>
    <w:next w:val="81"/>
    <w:qFormat/>
    <w:uiPriority w:val="34"/>
    <w:pPr>
      <w:ind w:firstLine="420" w:firstLineChars="200"/>
    </w:pPr>
    <w:rPr>
      <w:rFonts w:ascii="等线" w:hAnsi="等线" w:eastAsia="等线"/>
    </w:rPr>
  </w:style>
  <w:style w:type="paragraph" w:styleId="81">
    <w:name w:val="List Paragraph"/>
    <w:basedOn w:val="1"/>
    <w:qFormat/>
    <w:uiPriority w:val="99"/>
    <w:pPr>
      <w:ind w:firstLine="420" w:firstLineChars="200"/>
    </w:pPr>
  </w:style>
  <w:style w:type="paragraph" w:customStyle="1" w:styleId="82">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3">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4">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5">
    <w:name w:val="Char1"/>
    <w:basedOn w:val="1"/>
    <w:qFormat/>
    <w:uiPriority w:val="0"/>
    <w:rPr>
      <w:szCs w:val="24"/>
    </w:rPr>
  </w:style>
  <w:style w:type="paragraph" w:customStyle="1" w:styleId="86">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7">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88">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89">
    <w:name w:val="标题 4 字符"/>
    <w:basedOn w:val="29"/>
    <w:link w:val="5"/>
    <w:qFormat/>
    <w:uiPriority w:val="0"/>
    <w:rPr>
      <w:rFonts w:asciiTheme="majorHAnsi" w:hAnsiTheme="majorHAnsi" w:eastAsiaTheme="majorEastAsia" w:cstheme="majorBidi"/>
      <w:b/>
      <w:bCs/>
      <w:kern w:val="2"/>
      <w:sz w:val="28"/>
      <w:szCs w:val="28"/>
    </w:rPr>
  </w:style>
  <w:style w:type="paragraph" w:customStyle="1" w:styleId="90">
    <w:name w:val="Char2"/>
    <w:basedOn w:val="1"/>
    <w:qFormat/>
    <w:uiPriority w:val="0"/>
    <w:rPr>
      <w:szCs w:val="24"/>
    </w:rPr>
  </w:style>
  <w:style w:type="paragraph" w:customStyle="1" w:styleId="91">
    <w:name w:val="Char3"/>
    <w:basedOn w:val="1"/>
    <w:qFormat/>
    <w:uiPriority w:val="0"/>
    <w:rPr>
      <w:szCs w:val="24"/>
    </w:rPr>
  </w:style>
  <w:style w:type="paragraph" w:customStyle="1" w:styleId="92">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1283</Words>
  <Characters>1449</Characters>
  <Lines>26</Lines>
  <Paragraphs>7</Paragraphs>
  <TotalTime>1</TotalTime>
  <ScaleCrop>false</ScaleCrop>
  <LinksUpToDate>false</LinksUpToDate>
  <CharactersWithSpaces>1527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2024-12-27T03:38:00Z</dcterms:created>
  <dc:creator>yuyu</dc:creator>
  <cp:lastModifiedBy>冉航宇</cp:lastModifiedBy>
  <cp:lastPrinted>2024-12-26T07:40:00Z</cp:lastPrinted>
  <dcterms:modified xsi:type="dcterms:W3CDTF">2025-10-21T02:00:06Z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EF7D2784AB05486BA07A0E41C05E7542_13</vt:lpwstr>
  </property>
  <property fmtid="{D5CDD505-2E9C-101B-9397-08002B2CF9AE}" pid="4" name="KSOTemplateDocerSaveRecord">
    <vt:lpwstr>eyJoZGlkIjoiYzhmNjdiMzQ5ZTgwNWE4NzgzYzgyYjAyMjMxMDNiZTgiLCJ1c2VySWQiOiI0MDUzNTExODkifQ==</vt:lpwstr>
  </property>
</Properties>
</file>