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55" w:lineRule="atLeast"/>
        <w:jc w:val="center"/>
      </w:pPr>
      <w:r>
        <w:rPr>
          <w:rFonts w:hint="eastAsia" w:ascii="方正小标宋_GBK" w:eastAsia="方正小标宋_GBK"/>
          <w:sz w:val="44"/>
          <w:szCs w:val="44"/>
        </w:rPr>
        <w:t>重庆市彭水苗族土家族自治县医疗保障局</w:t>
      </w:r>
    </w:p>
    <w:p>
      <w:pPr>
        <w:pStyle w:val="4"/>
        <w:spacing w:line="555" w:lineRule="atLeast"/>
        <w:jc w:val="center"/>
      </w:pPr>
      <w:r>
        <w:rPr>
          <w:rFonts w:hint="eastAsia" w:ascii="方正小标宋_GBK" w:eastAsia="方正小标宋_GBK"/>
          <w:sz w:val="44"/>
          <w:szCs w:val="44"/>
        </w:rPr>
        <w:t>2024年度决算情况说明</w:t>
      </w:r>
    </w:p>
    <w:p>
      <w:pPr>
        <w:pStyle w:val="4"/>
        <w:spacing w:line="555" w:lineRule="atLeast"/>
        <w:ind w:firstLine="645"/>
      </w:pPr>
      <w:r>
        <w:rPr>
          <w:rStyle w:val="7"/>
          <w:rFonts w:hint="eastAsia" w:ascii="MS Mincho" w:hAnsi="MS Mincho" w:eastAsia="MS Mincho" w:cs="MS Mincho"/>
          <w:sz w:val="32"/>
          <w:szCs w:val="32"/>
        </w:rPr>
        <w:t> </w:t>
      </w:r>
    </w:p>
    <w:p>
      <w:pPr>
        <w:pStyle w:val="4"/>
        <w:spacing w:line="555" w:lineRule="atLeast"/>
        <w:ind w:firstLine="645"/>
      </w:pPr>
      <w:r>
        <w:rPr>
          <w:rStyle w:val="7"/>
          <w:rFonts w:hint="eastAsia" w:ascii="方正黑体_GBK" w:eastAsia="方正黑体_GBK"/>
          <w:sz w:val="32"/>
          <w:szCs w:val="32"/>
        </w:rPr>
        <w:t>一、部门基本情况</w:t>
      </w:r>
    </w:p>
    <w:p>
      <w:pPr>
        <w:pStyle w:val="4"/>
        <w:spacing w:line="555" w:lineRule="atLeast"/>
        <w:ind w:firstLine="645"/>
      </w:pPr>
      <w:r>
        <w:rPr>
          <w:rStyle w:val="7"/>
          <w:rFonts w:hint="eastAsia" w:ascii="方正楷体_GBK" w:eastAsia="方正楷体_GBK"/>
          <w:sz w:val="32"/>
          <w:szCs w:val="32"/>
        </w:rPr>
        <w:t>（一）职能职责</w:t>
      </w:r>
    </w:p>
    <w:p>
      <w:pPr>
        <w:pStyle w:val="4"/>
        <w:shd w:val="clear" w:color="auto" w:fill="FFFFFF"/>
        <w:spacing w:line="555" w:lineRule="atLeast"/>
        <w:ind w:firstLine="645"/>
      </w:pPr>
      <w:r>
        <w:rPr>
          <w:rFonts w:hint="eastAsia" w:ascii="方正仿宋_GBK" w:eastAsia="方正仿宋_GBK"/>
          <w:sz w:val="32"/>
          <w:szCs w:val="32"/>
        </w:rPr>
        <w:t>贯彻执行国家和重庆市的医疗保险、生育保险、医疗救助等医疗保障制度的法律法规、政策、规划和标准。组织实施国家和重庆市制定的医疗保障基金监督管理办法，建立健全医疗保障基金安全防控机制，推进医疗保障基金支付方式改革。贯彻执行国家和重庆市医疗保障筹资、待遇政策。贯彻执行国家和重庆市药品、医用耗材、医疗服务项目、医疗设施等医保目录和支付标准。贯彻执行药品、医用耗材价格和医疗服务项医疗服务设施收费等政策，推动建立市场主导的社会医药服务价格形成机制，建立价格信息监测和信息发布制度。负责药品、医用耗材的招标采购政策的监督实施。</w:t>
      </w:r>
    </w:p>
    <w:p>
      <w:pPr>
        <w:pStyle w:val="4"/>
        <w:spacing w:line="555" w:lineRule="atLeast"/>
        <w:ind w:firstLine="645"/>
      </w:pPr>
      <w:r>
        <w:rPr>
          <w:rStyle w:val="7"/>
          <w:rFonts w:hint="eastAsia" w:ascii="方正楷体_GBK" w:eastAsia="方正楷体_GBK"/>
          <w:sz w:val="32"/>
          <w:szCs w:val="32"/>
        </w:rPr>
        <w:t>（二）机构设置</w:t>
      </w:r>
    </w:p>
    <w:p>
      <w:pPr>
        <w:pStyle w:val="4"/>
        <w:spacing w:line="555" w:lineRule="atLeast"/>
        <w:ind w:firstLine="645"/>
      </w:pPr>
      <w:r>
        <w:rPr>
          <w:rFonts w:hint="eastAsia" w:ascii="方正仿宋_GBK" w:eastAsia="方正仿宋_GBK"/>
          <w:sz w:val="32"/>
          <w:szCs w:val="32"/>
        </w:rPr>
        <w:t>彭水自治县医疗保障局机关核定内设机构3个，共3个内设科室，年末在职职工6人，其中行政编制6人。下属管理参公事业单位医疗保障事务中心，核定内设机构8个，共8个内设科室，年末在职职工18人，其中参照公务员管理编制18人。</w:t>
      </w:r>
    </w:p>
    <w:p>
      <w:pPr>
        <w:pStyle w:val="4"/>
        <w:spacing w:line="555" w:lineRule="atLeast"/>
        <w:ind w:firstLine="645"/>
      </w:pPr>
      <w:r>
        <w:rPr>
          <w:rStyle w:val="7"/>
          <w:rFonts w:hint="eastAsia" w:ascii="方正黑体_GBK" w:eastAsia="方正黑体_GBK"/>
          <w:sz w:val="32"/>
          <w:szCs w:val="32"/>
        </w:rPr>
        <w:t>二、部门决算情况说明</w:t>
      </w:r>
    </w:p>
    <w:p>
      <w:pPr>
        <w:pStyle w:val="4"/>
        <w:spacing w:line="555" w:lineRule="atLeast"/>
        <w:ind w:firstLine="645"/>
      </w:pPr>
      <w:r>
        <w:rPr>
          <w:rStyle w:val="7"/>
          <w:rFonts w:hint="eastAsia" w:ascii="方正楷体_GBK" w:eastAsia="方正楷体_GBK"/>
          <w:sz w:val="32"/>
          <w:szCs w:val="32"/>
        </w:rPr>
        <w:t>（一）收入支出决算总体情况说明</w:t>
      </w:r>
    </w:p>
    <w:p>
      <w:pPr>
        <w:pStyle w:val="4"/>
        <w:spacing w:line="555" w:lineRule="atLeast"/>
        <w:ind w:firstLine="645"/>
      </w:pPr>
      <w:r>
        <w:rPr>
          <w:rStyle w:val="7"/>
          <w:rFonts w:hint="eastAsia" w:ascii="方正仿宋_GBK" w:eastAsia="方正仿宋_GBK"/>
          <w:sz w:val="32"/>
          <w:szCs w:val="32"/>
        </w:rPr>
        <w:t>1.总体情况。</w:t>
      </w:r>
      <w:r>
        <w:rPr>
          <w:rFonts w:hint="eastAsia" w:ascii="方正仿宋_GBK" w:eastAsia="方正仿宋_GBK"/>
          <w:sz w:val="32"/>
          <w:szCs w:val="32"/>
        </w:rPr>
        <w:t>2024年度收入总计5353.83万元，支出总计5353.83万元。收支较上年决算数增加817.8万元,增长18.03%，主要原因是一是涉及“医疗救助”类项目资金增加，二是2024年度单位新招录3人，人员经费费用增加。</w:t>
      </w:r>
    </w:p>
    <w:p>
      <w:pPr>
        <w:pStyle w:val="4"/>
        <w:spacing w:line="555" w:lineRule="atLeast"/>
        <w:ind w:firstLine="645"/>
      </w:pPr>
      <w:r>
        <w:rPr>
          <w:rStyle w:val="7"/>
          <w:rFonts w:hint="eastAsia" w:ascii="方正仿宋_GBK" w:eastAsia="方正仿宋_GBK"/>
          <w:sz w:val="32"/>
          <w:szCs w:val="32"/>
        </w:rPr>
        <w:t>2.收入情况。</w:t>
      </w:r>
      <w:r>
        <w:rPr>
          <w:rFonts w:hint="eastAsia" w:ascii="方正仿宋_GBK" w:eastAsia="方正仿宋_GBK"/>
          <w:sz w:val="32"/>
          <w:szCs w:val="32"/>
        </w:rPr>
        <w:t>2024年度收入合计5353.83万元，较上年决算数增加817.8万元,增长18.03%，主要原因是一是涉及“医疗救助”类项目资金增加，二是2024年度单位新招录3人，追加人员经费预算。其中：财政拨款收入5353.83万元，占100.0%</w:t>
      </w:r>
    </w:p>
    <w:p>
      <w:pPr>
        <w:pStyle w:val="4"/>
        <w:spacing w:line="555" w:lineRule="atLeast"/>
        <w:ind w:firstLine="645"/>
      </w:pPr>
      <w:r>
        <w:rPr>
          <w:rStyle w:val="7"/>
          <w:rFonts w:hint="eastAsia" w:ascii="方正仿宋_GBK" w:eastAsia="方正仿宋_GBK"/>
          <w:sz w:val="32"/>
          <w:szCs w:val="32"/>
        </w:rPr>
        <w:t>3.支出情况。</w:t>
      </w:r>
      <w:r>
        <w:rPr>
          <w:rFonts w:hint="eastAsia" w:ascii="方正仿宋_GBK" w:eastAsia="方正仿宋_GBK"/>
          <w:sz w:val="32"/>
          <w:szCs w:val="32"/>
        </w:rPr>
        <w:t>2024年度支出合计5353.83万元，较上年决算数增加817.8万元,增长18.03%，主要原因是一是涉及“医疗救助”类项目资金增加，二是2024年度单位新招录3人，人员经费费用增加。其中：基本支出571.9万元，占10.68%；项目支出4781.93万元，占89.32%。此外，结余分配0万元。</w:t>
      </w:r>
    </w:p>
    <w:p>
      <w:pPr>
        <w:pStyle w:val="4"/>
        <w:spacing w:line="555" w:lineRule="atLeast"/>
        <w:ind w:firstLine="645"/>
      </w:pPr>
      <w:r>
        <w:rPr>
          <w:rStyle w:val="7"/>
          <w:rFonts w:hint="eastAsia" w:ascii="方正仿宋_GBK" w:eastAsia="方正仿宋_GBK"/>
          <w:sz w:val="32"/>
          <w:szCs w:val="32"/>
        </w:rPr>
        <w:t>4.结转结余情况。</w:t>
      </w:r>
      <w:r>
        <w:rPr>
          <w:rFonts w:hint="eastAsia" w:ascii="方正仿宋_GBK" w:eastAsia="方正仿宋_GBK"/>
          <w:sz w:val="32"/>
          <w:szCs w:val="32"/>
        </w:rPr>
        <w:t>2024年度年末结转和结余0万元，与上年决算数相比，无变化。</w:t>
      </w:r>
    </w:p>
    <w:p>
      <w:pPr>
        <w:pStyle w:val="4"/>
        <w:spacing w:line="555" w:lineRule="atLeast"/>
        <w:ind w:firstLine="645"/>
      </w:pPr>
      <w:r>
        <w:rPr>
          <w:rStyle w:val="7"/>
          <w:rFonts w:hint="eastAsia" w:ascii="方正楷体_GBK" w:eastAsia="方正楷体_GBK"/>
          <w:sz w:val="32"/>
          <w:szCs w:val="32"/>
        </w:rPr>
        <w:t>（二）财政拨款收入支出决算总体情况说明</w:t>
      </w:r>
    </w:p>
    <w:p>
      <w:pPr>
        <w:pStyle w:val="4"/>
        <w:spacing w:line="555" w:lineRule="atLeast"/>
        <w:ind w:firstLine="645"/>
      </w:pPr>
      <w:r>
        <w:rPr>
          <w:rFonts w:hint="eastAsia" w:ascii="方正仿宋_GBK" w:eastAsia="方正仿宋_GBK"/>
          <w:sz w:val="32"/>
          <w:szCs w:val="32"/>
        </w:rPr>
        <w:t>2024年度财政拨款收、支总计5353.83万元。与2023年相比，财政拨款收、支总计各增加817.8万元,增长18.03%。主要原因是一是涉及“医疗救助”类项目资金增加，二是2024年度单位新招录3人，人员经费费用增加。</w:t>
      </w:r>
    </w:p>
    <w:p>
      <w:pPr>
        <w:pStyle w:val="4"/>
        <w:spacing w:line="555" w:lineRule="atLeast"/>
        <w:ind w:firstLine="645"/>
      </w:pPr>
      <w:r>
        <w:rPr>
          <w:rStyle w:val="7"/>
          <w:rFonts w:hint="eastAsia" w:ascii="方正楷体_GBK" w:eastAsia="方正楷体_GBK"/>
          <w:sz w:val="32"/>
          <w:szCs w:val="32"/>
        </w:rPr>
        <w:t>（三）一般公共预算财政拨款收入支出决算情况说明</w:t>
      </w:r>
    </w:p>
    <w:p>
      <w:pPr>
        <w:pStyle w:val="4"/>
        <w:spacing w:line="555" w:lineRule="atLeast"/>
        <w:ind w:firstLine="645"/>
      </w:pPr>
      <w:r>
        <w:rPr>
          <w:rStyle w:val="7"/>
          <w:rFonts w:hint="eastAsia" w:ascii="方正仿宋_GBK" w:eastAsia="方正仿宋_GBK"/>
          <w:sz w:val="32"/>
          <w:szCs w:val="32"/>
        </w:rPr>
        <w:t>1.收入情况。</w:t>
      </w:r>
      <w:r>
        <w:rPr>
          <w:rFonts w:hint="eastAsia" w:ascii="方正仿宋_GBK" w:eastAsia="方正仿宋_GBK"/>
          <w:sz w:val="32"/>
          <w:szCs w:val="32"/>
        </w:rPr>
        <w:t>2024年度一般公共预算财政拨款收入5287.13万元，较上年决算数增加751.1万元，增长16.56%。主要原因是一是涉及“医疗救助”类项目资金增加，二是2024年度单位新招录3人，人员经费费用增加。较年初预算数减少64.14万元，下降1.20%。主要原因是“医疗救助中央补助资金”追减预算。此外，年初财政拨款结转和结余0万元。</w:t>
      </w:r>
    </w:p>
    <w:p>
      <w:pPr>
        <w:pStyle w:val="4"/>
        <w:spacing w:line="555" w:lineRule="atLeast"/>
        <w:ind w:firstLine="645"/>
      </w:pPr>
      <w:r>
        <w:rPr>
          <w:rStyle w:val="7"/>
          <w:rFonts w:hint="eastAsia" w:ascii="方正仿宋_GBK" w:eastAsia="方正仿宋_GBK"/>
          <w:sz w:val="32"/>
          <w:szCs w:val="32"/>
        </w:rPr>
        <w:t>2.支出情况。</w:t>
      </w:r>
      <w:r>
        <w:rPr>
          <w:rFonts w:hint="eastAsia" w:ascii="方正仿宋_GBK" w:eastAsia="方正仿宋_GBK"/>
          <w:sz w:val="32"/>
          <w:szCs w:val="32"/>
        </w:rPr>
        <w:t>2024年度一般公共预算财政拨款支出5287.13万元，较上年决算数增加751.1万元，增长16.56%。主要原因是一是涉及“医疗救助”类项目资金增加，二是2024年度单位新招录3人，人员经费费用增加。较年初预算数减少64.14万元，下降1.20%。主要原因是“医疗救助中央补助资金”追减预算。</w:t>
      </w:r>
    </w:p>
    <w:p>
      <w:pPr>
        <w:pStyle w:val="4"/>
        <w:spacing w:line="555" w:lineRule="atLeast"/>
        <w:ind w:firstLine="645"/>
      </w:pPr>
      <w:r>
        <w:rPr>
          <w:rStyle w:val="7"/>
          <w:rFonts w:hint="eastAsia" w:ascii="方正仿宋_GBK" w:eastAsia="方正仿宋_GBK"/>
          <w:sz w:val="32"/>
          <w:szCs w:val="32"/>
        </w:rPr>
        <w:t>3.结转结余情况。</w:t>
      </w:r>
      <w:r>
        <w:rPr>
          <w:rFonts w:hint="eastAsia" w:ascii="方正仿宋_GBK" w:eastAsia="方正仿宋_GBK"/>
          <w:sz w:val="32"/>
          <w:szCs w:val="32"/>
        </w:rPr>
        <w:t>2024年度年末一般公共预算财政拨款结转和结余0万元，与上年决算数相比，无变化。</w:t>
      </w:r>
    </w:p>
    <w:p>
      <w:pPr>
        <w:pStyle w:val="4"/>
        <w:spacing w:line="555" w:lineRule="atLeast"/>
        <w:ind w:firstLine="645"/>
      </w:pPr>
      <w:r>
        <w:rPr>
          <w:rStyle w:val="7"/>
          <w:rFonts w:hint="eastAsia" w:ascii="方正仿宋_GBK" w:eastAsia="方正仿宋_GBK"/>
          <w:sz w:val="32"/>
          <w:szCs w:val="32"/>
        </w:rPr>
        <w:t>4.比较情况。</w:t>
      </w:r>
      <w:r>
        <w:rPr>
          <w:rFonts w:hint="eastAsia" w:ascii="方正仿宋_GBK" w:eastAsia="方正仿宋_GBK"/>
          <w:sz w:val="32"/>
          <w:szCs w:val="32"/>
        </w:rPr>
        <w:t>本部门2024年度一般公共预算财政拨款支出主要用于以下几个方面：</w:t>
      </w:r>
    </w:p>
    <w:p>
      <w:pPr>
        <w:pStyle w:val="4"/>
        <w:spacing w:line="555" w:lineRule="atLeast"/>
        <w:ind w:firstLine="645"/>
      </w:pPr>
      <w:r>
        <w:rPr>
          <w:rFonts w:hint="eastAsia" w:ascii="方正仿宋_GBK" w:eastAsia="方正仿宋_GBK"/>
          <w:sz w:val="32"/>
          <w:szCs w:val="32"/>
        </w:rPr>
        <w:t>（1）社会保障与就业支出78.32万元，占1.48%，较年初预算数增加1.69万元，增长27.60%，主要原因是本单位2024年度新招录3人，追加人员经费预算，主要用于社保缴纳。</w:t>
      </w:r>
    </w:p>
    <w:p>
      <w:pPr>
        <w:pStyle w:val="4"/>
        <w:spacing w:line="555" w:lineRule="atLeast"/>
        <w:ind w:firstLine="645"/>
      </w:pPr>
      <w:r>
        <w:rPr>
          <w:rFonts w:hint="eastAsia" w:ascii="方正仿宋_GBK" w:eastAsia="方正仿宋_GBK"/>
          <w:sz w:val="32"/>
          <w:szCs w:val="32"/>
        </w:rPr>
        <w:t>（2）卫生健康支出5169.45万元，占97.77%，较年初预算数减少55.91万元，下降1.07%，主要原因是“医疗救助中央补助资金”追减预算。</w:t>
      </w:r>
    </w:p>
    <w:p>
      <w:pPr>
        <w:pStyle w:val="4"/>
        <w:spacing w:line="555" w:lineRule="atLeast"/>
        <w:ind w:firstLine="645"/>
      </w:pPr>
      <w:r>
        <w:rPr>
          <w:rFonts w:hint="eastAsia" w:ascii="方正仿宋_GBK" w:eastAsia="方正仿宋_GBK"/>
          <w:sz w:val="32"/>
          <w:szCs w:val="32"/>
        </w:rPr>
        <w:t>（3）农林水支出0万元，占0%，较年初预算数减少12.21万元，下降100.0%，主要原因是“衔接推进乡村振兴补助项目”追减预算。</w:t>
      </w:r>
    </w:p>
    <w:p>
      <w:pPr>
        <w:pStyle w:val="4"/>
        <w:spacing w:line="555" w:lineRule="atLeast"/>
        <w:ind w:firstLine="645"/>
      </w:pPr>
      <w:r>
        <w:rPr>
          <w:rFonts w:hint="eastAsia" w:ascii="方正仿宋_GBK" w:eastAsia="方正仿宋_GBK"/>
          <w:sz w:val="32"/>
          <w:szCs w:val="32"/>
        </w:rPr>
        <w:t>（4）住房保障支出39.36万元，占0.74%，较年初预算数增加2.27万元，增长6.12%，主要原因是本单位2024年度新招录3人，追加人员经费预算，主要用于公积金缴纳。</w:t>
      </w:r>
    </w:p>
    <w:p>
      <w:pPr>
        <w:pStyle w:val="4"/>
        <w:spacing w:line="555" w:lineRule="atLeast"/>
        <w:ind w:firstLine="645"/>
      </w:pPr>
      <w:r>
        <w:rPr>
          <w:rStyle w:val="7"/>
          <w:rFonts w:hint="eastAsia" w:ascii="方正楷体_GBK" w:eastAsia="方正楷体_GBK"/>
          <w:sz w:val="32"/>
          <w:szCs w:val="32"/>
        </w:rPr>
        <w:t>（四）一般公共预算财政拨款基本支出决算情况说明</w:t>
      </w:r>
    </w:p>
    <w:p>
      <w:pPr>
        <w:pStyle w:val="4"/>
        <w:spacing w:line="555" w:lineRule="atLeast"/>
        <w:ind w:firstLine="645"/>
      </w:pPr>
      <w:r>
        <w:rPr>
          <w:rFonts w:hint="eastAsia" w:ascii="方正仿宋_GBK" w:eastAsia="方正仿宋_GBK"/>
          <w:sz w:val="32"/>
          <w:szCs w:val="32"/>
        </w:rPr>
        <w:t>2024年度一般公共预算财政拨款基本支出571.9万元。其中：人员经费485.11万元，较上年决算数增加38.74万元，增长8.68%，主要原因是本单位2024年度新招录3人，人员经费费用增加。人员经费用途主要包括工资福利支出“基本工资、津贴补贴、奖金、伙食补助费、机关事业单位基本养老保险费、职业年金缴费、职工基本医疗保险缴费、其他社会保障缴费、住房公积金、医疗费、其他工资福利支出”。公用经费86.79万元，较上年决算数减少2.42万元，下降2.71%，主要原因一是因2023年末在职人员减少，2024年初公用经费预算减少，2024年度新招录人员未增加公用经费预算；二是因年度财政预算管控要求，压减公用经费预算。公用经费用途主要包括商品和服务支出“办公费、水费、 电费、 邮电费、物业管理费、差旅费、维修（护）费、租赁费、公务接待费、工会经费、其他交通费用、其他商品和服务支出”，资本性支出“办公设备购置”。</w:t>
      </w:r>
    </w:p>
    <w:p>
      <w:pPr>
        <w:pStyle w:val="4"/>
        <w:spacing w:line="555" w:lineRule="atLeast"/>
        <w:ind w:firstLine="645"/>
      </w:pPr>
      <w:r>
        <w:rPr>
          <w:rStyle w:val="7"/>
          <w:rFonts w:hint="eastAsia" w:ascii="方正楷体_GBK" w:eastAsia="方正楷体_GBK"/>
          <w:sz w:val="32"/>
          <w:szCs w:val="32"/>
        </w:rPr>
        <w:t>（五）政府性基金预算收支决算情况说明。</w:t>
      </w:r>
    </w:p>
    <w:p>
      <w:pPr>
        <w:pStyle w:val="4"/>
        <w:spacing w:line="555" w:lineRule="atLeast"/>
        <w:ind w:firstLine="645"/>
      </w:pPr>
      <w:r>
        <w:rPr>
          <w:rFonts w:hint="eastAsia" w:ascii="方正仿宋_GBK" w:eastAsia="方正仿宋_GBK"/>
          <w:sz w:val="32"/>
          <w:szCs w:val="32"/>
        </w:rPr>
        <w:t>2024年度政府性基金预算财政拨款年初结转结余0万元，年末结转结余0万元。本年收入66.71万元，较上年决算数增加66.71万元，增长100.0%，主要原因是2024年度新增项目“2024年衔接推进乡村振兴补助项目”即“一事一议”特殊医疗救助资金增加。本年支出66.71万元，较上年决算数增加66.71万元，增长100%，主要原因是2024年度新增项目“2024年衔接推进乡村振兴补助项目”即“一事一议”特殊医疗救助资金增加。</w:t>
      </w:r>
    </w:p>
    <w:p>
      <w:pPr>
        <w:pStyle w:val="4"/>
        <w:spacing w:line="555" w:lineRule="atLeast"/>
        <w:ind w:firstLine="645"/>
      </w:pPr>
      <w:r>
        <w:rPr>
          <w:rStyle w:val="7"/>
          <w:rFonts w:hint="eastAsia" w:ascii="方正楷体_GBK" w:eastAsia="方正楷体_GBK"/>
          <w:sz w:val="32"/>
          <w:szCs w:val="32"/>
        </w:rPr>
        <w:t>（六）国有资本经营预算财政拨款支出决算情况说明。</w:t>
      </w:r>
    </w:p>
    <w:p>
      <w:pPr>
        <w:pStyle w:val="4"/>
        <w:spacing w:line="555" w:lineRule="atLeast"/>
        <w:ind w:firstLine="645"/>
      </w:pPr>
      <w:r>
        <w:rPr>
          <w:rStyle w:val="7"/>
          <w:rFonts w:hint="eastAsia" w:ascii="方正仿宋_GBK" w:eastAsia="方正仿宋_GBK"/>
          <w:sz w:val="32"/>
          <w:szCs w:val="32"/>
        </w:rPr>
        <w:t>本部门2024年度无国有资本经营预算财政拨款支出。</w:t>
      </w:r>
    </w:p>
    <w:p>
      <w:pPr>
        <w:pStyle w:val="4"/>
        <w:spacing w:line="555" w:lineRule="atLeast"/>
        <w:ind w:firstLine="645"/>
      </w:pPr>
      <w:r>
        <w:rPr>
          <w:rStyle w:val="7"/>
          <w:rFonts w:hint="eastAsia" w:ascii="方正黑体_GBK" w:eastAsia="方正黑体_GBK"/>
          <w:sz w:val="32"/>
          <w:szCs w:val="32"/>
        </w:rPr>
        <w:t>三、“三公”经费情况说明</w:t>
      </w:r>
    </w:p>
    <w:p>
      <w:pPr>
        <w:pStyle w:val="4"/>
        <w:spacing w:line="555" w:lineRule="atLeast"/>
        <w:ind w:firstLine="645"/>
      </w:pPr>
      <w:r>
        <w:rPr>
          <w:rStyle w:val="7"/>
          <w:rFonts w:hint="eastAsia" w:ascii="方正楷体_GBK" w:eastAsia="方正楷体_GBK"/>
          <w:sz w:val="32"/>
          <w:szCs w:val="32"/>
        </w:rPr>
        <w:t>（一）“三公”经费支出总体情况说明</w:t>
      </w:r>
    </w:p>
    <w:p>
      <w:pPr>
        <w:pStyle w:val="4"/>
        <w:spacing w:line="555" w:lineRule="atLeast"/>
        <w:ind w:firstLine="645"/>
      </w:pPr>
      <w:r>
        <w:rPr>
          <w:rFonts w:hint="eastAsia" w:ascii="方正仿宋_GBK" w:eastAsia="方正仿宋_GBK"/>
          <w:sz w:val="32"/>
          <w:szCs w:val="32"/>
        </w:rPr>
        <w:t>2024年度“三公”经费支出共计6.49万元，较年初预算数减少1.01万元，下降13.47%，主要原因是公务车为新能源车，车辆运行维护成本降低。较上年支出数减少1万元，下降13.35%，主要原因是公务车为新能源车，车辆运行维护成本降低。。</w:t>
      </w:r>
    </w:p>
    <w:p>
      <w:pPr>
        <w:pStyle w:val="4"/>
        <w:spacing w:line="555" w:lineRule="atLeast"/>
        <w:ind w:firstLine="645"/>
      </w:pPr>
      <w:r>
        <w:rPr>
          <w:rStyle w:val="7"/>
          <w:rFonts w:hint="eastAsia" w:ascii="方正楷体_GBK" w:eastAsia="方正楷体_GBK"/>
          <w:sz w:val="32"/>
          <w:szCs w:val="32"/>
        </w:rPr>
        <w:t>（二）“三公”经费分项支出情况</w:t>
      </w:r>
    </w:p>
    <w:p>
      <w:pPr>
        <w:pStyle w:val="4"/>
        <w:spacing w:line="555" w:lineRule="atLeast"/>
        <w:ind w:firstLine="645"/>
      </w:pPr>
      <w:r>
        <w:rPr>
          <w:rFonts w:hint="eastAsia" w:ascii="方正仿宋_GBK" w:eastAsia="方正仿宋_GBK"/>
          <w:sz w:val="32"/>
          <w:szCs w:val="32"/>
        </w:rPr>
        <w:t>2024年度本部门因公出国（境）费用0万元，</w:t>
      </w:r>
      <w:r>
        <w:rPr>
          <w:rStyle w:val="7"/>
          <w:rFonts w:hint="eastAsia" w:ascii="方正仿宋_GBK" w:eastAsia="方正仿宋_GBK"/>
          <w:sz w:val="32"/>
          <w:szCs w:val="32"/>
        </w:rPr>
        <w:t>本单位2024年度未发生</w:t>
      </w:r>
      <w:r>
        <w:rPr>
          <w:rFonts w:hint="eastAsia" w:ascii="方正仿宋_GBK" w:eastAsia="方正仿宋_GBK"/>
          <w:sz w:val="32"/>
          <w:szCs w:val="32"/>
        </w:rPr>
        <w:t>因公出国（境）费用</w:t>
      </w:r>
      <w:r>
        <w:rPr>
          <w:rStyle w:val="7"/>
          <w:rFonts w:hint="eastAsia" w:ascii="方正仿宋_GBK" w:eastAsia="方正仿宋_GBK"/>
          <w:sz w:val="32"/>
          <w:szCs w:val="32"/>
        </w:rPr>
        <w:t>支出</w:t>
      </w:r>
      <w:r>
        <w:rPr>
          <w:rFonts w:hint="eastAsia" w:ascii="方正仿宋_GBK" w:eastAsia="方正仿宋_GBK"/>
          <w:sz w:val="32"/>
          <w:szCs w:val="32"/>
        </w:rPr>
        <w:t>。</w:t>
      </w:r>
    </w:p>
    <w:p>
      <w:pPr>
        <w:pStyle w:val="4"/>
        <w:spacing w:line="555" w:lineRule="atLeast"/>
        <w:ind w:firstLine="645"/>
      </w:pPr>
      <w:r>
        <w:rPr>
          <w:rFonts w:hint="eastAsia" w:ascii="方正仿宋_GBK" w:eastAsia="方正仿宋_GBK"/>
          <w:sz w:val="32"/>
          <w:szCs w:val="32"/>
        </w:rPr>
        <w:t>公务车购置费0万元，</w:t>
      </w:r>
      <w:r>
        <w:rPr>
          <w:rStyle w:val="7"/>
          <w:rFonts w:hint="eastAsia" w:ascii="方正仿宋_GBK" w:eastAsia="方正仿宋_GBK"/>
          <w:sz w:val="32"/>
          <w:szCs w:val="32"/>
        </w:rPr>
        <w:t>本单位2024年度未发生</w:t>
      </w:r>
      <w:r>
        <w:rPr>
          <w:rFonts w:hint="eastAsia" w:ascii="方正仿宋_GBK" w:eastAsia="方正仿宋_GBK"/>
          <w:sz w:val="32"/>
          <w:szCs w:val="32"/>
        </w:rPr>
        <w:t>公务车购置费</w:t>
      </w:r>
      <w:r>
        <w:rPr>
          <w:rStyle w:val="7"/>
          <w:rFonts w:hint="eastAsia" w:ascii="方正仿宋_GBK" w:eastAsia="方正仿宋_GBK"/>
          <w:sz w:val="32"/>
          <w:szCs w:val="32"/>
        </w:rPr>
        <w:t>支出</w:t>
      </w:r>
      <w:r>
        <w:rPr>
          <w:rFonts w:hint="eastAsia" w:ascii="方正仿宋_GBK" w:eastAsia="方正仿宋_GBK"/>
          <w:sz w:val="32"/>
          <w:szCs w:val="32"/>
        </w:rPr>
        <w:t>。</w:t>
      </w:r>
    </w:p>
    <w:p>
      <w:pPr>
        <w:pStyle w:val="4"/>
        <w:spacing w:line="555" w:lineRule="atLeast"/>
        <w:ind w:firstLine="645"/>
      </w:pPr>
      <w:r>
        <w:rPr>
          <w:rFonts w:hint="eastAsia" w:ascii="方正仿宋_GBK" w:eastAsia="方正仿宋_GBK"/>
          <w:sz w:val="32"/>
          <w:szCs w:val="32"/>
        </w:rPr>
        <w:t>公务车运行维护费3.51万元，主要用于公务车运行维护。费用支出较年初预算数减少0.99万元，下降22.0%，主要原因是公务车为新能源车，车辆运行维护成本降低。较上年支出数减少0.99万元，下降22.0%，主要原因是公务车为新能源车，车辆运行维护成本降低。</w:t>
      </w:r>
    </w:p>
    <w:p>
      <w:pPr>
        <w:pStyle w:val="4"/>
        <w:spacing w:line="555" w:lineRule="atLeast"/>
        <w:ind w:firstLine="645"/>
      </w:pPr>
      <w:r>
        <w:rPr>
          <w:rFonts w:hint="eastAsia" w:ascii="方正仿宋_GBK" w:eastAsia="方正仿宋_GBK"/>
          <w:sz w:val="32"/>
          <w:szCs w:val="32"/>
        </w:rPr>
        <w:t>公务接待费2.98万元，主要用于接待相关部门检查指导工作发生的接待支出、单位组织培训安排相关参会人员就餐支出。费用支出较年初预算数0.02万元，下降0.67%，主要原因是认真贯彻落实中央八项规定精神和厉行节约要求，强化公务接待支出管理，严格遵守公务接待开支范围和开支标准，严格控制陪餐人数。较上年支出数减少0.01万元，下降0.33%，主要原因是认真贯彻落实中央八项规定</w:t>
      </w:r>
      <w:bookmarkStart w:id="0" w:name="_GoBack"/>
      <w:bookmarkEnd w:id="0"/>
      <w:r>
        <w:rPr>
          <w:rFonts w:hint="eastAsia" w:ascii="方正仿宋_GBK" w:eastAsia="方正仿宋_GBK"/>
          <w:sz w:val="32"/>
          <w:szCs w:val="32"/>
        </w:rPr>
        <w:t>精神和厉行节约要求，强化公务接待支出管理，严格遵守公务接待开支范围和开支标准，严格控制陪餐人数。</w:t>
      </w:r>
    </w:p>
    <w:p>
      <w:pPr>
        <w:pStyle w:val="4"/>
        <w:spacing w:line="555" w:lineRule="atLeast"/>
        <w:ind w:firstLine="645"/>
      </w:pPr>
      <w:r>
        <w:rPr>
          <w:rStyle w:val="7"/>
          <w:rFonts w:hint="eastAsia" w:ascii="方正楷体_GBK" w:eastAsia="方正楷体_GBK"/>
          <w:sz w:val="32"/>
          <w:szCs w:val="32"/>
        </w:rPr>
        <w:t>（三）“三公”经费实物量情况</w:t>
      </w:r>
    </w:p>
    <w:p>
      <w:pPr>
        <w:pStyle w:val="4"/>
        <w:spacing w:line="555" w:lineRule="atLeast"/>
        <w:ind w:firstLine="645"/>
      </w:pPr>
      <w:r>
        <w:rPr>
          <w:rFonts w:hint="eastAsia" w:ascii="方正仿宋_GBK" w:eastAsia="方正仿宋_GBK"/>
          <w:sz w:val="32"/>
          <w:szCs w:val="32"/>
        </w:rPr>
        <w:t>2024年度本部门因公出国（境）共计0个团组，0人；公务用车购置0辆，公务车保有量为1辆；国内公务接待20批次425人，其中：国内外事接待0批次，0人；国（境）外公务接待0批次，0人。2024年本部门人均接待费70.12元，车均购置费0万元，车均维护费3.51万元。</w:t>
      </w:r>
    </w:p>
    <w:p>
      <w:pPr>
        <w:pStyle w:val="4"/>
        <w:spacing w:line="555" w:lineRule="atLeast"/>
        <w:ind w:firstLine="645"/>
      </w:pPr>
      <w:r>
        <w:rPr>
          <w:rStyle w:val="7"/>
          <w:rFonts w:hint="eastAsia" w:ascii="方正黑体_GBK" w:eastAsia="方正黑体_GBK"/>
          <w:sz w:val="32"/>
          <w:szCs w:val="32"/>
        </w:rPr>
        <w:t>四、其他需要说明的事项</w:t>
      </w:r>
    </w:p>
    <w:p>
      <w:pPr>
        <w:pStyle w:val="4"/>
        <w:spacing w:line="555" w:lineRule="atLeast"/>
        <w:ind w:firstLine="645"/>
      </w:pPr>
      <w:r>
        <w:rPr>
          <w:rStyle w:val="7"/>
          <w:rFonts w:hint="eastAsia" w:ascii="方正楷体_GBK" w:eastAsia="方正楷体_GBK"/>
          <w:sz w:val="32"/>
          <w:szCs w:val="32"/>
        </w:rPr>
        <w:t>（一）财政拨款会议费和培训费情况说明</w:t>
      </w:r>
    </w:p>
    <w:p>
      <w:pPr>
        <w:pStyle w:val="4"/>
        <w:spacing w:line="555" w:lineRule="atLeast"/>
        <w:ind w:firstLine="645"/>
      </w:pPr>
      <w:r>
        <w:rPr>
          <w:rFonts w:hint="eastAsia" w:ascii="方正仿宋_GBK" w:eastAsia="方正仿宋_GBK"/>
          <w:sz w:val="32"/>
          <w:szCs w:val="32"/>
        </w:rPr>
        <w:t>本年度会议费支出0.98万元，较上年决算数增加0.98万元，增长100.0%，主要原因是受年度重点工作推进需求影响，2024年度召开会议频次增加，相关费用增加。本年度培训费支出8.13万元，较上年决算数减少15.76万元，下降65.97%，主要原因是2024年度结合工作实际需求调整培训计划，取消阶段性非核心业务培训，有效缩减了培训费支出规模。</w:t>
      </w:r>
    </w:p>
    <w:p>
      <w:pPr>
        <w:pStyle w:val="4"/>
        <w:spacing w:line="555" w:lineRule="atLeast"/>
        <w:ind w:firstLine="645"/>
      </w:pPr>
      <w:r>
        <w:rPr>
          <w:rStyle w:val="7"/>
          <w:rFonts w:hint="eastAsia" w:ascii="方正楷体_GBK" w:eastAsia="方正楷体_GBK"/>
          <w:sz w:val="32"/>
          <w:szCs w:val="32"/>
        </w:rPr>
        <w:t>（二）机关运行经费支出情况说明</w:t>
      </w:r>
    </w:p>
    <w:p>
      <w:pPr>
        <w:pStyle w:val="4"/>
        <w:spacing w:line="555" w:lineRule="atLeast"/>
        <w:ind w:firstLine="645"/>
      </w:pPr>
      <w:r>
        <w:rPr>
          <w:rFonts w:hint="eastAsia" w:ascii="方正仿宋_GBK" w:eastAsia="方正仿宋_GBK"/>
          <w:sz w:val="32"/>
          <w:szCs w:val="32"/>
        </w:rPr>
        <w:t>2024年度本部门机关运行经费支出86.79万元，主要用于开支商品和服务支出“办公费、水费、 电费、 邮电费、物业管理费、差旅费、维修（护）费、培训费、公务接待费、工会经费、公务车运行维护费、其他交通费用、其他商品和服务支出”。机关运行经费较上年决算数减少2.42万元，下降2.71%，主要原因是一是因2023年末在职人员减少，2024年初公用经费预算减少，2024年新招录人员未增加公用经费预算；二是因年度财政预算管控要求，压减公用经费预算。</w:t>
      </w:r>
    </w:p>
    <w:p>
      <w:pPr>
        <w:pStyle w:val="4"/>
        <w:spacing w:line="555" w:lineRule="atLeast"/>
        <w:ind w:firstLine="645"/>
      </w:pPr>
      <w:r>
        <w:rPr>
          <w:rStyle w:val="7"/>
          <w:rFonts w:hint="eastAsia" w:ascii="方正楷体_GBK" w:eastAsia="方正楷体_GBK"/>
          <w:sz w:val="32"/>
          <w:szCs w:val="32"/>
        </w:rPr>
        <w:t>（三）国有资产占用情况说明</w:t>
      </w:r>
    </w:p>
    <w:p>
      <w:pPr>
        <w:pStyle w:val="4"/>
        <w:spacing w:line="555" w:lineRule="atLeast"/>
        <w:ind w:firstLine="645"/>
      </w:pPr>
      <w:r>
        <w:rPr>
          <w:rFonts w:hint="eastAsia" w:ascii="方正仿宋_GBK" w:eastAsia="方正仿宋_GBK"/>
          <w:sz w:val="32"/>
          <w:szCs w:val="32"/>
        </w:rPr>
        <w:t>截至2024年12月31日，本部门共有车辆1辆，其中，副部（省）级及以上领导用车0辆、主要领导干部用车0辆、机要通信用车0辆、应急保障用车1辆、执法执勤用车0辆，特种专业技术用车0辆，离退休干部用车0辆，其他用车0辆。单价100万元（含）以上设备（不含车辆）0（套）。</w:t>
      </w:r>
    </w:p>
    <w:p>
      <w:pPr>
        <w:pStyle w:val="4"/>
        <w:spacing w:line="555" w:lineRule="atLeast"/>
        <w:ind w:firstLine="645"/>
      </w:pPr>
      <w:r>
        <w:rPr>
          <w:rStyle w:val="7"/>
          <w:rFonts w:hint="eastAsia" w:ascii="方正楷体_GBK" w:eastAsia="方正楷体_GBK"/>
          <w:sz w:val="32"/>
          <w:szCs w:val="32"/>
        </w:rPr>
        <w:t>（四）政府采购支出说明</w:t>
      </w:r>
    </w:p>
    <w:p>
      <w:pPr>
        <w:pStyle w:val="4"/>
        <w:spacing w:line="555" w:lineRule="atLeast"/>
        <w:ind w:firstLine="645"/>
      </w:pPr>
      <w:r>
        <w:rPr>
          <w:rStyle w:val="7"/>
          <w:rFonts w:hint="eastAsia" w:ascii="方正仿宋_GBK" w:eastAsia="方正仿宋_GBK"/>
          <w:sz w:val="32"/>
          <w:szCs w:val="32"/>
        </w:rPr>
        <w:t>2024年度我单位未发生政府采购事项，无相关经费支出。</w:t>
      </w:r>
    </w:p>
    <w:p>
      <w:pPr>
        <w:pStyle w:val="4"/>
        <w:spacing w:line="555" w:lineRule="atLeast"/>
        <w:ind w:firstLine="645"/>
      </w:pPr>
      <w:r>
        <w:rPr>
          <w:rStyle w:val="7"/>
          <w:rFonts w:hint="eastAsia" w:ascii="方正黑体_GBK" w:eastAsia="方正黑体_GBK"/>
          <w:sz w:val="32"/>
          <w:szCs w:val="32"/>
        </w:rPr>
        <w:t>五、专业名词解释</w:t>
      </w:r>
    </w:p>
    <w:p>
      <w:pPr>
        <w:pStyle w:val="4"/>
        <w:spacing w:line="555" w:lineRule="atLeast"/>
        <w:ind w:firstLine="645"/>
      </w:pPr>
      <w:r>
        <w:rPr>
          <w:rStyle w:val="7"/>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pPr>
        <w:pStyle w:val="4"/>
        <w:spacing w:line="555" w:lineRule="atLeast"/>
        <w:ind w:firstLine="645"/>
      </w:pPr>
      <w:r>
        <w:rPr>
          <w:rStyle w:val="7"/>
          <w:rFonts w:hint="eastAsia" w:ascii="方正楷体_GBK" w:eastAsia="方正楷体_GBK"/>
          <w:sz w:val="32"/>
          <w:szCs w:val="32"/>
        </w:rPr>
        <w:t>（二）事业收入：</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pPr>
        <w:pStyle w:val="4"/>
        <w:spacing w:line="555" w:lineRule="atLeast"/>
        <w:ind w:firstLine="645"/>
      </w:pPr>
      <w:r>
        <w:rPr>
          <w:rStyle w:val="7"/>
          <w:rFonts w:hint="eastAsia" w:ascii="方正楷体_GBK" w:eastAsia="方正楷体_GBK"/>
          <w:sz w:val="32"/>
          <w:szCs w:val="32"/>
        </w:rPr>
        <w:t>（三）经营收入：</w:t>
      </w:r>
      <w:r>
        <w:rPr>
          <w:rFonts w:hint="eastAsia" w:ascii="方正仿宋_GBK" w:eastAsia="方正仿宋_GBK"/>
          <w:sz w:val="32"/>
          <w:szCs w:val="32"/>
        </w:rPr>
        <w:t>指事业单位在专业业务活动及其辅助活动之外开展非独立核算经营活动取得的现金流入。</w:t>
      </w:r>
    </w:p>
    <w:p>
      <w:pPr>
        <w:pStyle w:val="4"/>
        <w:spacing w:line="555" w:lineRule="atLeast"/>
        <w:ind w:firstLine="645"/>
      </w:pPr>
      <w:r>
        <w:rPr>
          <w:rStyle w:val="7"/>
          <w:rFonts w:hint="eastAsia" w:ascii="方正楷体_GBK" w:eastAsia="方正楷体_GBK"/>
          <w:sz w:val="32"/>
          <w:szCs w:val="32"/>
        </w:rPr>
        <w:t>（四）其他收入：</w:t>
      </w:r>
      <w:r>
        <w:rPr>
          <w:rFonts w:hint="eastAsia"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spacing w:line="555" w:lineRule="atLeast"/>
        <w:ind w:firstLine="645"/>
      </w:pPr>
      <w:r>
        <w:rPr>
          <w:rStyle w:val="7"/>
          <w:rFonts w:hint="eastAsia" w:ascii="方正楷体_GBK" w:eastAsia="方正楷体_GBK"/>
          <w:sz w:val="32"/>
          <w:szCs w:val="32"/>
        </w:rPr>
        <w:t>（五）使用非财政拨款结余：</w:t>
      </w:r>
      <w:r>
        <w:rPr>
          <w:rFonts w:hint="eastAsia"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pStyle w:val="4"/>
        <w:spacing w:line="555" w:lineRule="atLeast"/>
        <w:ind w:firstLine="645"/>
      </w:pPr>
      <w:r>
        <w:rPr>
          <w:rStyle w:val="7"/>
          <w:rFonts w:hint="eastAsia" w:ascii="方正楷体_GBK" w:eastAsia="方正楷体_GBK"/>
          <w:sz w:val="32"/>
          <w:szCs w:val="32"/>
        </w:rPr>
        <w:t>（六）年初结转和结余：</w:t>
      </w:r>
      <w:r>
        <w:rPr>
          <w:rFonts w:hint="eastAsia" w:ascii="方正仿宋_GBK" w:eastAsia="方正仿宋_GBK"/>
          <w:sz w:val="32"/>
          <w:szCs w:val="32"/>
        </w:rPr>
        <w:t>指单位上年结转本年使用的基本支出结转、项目支出结转和结余、经营结余。</w:t>
      </w:r>
    </w:p>
    <w:p>
      <w:pPr>
        <w:pStyle w:val="4"/>
        <w:spacing w:line="555" w:lineRule="atLeast"/>
        <w:ind w:firstLine="645"/>
      </w:pPr>
      <w:r>
        <w:rPr>
          <w:rStyle w:val="7"/>
          <w:rFonts w:hint="eastAsia" w:ascii="方正楷体_GBK" w:eastAsia="方正楷体_GBK"/>
          <w:sz w:val="32"/>
          <w:szCs w:val="32"/>
        </w:rPr>
        <w:t>（七）结余分配：</w:t>
      </w:r>
      <w:r>
        <w:rPr>
          <w:rFonts w:hint="eastAsia" w:ascii="方正仿宋_GBK" w:eastAsia="方正仿宋_GBK"/>
          <w:sz w:val="32"/>
          <w:szCs w:val="32"/>
        </w:rPr>
        <w:t>指单位按照国家有关规定，缴纳所得税、提取专用基金、转入非财政拨款结余等当年结余的分配情况。</w:t>
      </w:r>
    </w:p>
    <w:p>
      <w:pPr>
        <w:pStyle w:val="4"/>
        <w:spacing w:line="555" w:lineRule="atLeast"/>
        <w:ind w:firstLine="645"/>
      </w:pPr>
      <w:r>
        <w:rPr>
          <w:rStyle w:val="7"/>
          <w:rFonts w:hint="eastAsia" w:ascii="方正楷体_GBK" w:eastAsia="方正楷体_GBK"/>
          <w:sz w:val="32"/>
          <w:szCs w:val="32"/>
        </w:rPr>
        <w:t>（八）年末结转和结余：</w:t>
      </w:r>
      <w:r>
        <w:rPr>
          <w:rFonts w:hint="eastAsia" w:ascii="方正仿宋_GBK" w:eastAsia="方正仿宋_GBK"/>
          <w:sz w:val="32"/>
          <w:szCs w:val="32"/>
        </w:rPr>
        <w:t>指单位结转下年的基本支出结转、项目支出结转和结余、经营结余。</w:t>
      </w:r>
    </w:p>
    <w:p>
      <w:pPr>
        <w:pStyle w:val="4"/>
        <w:spacing w:line="555" w:lineRule="atLeast"/>
        <w:ind w:firstLine="645"/>
      </w:pPr>
      <w:r>
        <w:rPr>
          <w:rStyle w:val="7"/>
          <w:rFonts w:hint="eastAsia" w:ascii="方正楷体_GBK" w:eastAsia="方正楷体_GBK"/>
          <w:sz w:val="32"/>
          <w:szCs w:val="32"/>
        </w:rPr>
        <w:t>（九）基本支出：</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spacing w:line="555" w:lineRule="atLeast"/>
        <w:ind w:firstLine="645"/>
      </w:pPr>
      <w:r>
        <w:rPr>
          <w:rStyle w:val="7"/>
          <w:rFonts w:hint="eastAsia" w:ascii="方正楷体_GBK" w:eastAsia="方正楷体_GBK"/>
          <w:sz w:val="32"/>
          <w:szCs w:val="32"/>
        </w:rPr>
        <w:t>（十）项目支出：</w:t>
      </w:r>
      <w:r>
        <w:rPr>
          <w:rFonts w:hint="eastAsia" w:ascii="方正仿宋_GBK" w:eastAsia="方正仿宋_GBK"/>
          <w:sz w:val="32"/>
          <w:szCs w:val="32"/>
        </w:rPr>
        <w:t>指在基本支出之外为完成特定行政任务和事业发展目标所发生的支出。</w:t>
      </w:r>
    </w:p>
    <w:p>
      <w:pPr>
        <w:pStyle w:val="4"/>
        <w:spacing w:line="555" w:lineRule="atLeast"/>
        <w:ind w:firstLine="645"/>
      </w:pPr>
      <w:r>
        <w:rPr>
          <w:rStyle w:val="7"/>
          <w:rFonts w:hint="eastAsia" w:ascii="方正楷体_GBK" w:eastAsia="方正楷体_GBK"/>
          <w:sz w:val="32"/>
          <w:szCs w:val="32"/>
        </w:rPr>
        <w:t>（十一）经营支出：</w:t>
      </w:r>
      <w:r>
        <w:rPr>
          <w:rFonts w:hint="eastAsia" w:ascii="方正仿宋_GBK" w:eastAsia="方正仿宋_GBK"/>
          <w:sz w:val="32"/>
          <w:szCs w:val="32"/>
        </w:rPr>
        <w:t>指事业单位在专业业务活动及其辅助活动之外开展非独立核算经营活动发生的支出。</w:t>
      </w:r>
    </w:p>
    <w:p>
      <w:pPr>
        <w:pStyle w:val="4"/>
        <w:spacing w:line="555" w:lineRule="atLeast"/>
        <w:ind w:firstLine="645"/>
      </w:pPr>
      <w:r>
        <w:rPr>
          <w:rStyle w:val="7"/>
          <w:rFonts w:hint="eastAsia" w:ascii="方正楷体_GBK" w:eastAsia="方正楷体_GBK"/>
          <w:sz w:val="32"/>
          <w:szCs w:val="32"/>
        </w:rPr>
        <w:t>（十二）“三公”经费：</w:t>
      </w:r>
      <w:r>
        <w:rPr>
          <w:rFonts w:hint="eastAsia" w:ascii="方正仿宋_GBK" w:eastAsia="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spacing w:line="555" w:lineRule="atLeast"/>
        <w:ind w:firstLine="645"/>
      </w:pPr>
      <w:r>
        <w:rPr>
          <w:rStyle w:val="7"/>
          <w:rFonts w:hint="eastAsia" w:ascii="方正楷体_GBK" w:eastAsia="方正楷体_GBK"/>
          <w:sz w:val="32"/>
          <w:szCs w:val="32"/>
        </w:rPr>
        <w:t>（十三）机关运行经费：</w:t>
      </w:r>
      <w:r>
        <w:rPr>
          <w:rFonts w:hint="eastAsia"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spacing w:line="555" w:lineRule="atLeast"/>
        <w:ind w:firstLine="645"/>
      </w:pPr>
      <w:r>
        <w:rPr>
          <w:rStyle w:val="7"/>
          <w:rFonts w:hint="eastAsia" w:ascii="方正楷体_GBK" w:eastAsia="方正楷体_GBK"/>
          <w:sz w:val="32"/>
          <w:szCs w:val="32"/>
        </w:rPr>
        <w:t>（十四）工资福利支出（支出经济分类科目类级）：</w:t>
      </w:r>
      <w:r>
        <w:rPr>
          <w:rFonts w:hint="eastAsia" w:ascii="方正仿宋_GBK" w:eastAsia="方正仿宋_GBK"/>
          <w:sz w:val="32"/>
          <w:szCs w:val="32"/>
        </w:rPr>
        <w:t>反映单位开支的在职职工和编制外长期聘用人员的各类劳动报酬，以及为上述人员缴纳的各项社会保险费等。</w:t>
      </w:r>
    </w:p>
    <w:p>
      <w:pPr>
        <w:pStyle w:val="4"/>
        <w:spacing w:line="555" w:lineRule="atLeast"/>
        <w:ind w:firstLine="645"/>
      </w:pPr>
      <w:r>
        <w:rPr>
          <w:rStyle w:val="7"/>
          <w:rFonts w:hint="eastAsia" w:ascii="方正楷体_GBK" w:eastAsia="方正楷体_GBK"/>
          <w:sz w:val="32"/>
          <w:szCs w:val="32"/>
        </w:rPr>
        <w:t>（十五）商品和服务支出（支出经济分类科目类级）：</w:t>
      </w:r>
      <w:r>
        <w:rPr>
          <w:rFonts w:hint="eastAsia" w:ascii="方正仿宋_GBK" w:eastAsia="方正仿宋_GBK"/>
          <w:sz w:val="32"/>
          <w:szCs w:val="32"/>
        </w:rPr>
        <w:t>反映单位购买商品和服务的支出（不包括用于购置固定资产的支出、战略性和应急储备支出）。</w:t>
      </w:r>
    </w:p>
    <w:p>
      <w:pPr>
        <w:pStyle w:val="4"/>
        <w:spacing w:line="555" w:lineRule="atLeast"/>
        <w:ind w:firstLine="645"/>
      </w:pPr>
      <w:r>
        <w:rPr>
          <w:rStyle w:val="7"/>
          <w:rFonts w:hint="eastAsia" w:ascii="方正楷体_GBK" w:eastAsia="方正楷体_GBK"/>
          <w:sz w:val="32"/>
          <w:szCs w:val="32"/>
        </w:rPr>
        <w:t>（十六）对个人和家庭的补助（支出经济分类科目类级）：</w:t>
      </w:r>
      <w:r>
        <w:rPr>
          <w:rFonts w:hint="eastAsia" w:ascii="方正仿宋_GBK" w:eastAsia="方正仿宋_GBK"/>
          <w:sz w:val="32"/>
          <w:szCs w:val="32"/>
        </w:rPr>
        <w:t>反映用于对个人和家庭的补助支出。</w:t>
      </w:r>
    </w:p>
    <w:p>
      <w:pPr>
        <w:pStyle w:val="4"/>
        <w:spacing w:line="555" w:lineRule="atLeast"/>
        <w:ind w:firstLine="645"/>
      </w:pPr>
      <w:r>
        <w:rPr>
          <w:rStyle w:val="7"/>
          <w:rFonts w:hint="eastAsia" w:ascii="方正楷体_GBK" w:eastAsia="方正楷体_GBK"/>
          <w:sz w:val="32"/>
          <w:szCs w:val="32"/>
        </w:rPr>
        <w:t>（十七）其他资本性支出（支出经济分类科目类级）：</w:t>
      </w:r>
      <w:r>
        <w:rPr>
          <w:rFonts w:hint="eastAsia"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pStyle w:val="4"/>
        <w:spacing w:line="555" w:lineRule="atLeast"/>
        <w:ind w:firstLine="645"/>
      </w:pPr>
      <w:r>
        <w:rPr>
          <w:rStyle w:val="7"/>
          <w:rFonts w:hint="eastAsia" w:ascii="方正黑体_GBK" w:eastAsia="方正黑体_GBK"/>
          <w:sz w:val="32"/>
          <w:szCs w:val="32"/>
        </w:rPr>
        <w:t>六、决算公开联系方式及信息反馈渠道</w:t>
      </w:r>
    </w:p>
    <w:p>
      <w:pPr>
        <w:pStyle w:val="4"/>
        <w:spacing w:line="555" w:lineRule="atLeast"/>
        <w:ind w:firstLine="645"/>
      </w:pPr>
      <w:r>
        <w:rPr>
          <w:rFonts w:hint="eastAsia" w:ascii="方正仿宋_GBK" w:eastAsia="方正仿宋_GBK"/>
          <w:sz w:val="32"/>
          <w:szCs w:val="32"/>
        </w:rPr>
        <w:t>本单位决算公开信息反馈和联系方式：</w:t>
      </w:r>
    </w:p>
    <w:p>
      <w:pPr>
        <w:pStyle w:val="4"/>
        <w:spacing w:line="555" w:lineRule="atLeast"/>
        <w:ind w:firstLine="645"/>
      </w:pPr>
      <w:r>
        <w:rPr>
          <w:rFonts w:hint="eastAsia" w:ascii="方正仿宋_GBK" w:eastAsia="方正仿宋_GBK"/>
          <w:sz w:val="32"/>
          <w:szCs w:val="32"/>
        </w:rPr>
        <w:t xml:space="preserve"> 023-78442919</w:t>
      </w:r>
      <w:r>
        <w:rPr>
          <w:rFonts w:hint="eastAsia" w:ascii="MS Mincho" w:hAnsi="MS Mincho" w:eastAsia="MS Mincho" w:cs="MS Mincho"/>
          <w:sz w:val="32"/>
          <w:szCs w:val="32"/>
        </w:rPr>
        <w:t>   </w:t>
      </w:r>
      <w:r>
        <w:rPr>
          <w:rFonts w:hint="eastAsia" w:ascii="方正仿宋_GBK" w:eastAsia="方正仿宋_GBK"/>
          <w:sz w:val="32"/>
          <w:szCs w:val="32"/>
        </w:rPr>
        <w:t>联系人：彭水自治县医疗保障局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mZDZlM2IzNmY5MGRlZWU5MGI2ODY5ZGVjYjVmOGQifQ=="/>
  </w:docVars>
  <w:rsids>
    <w:rsidRoot w:val="00D339C2"/>
    <w:rsid w:val="00873E63"/>
    <w:rsid w:val="00D339C2"/>
    <w:rsid w:val="4B6743B5"/>
    <w:rsid w:val="79790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4831</Words>
  <Characters>5337</Characters>
  <Lines>38</Lines>
  <Paragraphs>10</Paragraphs>
  <TotalTime>6</TotalTime>
  <ScaleCrop>false</ScaleCrop>
  <LinksUpToDate>false</LinksUpToDate>
  <CharactersWithSpaces>5342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2025-10-23T08:47:00Z</dcterms:created>
  <dc:creator>王雪莲</dc:creator>
  <cp:lastModifiedBy>Administrator</cp:lastModifiedBy>
  <dcterms:modified xsi:type="dcterms:W3CDTF">2025-10-28T06:20:01Z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EEF22E2DCDF645F497B570FB1FCF0295_12</vt:lpwstr>
  </property>
</Properties>
</file>