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华文中宋" w:hAnsi="华文中宋" w:eastAsia="华文中宋"/>
          <w:sz w:val="36"/>
          <w:szCs w:val="36"/>
        </w:rPr>
      </w:pPr>
      <w:r>
        <w:rPr>
          <w:rFonts w:hint="eastAsia" w:ascii="华文中宋" w:hAnsi="华文中宋" w:eastAsia="华文中宋"/>
          <w:sz w:val="36"/>
          <w:szCs w:val="36"/>
        </w:rPr>
        <w:t>202</w:t>
      </w:r>
      <w:r>
        <w:rPr>
          <w:rFonts w:hint="eastAsia" w:ascii="华文中宋" w:hAnsi="华文中宋" w:eastAsia="华文中宋"/>
          <w:dstrike w:val="0"/>
          <w:sz w:val="36"/>
          <w:szCs w:val="36"/>
          <w:lang w:val="en-US" w:eastAsia="zh-CN"/>
        </w:rPr>
        <w:t>4</w:t>
      </w:r>
      <w:r>
        <w:rPr>
          <w:rFonts w:hint="eastAsia" w:ascii="华文中宋" w:hAnsi="华文中宋" w:eastAsia="华文中宋"/>
          <w:sz w:val="36"/>
          <w:szCs w:val="36"/>
        </w:rPr>
        <w:t>年度部门决算分析报告撰写提纲</w:t>
      </w:r>
    </w:p>
    <w:p>
      <w:pPr>
        <w:snapToGrid w:val="0"/>
        <w:jc w:val="center"/>
        <w:outlineLvl w:val="0"/>
        <w:rPr>
          <w:rFonts w:ascii="华文中宋" w:hAnsi="华文中宋" w:eastAsia="华文中宋"/>
          <w:sz w:val="36"/>
          <w:szCs w:val="36"/>
        </w:rPr>
      </w:pPr>
      <w:r>
        <w:rPr>
          <w:rFonts w:hint="eastAsia" w:ascii="华文中宋" w:hAnsi="华文中宋" w:eastAsia="华文中宋"/>
          <w:sz w:val="36"/>
          <w:szCs w:val="36"/>
        </w:rPr>
        <w:t>（部门汇总版）</w:t>
      </w:r>
    </w:p>
    <w:p>
      <w:pPr>
        <w:snapToGrid w:val="0"/>
        <w:jc w:val="center"/>
        <w:rPr>
          <w:rFonts w:ascii="华文中宋" w:hAnsi="华文中宋" w:eastAsia="华文中宋"/>
          <w:sz w:val="36"/>
          <w:szCs w:val="36"/>
        </w:rPr>
      </w:pPr>
    </w:p>
    <w:p>
      <w:pPr>
        <w:snapToGrid w:val="0"/>
        <w:spacing w:line="520" w:lineRule="exact"/>
        <w:ind w:firstLine="640" w:firstLineChars="200"/>
        <w:rPr>
          <w:rFonts w:ascii="黑体" w:hAnsi="黑体" w:eastAsia="黑体"/>
          <w:sz w:val="32"/>
          <w:szCs w:val="32"/>
        </w:rPr>
      </w:pPr>
      <w:bookmarkStart w:id="0" w:name="YS060101"/>
      <w:r>
        <w:rPr>
          <w:rFonts w:hint="eastAsia" w:ascii="黑体" w:hAnsi="黑体" w:eastAsia="黑体"/>
          <w:sz w:val="32"/>
          <w:szCs w:val="32"/>
        </w:rPr>
        <w:t>一、部门情况</w:t>
      </w:r>
    </w:p>
    <w:bookmarkEnd w:id="0"/>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hint="eastAsia" w:ascii="仿宋_GB2312" w:hAnsi="仿宋" w:eastAsia="仿宋_GB2312"/>
          <w:sz w:val="32"/>
          <w:szCs w:val="32"/>
        </w:rPr>
      </w:pPr>
      <w:r>
        <w:rPr>
          <w:rFonts w:ascii="Times New Roman" w:hAnsi="Times New Roman" w:eastAsia="方正仿宋_GBK" w:cs="Times New Roman"/>
          <w:kern w:val="0"/>
          <w:sz w:val="32"/>
          <w:szCs w:val="32"/>
        </w:rPr>
        <w:t>贯彻执行国家和重庆市的医疗保险、生育保险、医疗救助等医疗保障制度的法律法规、政策、规划和标准。组织实施国家和重庆市制定的医疗保障基金监督管理办法，建立健全医疗保障基金安全防控机制，推进医疗保障基金支付方式改革。贯彻执行国家和重庆市医疗保障筹资、待遇政策。贯彻执行国家和重庆市药品、医用耗材、医疗服务项目、医疗设施等医保目录和支付标准。贯彻执行药品、医用耗材价格和医疗服务项医疗服务设施收费等政策，推动建立市场主导的社会医药服务价格形成机制，建立价格信息监测和信息发布制度。负责药品、医用耗材的招标采购政策的监督实施。</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pStyle w:val="17"/>
        <w:tabs>
          <w:tab w:val="center" w:pos="4153"/>
          <w:tab w:val="left" w:pos="7275"/>
        </w:tabs>
        <w:snapToGrid w:val="0"/>
        <w:spacing w:line="600" w:lineRule="exact"/>
        <w:ind w:firstLine="640" w:firstLineChars="200"/>
        <w:jc w:val="left"/>
        <w:rPr>
          <w:rFonts w:hint="eastAsia" w:ascii="仿宋_GB2312" w:hAnsi="仿宋" w:eastAsia="仿宋_GB2312"/>
          <w:sz w:val="32"/>
          <w:szCs w:val="32"/>
        </w:rPr>
      </w:pPr>
      <w:r>
        <w:rPr>
          <w:rFonts w:hint="eastAsia" w:ascii="方正仿宋_GBK" w:hAnsi="仿宋_GB2312" w:eastAsia="方正仿宋_GBK" w:cs="仿宋_GB2312"/>
          <w:sz w:val="32"/>
          <w:lang w:eastAsia="zh-CN"/>
        </w:rPr>
        <w:t>彭水苗族土家族自治</w:t>
      </w:r>
      <w:r>
        <w:rPr>
          <w:rFonts w:hint="eastAsia" w:ascii="方正仿宋_GBK" w:hAnsi="仿宋_GB2312" w:eastAsia="方正仿宋_GBK" w:cs="仿宋_GB2312"/>
          <w:sz w:val="32"/>
        </w:rPr>
        <w:t>县医疗保障局是县政府工作部门，为正科级。内设科室：1、办公室;  2、待遇保障和医疗服务科；3、基金和招标采购监管科。县医保局机关行政编制8名</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设局长1名，副局长2名；内设机构领导职数3名</w:t>
      </w:r>
      <w:r>
        <w:rPr>
          <w:rFonts w:hint="eastAsia" w:ascii="方正仿宋_GBK" w:hAnsi="仿宋_GB2312" w:eastAsia="方正仿宋_GBK" w:cs="仿宋_GB2312"/>
          <w:sz w:val="32"/>
          <w:lang w:eastAsia="zh-CN"/>
        </w:rPr>
        <w:t>，县</w:t>
      </w:r>
      <w:r>
        <w:rPr>
          <w:rFonts w:hint="eastAsia" w:ascii="方正仿宋_GBK" w:hAnsi="仿宋_GB2312" w:eastAsia="方正仿宋_GBK" w:cs="仿宋_GB2312"/>
          <w:sz w:val="32"/>
          <w:lang w:val="en-US" w:eastAsia="zh-CN"/>
        </w:rPr>
        <w:t>现</w:t>
      </w:r>
      <w:r>
        <w:rPr>
          <w:rFonts w:hint="eastAsia" w:ascii="方正仿宋_GBK" w:hAnsi="仿宋_GB2312" w:eastAsia="方正仿宋_GBK" w:cs="仿宋_GB2312"/>
          <w:sz w:val="32"/>
          <w:lang w:eastAsia="zh-CN"/>
        </w:rPr>
        <w:t>在编</w:t>
      </w:r>
      <w:r>
        <w:rPr>
          <w:rFonts w:hint="eastAsia" w:ascii="方正仿宋_GBK" w:hAnsi="仿宋_GB2312" w:eastAsia="方正仿宋_GBK" w:cs="仿宋_GB2312"/>
          <w:sz w:val="32"/>
          <w:lang w:val="en-US" w:eastAsia="zh-CN"/>
        </w:rPr>
        <w:t>6人。</w:t>
      </w:r>
      <w:r>
        <w:rPr>
          <w:rFonts w:hint="eastAsia" w:ascii="方正仿宋_GBK" w:hAnsi="仿宋_GB2312" w:eastAsia="方正仿宋_GBK" w:cs="仿宋_GB2312"/>
          <w:sz w:val="32"/>
        </w:rPr>
        <w:t>下属</w:t>
      </w:r>
      <w:r>
        <w:rPr>
          <w:rFonts w:hint="eastAsia" w:ascii="方正仿宋_GBK" w:hAnsi="仿宋_GB2312" w:eastAsia="方正仿宋_GBK" w:cs="仿宋_GB2312"/>
          <w:sz w:val="32"/>
          <w:lang w:eastAsia="zh-CN"/>
        </w:rPr>
        <w:t>一</w:t>
      </w:r>
      <w:r>
        <w:rPr>
          <w:rFonts w:hint="eastAsia" w:ascii="方正仿宋_GBK" w:hAnsi="仿宋_GB2312" w:eastAsia="方正仿宋_GBK" w:cs="仿宋_GB2312"/>
          <w:sz w:val="32"/>
        </w:rPr>
        <w:t>个二级预算单位，</w:t>
      </w:r>
      <w:r>
        <w:rPr>
          <w:rFonts w:hint="eastAsia" w:ascii="方正仿宋_GBK" w:hAnsi="仿宋_GB2312" w:eastAsia="方正仿宋_GBK" w:cs="仿宋_GB2312"/>
          <w:sz w:val="32"/>
          <w:lang w:eastAsia="zh-CN"/>
        </w:rPr>
        <w:t>彭水苗族土家族自治县医疗保障事务中心，属县医疗保障局管理的正科级公益性</w:t>
      </w:r>
      <w:r>
        <w:rPr>
          <w:rFonts w:hint="eastAsia" w:ascii="方正仿宋_GBK" w:hAnsi="仿宋_GB2312" w:eastAsia="方正仿宋_GBK" w:cs="仿宋_GB2312"/>
          <w:sz w:val="32"/>
          <w:lang w:val="en-US" w:eastAsia="zh-CN"/>
        </w:rPr>
        <w:t>事业</w:t>
      </w:r>
      <w:r>
        <w:rPr>
          <w:rFonts w:hint="eastAsia" w:ascii="方正仿宋_GBK" w:hAnsi="仿宋_GB2312" w:eastAsia="方正仿宋_GBK" w:cs="仿宋_GB2312"/>
          <w:sz w:val="32"/>
          <w:lang w:eastAsia="zh-CN"/>
        </w:rPr>
        <w:t>单位，核定编制人数</w:t>
      </w:r>
      <w:r>
        <w:rPr>
          <w:rFonts w:hint="eastAsia" w:ascii="方正仿宋_GBK" w:hAnsi="仿宋_GB2312" w:eastAsia="方正仿宋_GBK" w:cs="仿宋_GB2312"/>
          <w:sz w:val="32"/>
          <w:lang w:val="en-US" w:eastAsia="zh-CN"/>
        </w:rPr>
        <w:t>22人，现在编人数18人。医疗保障事务中心设主任1人，副主任2人，内设机构领导职数8人。</w:t>
      </w:r>
    </w:p>
    <w:p>
      <w:pPr>
        <w:numPr>
          <w:ilvl w:val="0"/>
          <w:numId w:val="1"/>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2024年新录用3人，退休1人。</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（二）当年取得的主要事业成效。</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概述部门工作开展情况及主要事业成效。</w:t>
      </w:r>
    </w:p>
    <w:p>
      <w:pPr>
        <w:snapToGrid w:val="0"/>
        <w:spacing w:line="520" w:lineRule="exact"/>
        <w:ind w:firstLine="640" w:firstLineChars="200"/>
        <w:rPr>
          <w:rFonts w:ascii="仿宋_GB2312" w:hAnsi="仿宋" w:eastAsia="仿宋_GB2312"/>
          <w:sz w:val="32"/>
          <w:szCs w:val="32"/>
        </w:rPr>
      </w:pPr>
      <w:r>
        <w:rPr>
          <w:rFonts w:hint="eastAsia" w:ascii="方正仿宋_GBK" w:hAnsi="仿宋_GB2312" w:eastAsia="方正仿宋_GBK" w:cs="仿宋_GB2312"/>
          <w:sz w:val="32"/>
        </w:rPr>
        <w:t>按照市医保局统一部署，完善统一的城乡居民基本医疗保险制度和大病保险制度，建立健全覆盖全民、城乡统筹的多层次医疗保障体系，不断提高医疗保障水平，确保医保资金合理使用、安全可控，推进医疗、医保、医药“三医联动</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改革，更好保障人民群众就医需求、减轻医药费用负担。与县发改委、县卫生健康委、县市场监管局、县税务局等部门的沟通协商机制，加强制度、政策衔接，协同推进改革，提高医疗资源使用效率和医疗保障水平。</w:t>
      </w:r>
    </w:p>
    <w:p>
      <w:pPr>
        <w:snapToGrid w:val="0"/>
        <w:spacing w:line="520" w:lineRule="exact"/>
        <w:ind w:firstLine="640" w:firstLineChars="200"/>
        <w:rPr>
          <w:rFonts w:ascii="黑体" w:hAnsi="黑体" w:eastAsia="黑体"/>
          <w:sz w:val="32"/>
          <w:szCs w:val="32"/>
        </w:rPr>
      </w:pPr>
      <w:bookmarkStart w:id="1" w:name="YS060102"/>
      <w:r>
        <w:rPr>
          <w:rFonts w:hint="eastAsia" w:ascii="黑体" w:hAnsi="黑体" w:eastAsia="黑体"/>
          <w:sz w:val="32"/>
          <w:szCs w:val="32"/>
        </w:rPr>
        <w:t>二、收入支出预算执行情况分析</w:t>
      </w:r>
    </w:p>
    <w:bookmarkEnd w:id="1"/>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包括部门收入、支出年初预算安排情况，与上年对比情况及增减变动原因(可用柱形图或折线图)。</w:t>
      </w:r>
    </w:p>
    <w:p>
      <w:pPr>
        <w:pStyle w:val="2"/>
        <w:spacing w:before="0" w:after="0" w:line="240" w:lineRule="auto"/>
        <w:ind w:firstLine="640" w:firstLineChars="200"/>
        <w:rPr>
          <w:rFonts w:hint="eastAsia" w:ascii="仿宋_GB2312" w:hAnsi="仿宋" w:eastAsia="仿宋_GB2312"/>
          <w:b w:val="0"/>
          <w:kern w:val="2"/>
          <w:sz w:val="32"/>
          <w:szCs w:val="32"/>
          <w:lang w:val="en-US" w:eastAsia="zh-CN" w:bidi="ar-SA"/>
        </w:rPr>
      </w:pPr>
      <w:r>
        <w:rPr>
          <w:rFonts w:hint="eastAsia" w:ascii="仿宋_GB2312" w:hAnsi="仿宋" w:eastAsia="仿宋_GB2312"/>
          <w:b w:val="0"/>
          <w:kern w:val="2"/>
          <w:sz w:val="32"/>
          <w:szCs w:val="32"/>
          <w:lang w:val="en-US" w:eastAsia="zh-CN" w:bidi="ar-SA"/>
        </w:rPr>
        <w:t>2024年部门收入、支出年初预算安排资金5351.27万元，较上年减少459.13万元，主要原因是“一事一议”特殊医疗救助资金减少。</w:t>
      </w:r>
    </w:p>
    <w:p>
      <w:pPr>
        <w:rPr>
          <w:rFonts w:hint="eastAsia" w:ascii="仿宋_GB2312" w:hAnsi="仿宋" w:eastAsia="仿宋_GB2312"/>
          <w:b w:val="0"/>
          <w:kern w:val="2"/>
          <w:sz w:val="32"/>
          <w:szCs w:val="32"/>
          <w:lang w:val="en-US" w:eastAsia="zh-CN" w:bidi="ar-SA"/>
        </w:rPr>
      </w:pPr>
    </w:p>
    <w:p>
      <w:pPr>
        <w:rPr>
          <w:rFonts w:hint="eastAsia" w:ascii="仿宋_GB2312" w:hAnsi="仿宋" w:eastAsia="仿宋_GB2312"/>
          <w:b w:val="0"/>
          <w:kern w:val="2"/>
          <w:sz w:val="32"/>
          <w:szCs w:val="32"/>
          <w:lang w:val="en-US" w:eastAsia="zh-CN" w:bidi="ar-SA"/>
        </w:rPr>
      </w:pPr>
    </w:p>
    <w:p>
      <w:pPr>
        <w:rPr>
          <w:rFonts w:hint="eastAsia" w:ascii="仿宋_GB2312" w:hAnsi="仿宋" w:eastAsia="仿宋_GB2312"/>
          <w:b w:val="0"/>
          <w:kern w:val="2"/>
          <w:sz w:val="32"/>
          <w:szCs w:val="32"/>
          <w:lang w:val="en-US" w:eastAsia="zh-CN" w:bidi="ar-SA"/>
        </w:rPr>
      </w:pPr>
      <w:r>
        <w:rPr>
          <w:rFonts w:hint="eastAsia" w:ascii="仿宋_GB2312" w:hAnsi="仿宋" w:eastAsia="仿宋_GB2312"/>
          <w:sz w:val="32"/>
          <w:szCs w:val="32"/>
          <w:lang w:eastAsia="zh-CN"/>
        </w:rPr>
        <w:drawing>
          <wp:anchor distT="0" distB="0" distL="114300" distR="114300" simplePos="0" relativeHeight="251659264" behindDoc="0" locked="0" layoutInCell="1" allowOverlap="1">
            <wp:simplePos x="0" y="0"/>
            <wp:positionH relativeFrom="column">
              <wp:posOffset>593725</wp:posOffset>
            </wp:positionH>
            <wp:positionV relativeFrom="paragraph">
              <wp:posOffset>34290</wp:posOffset>
            </wp:positionV>
            <wp:extent cx="4330700" cy="2564765"/>
            <wp:effectExtent l="4445" t="5080" r="8255" b="209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rPr>
          <w:rFonts w:hint="eastAsia" w:ascii="仿宋_GB2312" w:hAnsi="仿宋" w:eastAsia="仿宋_GB2312"/>
          <w:b w:val="0"/>
          <w:kern w:val="2"/>
          <w:sz w:val="32"/>
          <w:szCs w:val="32"/>
          <w:lang w:val="en-US" w:eastAsia="zh-CN" w:bidi="ar-SA"/>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lang w:eastAsia="zh-CN"/>
        </w:rPr>
      </w:pPr>
    </w:p>
    <w:p>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sz w:val="32"/>
          <w:szCs w:val="32"/>
        </w:rPr>
        <w:t>（二）收入支出预算执行情况。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当年收入支出预算执行基本情况，与上年度对比情况，包括增减绝对值与幅度，增减变动主要原因(可用柱形图或折线图)。</w:t>
      </w:r>
    </w:p>
    <w:p>
      <w:pPr>
        <w:snapToGrid w:val="0"/>
        <w:spacing w:line="520" w:lineRule="exact"/>
        <w:ind w:firstLine="640" w:firstLineChars="200"/>
        <w:rPr>
          <w:rFonts w:hint="eastAsia" w:ascii="仿宋_GB2312" w:hAnsi="仿宋" w:eastAsia="仿宋_GB2312"/>
          <w:b w:val="0"/>
          <w:kern w:val="2"/>
          <w:sz w:val="32"/>
          <w:szCs w:val="32"/>
          <w:lang w:val="en-US" w:eastAsia="zh-CN" w:bidi="ar-SA"/>
        </w:rPr>
      </w:pPr>
      <w:r>
        <w:rPr>
          <w:rFonts w:hint="eastAsia" w:ascii="仿宋_GB2312" w:hAnsi="仿宋" w:eastAsia="仿宋_GB2312"/>
          <w:b w:val="0"/>
          <w:kern w:val="2"/>
          <w:sz w:val="32"/>
          <w:szCs w:val="32"/>
          <w:lang w:val="en-US" w:eastAsia="zh-CN" w:bidi="ar-SA"/>
        </w:rPr>
        <w:t>2024年预算执行部门收入、支出5353.83万元，较上年增加817.8万元，上升18.03%，主要原因是人员增加与城乡医疗救助项目资金增加。</w:t>
      </w:r>
    </w:p>
    <w:p>
      <w:pPr>
        <w:snapToGrid w:val="0"/>
        <w:spacing w:line="520" w:lineRule="exact"/>
        <w:ind w:firstLine="640" w:firstLineChars="200"/>
        <w:rPr>
          <w:rFonts w:hint="eastAsia" w:ascii="仿宋_GB2312" w:hAnsi="仿宋" w:eastAsia="仿宋_GB2312"/>
          <w:b w:val="0"/>
          <w:kern w:val="2"/>
          <w:sz w:val="32"/>
          <w:szCs w:val="32"/>
          <w:lang w:val="en-US" w:eastAsia="zh-CN" w:bidi="ar-SA"/>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drawing>
          <wp:anchor distT="0" distB="0" distL="114300" distR="114300" simplePos="0" relativeHeight="251660288" behindDoc="0" locked="0" layoutInCell="1" allowOverlap="1">
            <wp:simplePos x="0" y="0"/>
            <wp:positionH relativeFrom="column">
              <wp:posOffset>368300</wp:posOffset>
            </wp:positionH>
            <wp:positionV relativeFrom="paragraph">
              <wp:posOffset>155575</wp:posOffset>
            </wp:positionV>
            <wp:extent cx="4330700" cy="2564765"/>
            <wp:effectExtent l="4445" t="5080" r="8255" b="2095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1．收入支出与预算对比分析。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（1）预、决算差异情况，可分收入</w:t>
      </w:r>
      <w:r>
        <w:rPr>
          <w:rFonts w:hint="eastAsia" w:ascii="仿宋_GB2312" w:hAnsi="仿宋" w:eastAsia="仿宋_GB2312"/>
          <w:sz w:val="32"/>
          <w:szCs w:val="32"/>
          <w:highlight w:val="none"/>
          <w:lang w:eastAsia="zh-CN"/>
        </w:rPr>
        <w:t>资金性质、</w:t>
      </w:r>
      <w:r>
        <w:rPr>
          <w:rFonts w:hint="eastAsia" w:ascii="仿宋_GB2312" w:hAnsi="仿宋" w:eastAsia="仿宋_GB2312"/>
          <w:sz w:val="32"/>
          <w:szCs w:val="32"/>
        </w:rPr>
        <w:t>支出功能科目、分单位、分收入支出具体项目逐项对比（可列表）。</w:t>
      </w:r>
    </w:p>
    <w:p>
      <w:pPr>
        <w:snapToGrid w:val="0"/>
        <w:spacing w:line="520" w:lineRule="exact"/>
        <w:ind w:firstLine="420" w:firstLineChars="200"/>
        <w:rPr>
          <w:rFonts w:hint="eastAsia" w:ascii="仿宋_GB2312" w:hAnsi="仿宋" w:eastAsia="仿宋_GB2312"/>
          <w:sz w:val="32"/>
          <w:szCs w:val="32"/>
        </w:rPr>
      </w:pPr>
      <w:r>
        <w:drawing>
          <wp:anchor distT="0" distB="0" distL="114300" distR="114300" simplePos="0" relativeHeight="251663360" behindDoc="0" locked="0" layoutInCell="1" allowOverlap="1">
            <wp:simplePos x="0" y="0"/>
            <wp:positionH relativeFrom="column">
              <wp:posOffset>129540</wp:posOffset>
            </wp:positionH>
            <wp:positionV relativeFrom="paragraph">
              <wp:posOffset>64135</wp:posOffset>
            </wp:positionV>
            <wp:extent cx="5612765" cy="2180590"/>
            <wp:effectExtent l="0" t="0" r="6985" b="1016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612765" cy="2180590"/>
                    </a:xfrm>
                    <a:prstGeom prst="rect">
                      <a:avLst/>
                    </a:prstGeom>
                    <a:noFill/>
                    <a:ln>
                      <a:noFill/>
                    </a:ln>
                  </pic:spPr>
                </pic:pic>
              </a:graphicData>
            </a:graphic>
          </wp:anchor>
        </w:drawing>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（2）差异原因分析。差异较大的应分析到具体收入支出功能科目和具体单位。</w:t>
      </w: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（1）各项收入占总收入的比重，各项支出占总支出的比重（可分别制作饼状图）。</w:t>
      </w:r>
      <w:r>
        <w:rPr>
          <w:rFonts w:hint="eastAsia" w:ascii="仿宋_GB2312" w:hAnsi="仿宋" w:eastAsia="仿宋_GB2312"/>
          <w:sz w:val="32"/>
          <w:szCs w:val="32"/>
          <w:highlight w:val="none"/>
          <w:lang w:val="en-US" w:eastAsia="zh-CN"/>
        </w:rPr>
        <w:t>一般公共预算财政拨款收入占总收入的98.75%。政府性基金预算财政拨款收入总收入的1.25%。</w:t>
      </w:r>
    </w:p>
    <w:p>
      <w:pPr>
        <w:snapToGrid w:val="0"/>
        <w:spacing w:line="520" w:lineRule="exact"/>
        <w:ind w:firstLine="420" w:firstLineChars="200"/>
        <w:rPr>
          <w:rFonts w:hint="eastAsia" w:ascii="仿宋_GB2312" w:hAnsi="仿宋" w:eastAsia="仿宋_GB2312"/>
          <w:sz w:val="32"/>
          <w:szCs w:val="32"/>
        </w:rPr>
      </w:pPr>
      <w:r>
        <w:rPr>
          <w:rStyle w:val="9"/>
          <w:rFonts w:hint="default"/>
          <w:lang w:val="en-US" w:eastAsia="zh-CN"/>
        </w:rPr>
        <w:drawing>
          <wp:anchor distT="0" distB="0" distL="114300" distR="114300" simplePos="0" relativeHeight="251661312" behindDoc="0" locked="0" layoutInCell="1" allowOverlap="1">
            <wp:simplePos x="0" y="0"/>
            <wp:positionH relativeFrom="column">
              <wp:posOffset>306705</wp:posOffset>
            </wp:positionH>
            <wp:positionV relativeFrom="paragraph">
              <wp:posOffset>271780</wp:posOffset>
            </wp:positionV>
            <wp:extent cx="4755515" cy="2453005"/>
            <wp:effectExtent l="4445" t="4445" r="21590" b="1905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p>
    <w:p>
      <w:pPr>
        <w:numPr>
          <w:ilvl w:val="0"/>
          <w:numId w:val="2"/>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收入支出按部门所属单位分布情况（可列表）。</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b w:val="0"/>
          <w:kern w:val="2"/>
          <w:sz w:val="32"/>
          <w:szCs w:val="32"/>
          <w:lang w:val="en-US" w:eastAsia="zh-CN" w:bidi="ar-SA"/>
        </w:rPr>
        <w:t>2024年部门总收入5353.83万元，支出5353.83万元。其中，彭水苗族土家族自治县医疗保障局收入</w:t>
      </w:r>
      <w:r>
        <w:rPr>
          <w:rFonts w:hint="eastAsia" w:ascii="仿宋_GB2312" w:hAnsi="仿宋" w:eastAsia="仿宋_GB2312"/>
          <w:sz w:val="32"/>
          <w:szCs w:val="32"/>
          <w:lang w:val="en-US" w:eastAsia="zh-CN"/>
        </w:rPr>
        <w:t>4954.68</w:t>
      </w:r>
      <w:r>
        <w:rPr>
          <w:rFonts w:hint="eastAsia" w:ascii="仿宋_GB2312" w:hAnsi="仿宋" w:eastAsia="仿宋_GB2312"/>
          <w:b w:val="0"/>
          <w:kern w:val="2"/>
          <w:sz w:val="32"/>
          <w:szCs w:val="32"/>
          <w:lang w:val="en-US" w:eastAsia="zh-CN" w:bidi="ar-SA"/>
        </w:rPr>
        <w:t>万元，支出</w:t>
      </w:r>
      <w:r>
        <w:rPr>
          <w:rFonts w:hint="eastAsia" w:ascii="仿宋_GB2312" w:hAnsi="仿宋" w:eastAsia="仿宋_GB2312"/>
          <w:sz w:val="32"/>
          <w:szCs w:val="32"/>
          <w:lang w:val="en-US" w:eastAsia="zh-CN"/>
        </w:rPr>
        <w:t>4954.68</w:t>
      </w:r>
      <w:r>
        <w:rPr>
          <w:rFonts w:hint="eastAsia" w:ascii="仿宋_GB2312" w:hAnsi="仿宋" w:eastAsia="仿宋_GB2312"/>
          <w:b w:val="0"/>
          <w:kern w:val="2"/>
          <w:sz w:val="32"/>
          <w:szCs w:val="32"/>
          <w:lang w:val="en-US" w:eastAsia="zh-CN" w:bidi="ar-SA"/>
        </w:rPr>
        <w:t>万元。彭水苗族土家族自治县医疗保障事务中心收入399.15万元，支出399.15万元。</w:t>
      </w:r>
    </w:p>
    <w:p>
      <w:pPr>
        <w:numPr>
          <w:ilvl w:val="0"/>
          <w:numId w:val="2"/>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收入支出与上年度对比情况及原因分析(可用柱形图或折线图)。</w:t>
      </w:r>
    </w:p>
    <w:p>
      <w:pPr>
        <w:numPr>
          <w:ilvl w:val="0"/>
          <w:numId w:val="0"/>
        </w:numPr>
        <w:snapToGrid w:val="0"/>
        <w:spacing w:line="520" w:lineRule="exact"/>
        <w:ind w:leftChars="200"/>
        <w:rPr>
          <w:rFonts w:hint="eastAsia" w:ascii="仿宋_GB2312" w:hAnsi="仿宋" w:eastAsia="仿宋_GB2312"/>
          <w:sz w:val="32"/>
          <w:szCs w:val="32"/>
        </w:rPr>
      </w:pPr>
      <w:r>
        <w:rPr>
          <w:rFonts w:hint="eastAsia" w:ascii="仿宋_GB2312" w:hAnsi="仿宋" w:eastAsia="仿宋_GB2312"/>
          <w:sz w:val="32"/>
          <w:szCs w:val="32"/>
          <w:lang w:eastAsia="zh-CN"/>
        </w:rPr>
        <w:drawing>
          <wp:anchor distT="0" distB="0" distL="114300" distR="114300" simplePos="0" relativeHeight="251662336" behindDoc="0" locked="0" layoutInCell="1" allowOverlap="1">
            <wp:simplePos x="0" y="0"/>
            <wp:positionH relativeFrom="column">
              <wp:posOffset>421005</wp:posOffset>
            </wp:positionH>
            <wp:positionV relativeFrom="paragraph">
              <wp:posOffset>188595</wp:posOffset>
            </wp:positionV>
            <wp:extent cx="4330700" cy="2564765"/>
            <wp:effectExtent l="4445" t="5080" r="8255" b="2095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p>
    <w:p>
      <w:pPr>
        <w:numPr>
          <w:ilvl w:val="0"/>
          <w:numId w:val="0"/>
        </w:numPr>
        <w:snapToGrid w:val="0"/>
        <w:spacing w:line="520" w:lineRule="exact"/>
        <w:ind w:leftChars="200"/>
        <w:rPr>
          <w:rFonts w:hint="eastAsia" w:ascii="仿宋_GB2312" w:hAnsi="仿宋" w:eastAsia="仿宋_GB2312"/>
          <w:sz w:val="32"/>
          <w:szCs w:val="32"/>
        </w:rPr>
      </w:pPr>
      <w:r>
        <w:rPr>
          <w:rFonts w:hint="eastAsia" w:ascii="仿宋_GB2312" w:hAnsi="仿宋" w:eastAsia="仿宋_GB2312"/>
          <w:sz w:val="32"/>
          <w:szCs w:val="32"/>
          <w:lang w:val="en-US" w:eastAsia="zh-CN"/>
        </w:rPr>
        <w:t>主要原因是</w:t>
      </w:r>
      <w:r>
        <w:rPr>
          <w:rFonts w:hint="eastAsia" w:ascii="仿宋_GB2312" w:hAnsi="仿宋" w:eastAsia="仿宋_GB2312"/>
          <w:b w:val="0"/>
          <w:kern w:val="2"/>
          <w:sz w:val="32"/>
          <w:szCs w:val="32"/>
          <w:lang w:val="en-US" w:eastAsia="zh-CN" w:bidi="ar-SA"/>
        </w:rPr>
        <w:t>人员增加与项目资金增加。</w:t>
      </w: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3．支出按经济分类科目分析。</w:t>
      </w:r>
    </w:p>
    <w:p>
      <w:pPr>
        <w:snapToGrid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sz w:val="32"/>
          <w:szCs w:val="32"/>
        </w:rPr>
        <w:t>（1）“三公”经费支出情况：可进行上下年对比、预决算对比，</w:t>
      </w:r>
      <w:r>
        <w:rPr>
          <w:rFonts w:hint="eastAsia" w:ascii="仿宋_GB2312" w:hAnsi="仿宋" w:eastAsia="仿宋_GB2312" w:cs="仿宋"/>
          <w:color w:val="000000"/>
          <w:sz w:val="32"/>
          <w:szCs w:val="32"/>
        </w:rPr>
        <w:t>以及相关的公务用车购置及保有量、因公出国（</w:t>
      </w:r>
      <w:r>
        <w:rPr>
          <w:rFonts w:hint="eastAsia" w:ascii="仿宋_GB2312" w:hAnsi="仿宋" w:eastAsia="仿宋_GB2312" w:cs="仿宋"/>
          <w:sz w:val="32"/>
          <w:szCs w:val="32"/>
        </w:rPr>
        <w:t>境）团组数及人数和公务接待批次及人数等情况与分析。</w:t>
      </w:r>
    </w:p>
    <w:p>
      <w:pPr>
        <w:snapToGrid w:val="0"/>
        <w:spacing w:line="52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highlight w:val="none"/>
          <w:lang w:val="en-US" w:eastAsia="zh-CN"/>
        </w:rPr>
        <w:t>2024年“三公”经费支出6.49万，较上年度减少1万，下降13.35%，主要原因是公务用车是新能源汽车，节能减排，减少费用。</w:t>
      </w:r>
      <w:r>
        <w:rPr>
          <w:rFonts w:hint="eastAsia" w:ascii="仿宋_GB2312" w:hAnsi="仿宋" w:eastAsia="仿宋_GB2312" w:cs="仿宋"/>
          <w:b w:val="0"/>
          <w:bCs/>
          <w:color w:val="000000"/>
          <w:sz w:val="32"/>
          <w:szCs w:val="32"/>
          <w:lang w:val="en-US" w:eastAsia="zh-CN"/>
        </w:rPr>
        <w:t>2024年年末，我局公务用车保有量1辆，公务接待批次20次，接待人数425人次。</w:t>
      </w:r>
    </w:p>
    <w:p>
      <w:pPr>
        <w:numPr>
          <w:ilvl w:val="0"/>
          <w:numId w:val="3"/>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会议费支出情况：可进行上下年对比，人均支出情况分析（可做表、柱图、折线图）。</w:t>
      </w:r>
    </w:p>
    <w:p>
      <w:pPr>
        <w:numPr>
          <w:ilvl w:val="0"/>
          <w:numId w:val="0"/>
        </w:num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highlight w:val="none"/>
          <w:lang w:val="en-US" w:eastAsia="zh-CN"/>
        </w:rPr>
        <w:t>2024年会议费支出0.98万，较上年度增加0.98万，主要原因是2024年开展医保DRG支付改革培训会议。</w:t>
      </w:r>
    </w:p>
    <w:p>
      <w:pPr>
        <w:numPr>
          <w:ilvl w:val="0"/>
          <w:numId w:val="3"/>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培训费支出情况：可进行上下年对比，人均支出情况分析（可做表、柱图、折线图）。</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highlight w:val="none"/>
          <w:lang w:val="en-US" w:eastAsia="zh-CN"/>
        </w:rPr>
        <w:t>2024年培训费支出8.13万元，较上年增加5.06万元，增加164.82%，主要原因是2024年分别开展多次医保基金、参保征缴、政策宣传业务培训。</w:t>
      </w:r>
    </w:p>
    <w:p>
      <w:pPr>
        <w:numPr>
          <w:ilvl w:val="0"/>
          <w:numId w:val="3"/>
        </w:numPr>
        <w:snapToGrid w:val="0"/>
        <w:spacing w:line="520" w:lineRule="exact"/>
        <w:ind w:left="0" w:leftChars="0"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差旅</w:t>
      </w:r>
      <w:r>
        <w:rPr>
          <w:rFonts w:hint="eastAsia" w:ascii="仿宋_GB2312" w:hAnsi="仿宋" w:eastAsia="仿宋_GB2312"/>
          <w:sz w:val="32"/>
          <w:szCs w:val="32"/>
          <w:highlight w:val="none"/>
        </w:rPr>
        <w:t>费支出情况：可进行上下年对比，人均支出情况分析（可做表、柱图、折线图）。</w:t>
      </w:r>
    </w:p>
    <w:p>
      <w:pPr>
        <w:numPr>
          <w:ilvl w:val="0"/>
          <w:numId w:val="0"/>
        </w:numPr>
        <w:snapToGrid w:val="0"/>
        <w:spacing w:line="52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val="en-US" w:eastAsia="zh-CN"/>
        </w:rPr>
        <w:t>2024年差旅费支出19.61万元，较上年减少9.48万元，减少32.59%，主要原因是2024年医保存疑案件外调减少频次。</w:t>
      </w:r>
    </w:p>
    <w:p>
      <w:pPr>
        <w:snapToGrid w:val="0"/>
        <w:spacing w:line="52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）其他对部门影响较大的支出情况。</w:t>
      </w:r>
      <w:r>
        <w:rPr>
          <w:rFonts w:hint="eastAsia" w:ascii="仿宋_GB2312" w:hAnsi="仿宋" w:eastAsia="仿宋_GB2312"/>
          <w:sz w:val="32"/>
          <w:szCs w:val="32"/>
          <w:highlight w:val="none"/>
          <w:lang w:eastAsia="zh-CN"/>
        </w:rPr>
        <w:t>：重点分析上下年变动较大或占本年支出比重较大的经济分类科目。</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）重点经济分类支出中存在的问题及改进措施。</w:t>
      </w:r>
    </w:p>
    <w:p>
      <w:pPr>
        <w:numPr>
          <w:ilvl w:val="0"/>
          <w:numId w:val="4"/>
        </w:numPr>
        <w:snapToGrid w:val="0"/>
        <w:spacing w:line="520" w:lineRule="exact"/>
        <w:ind w:firstLine="643" w:firstLineChars="200"/>
        <w:rPr>
          <w:rFonts w:hint="default" w:ascii="仿宋_GB2312" w:hAnsi="仿宋" w:eastAsia="仿宋_GB2312"/>
          <w:b/>
          <w:bCs/>
          <w:sz w:val="32"/>
          <w:szCs w:val="32"/>
          <w:highlight w:val="none"/>
          <w:lang w:val="en-US" w:eastAsia="zh-CN"/>
        </w:rPr>
      </w:pPr>
      <w:r>
        <w:rPr>
          <w:rFonts w:hint="eastAsia" w:ascii="仿宋_GB2312" w:hAnsi="仿宋" w:eastAsia="仿宋_GB2312"/>
          <w:b/>
          <w:bCs/>
          <w:sz w:val="32"/>
          <w:szCs w:val="32"/>
          <w:highlight w:val="none"/>
          <w:lang w:val="en-US" w:eastAsia="zh-CN"/>
        </w:rPr>
        <w:t>支出按功能分类科目分析。</w:t>
      </w:r>
    </w:p>
    <w:p>
      <w:p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根据支出的重点功能分类科目进行分析，可以按各功能分类科目的支出占总支出的比重，分析不同功能领域资金分配情况。按照同一功能分类科目上下年支出变动情况，分析其变动原因及增减变化趋势，评估重点业务开展情况及稳定性。</w:t>
      </w:r>
    </w:p>
    <w:p>
      <w:pPr>
        <w:numPr>
          <w:ilvl w:val="0"/>
          <w:numId w:val="0"/>
        </w:num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lang w:eastAsia="zh-CN"/>
        </w:rPr>
        <w:t>财政拨款收入、支出</w:t>
      </w:r>
      <w:r>
        <w:rPr>
          <w:rFonts w:hint="eastAsia" w:ascii="仿宋_GB2312" w:hAnsi="仿宋" w:eastAsia="仿宋_GB2312"/>
          <w:sz w:val="32"/>
          <w:szCs w:val="32"/>
          <w:lang w:val="en-US" w:eastAsia="zh-CN"/>
        </w:rPr>
        <w:t>4954.68万元，按</w:t>
      </w:r>
      <w:r>
        <w:rPr>
          <w:rFonts w:hint="eastAsia" w:ascii="仿宋_GB2312" w:hAnsi="仿宋" w:eastAsia="仿宋_GB2312"/>
          <w:sz w:val="32"/>
          <w:szCs w:val="32"/>
          <w:highlight w:val="none"/>
          <w:lang w:val="en-US" w:eastAsia="zh-CN"/>
        </w:rPr>
        <w:t>功能分类科目进行分析</w:t>
      </w:r>
      <w:r>
        <w:rPr>
          <w:rFonts w:hint="eastAsia" w:ascii="仿宋_GB2312" w:hAnsi="仿宋" w:eastAsia="仿宋_GB2312"/>
          <w:sz w:val="32"/>
          <w:szCs w:val="32"/>
          <w:lang w:val="en-US" w:eastAsia="zh-CN"/>
        </w:rPr>
        <w:t>，如下表。</w:t>
      </w:r>
      <w:r>
        <w:rPr>
          <w:rFonts w:hint="eastAsia" w:ascii="仿宋_GB2312" w:hAnsi="仿宋" w:eastAsia="仿宋_GB2312" w:cs="Times New Roman"/>
          <w:sz w:val="32"/>
          <w:szCs w:val="32"/>
          <w:lang w:val="en-US" w:eastAsia="zh-CN"/>
        </w:rPr>
        <w:t>主要原因，一是下属事业单位医保中心新招录3人，人员经费增加。二是</w:t>
      </w:r>
      <w:r>
        <w:rPr>
          <w:rFonts w:hint="eastAsia" w:ascii="仿宋_GB2312" w:hAnsi="仿宋" w:eastAsia="仿宋_GB2312"/>
          <w:b w:val="0"/>
          <w:kern w:val="2"/>
          <w:sz w:val="32"/>
          <w:szCs w:val="32"/>
          <w:lang w:val="en-US" w:eastAsia="zh-CN" w:bidi="ar-SA"/>
        </w:rPr>
        <w:t>城乡医疗救助项目资金。三是“一事一议”特殊医疗救助资金由推进乡村振兴衔接资金解决，属城乡社区支出。</w:t>
      </w:r>
    </w:p>
    <w:tbl>
      <w:tblPr>
        <w:tblStyle w:val="7"/>
        <w:tblW w:w="80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52"/>
        <w:gridCol w:w="1650"/>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项目(按功能分类)</w:t>
            </w:r>
          </w:p>
        </w:tc>
        <w:tc>
          <w:tcPr>
            <w:tcW w:w="165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本年数</w:t>
            </w:r>
            <w:r>
              <w:rPr>
                <w:rFonts w:hint="eastAsia" w:ascii="宋体" w:hAnsi="宋体" w:eastAsia="宋体" w:cs="宋体"/>
                <w:i w:val="0"/>
                <w:iCs w:val="0"/>
                <w:color w:val="000000"/>
                <w:kern w:val="0"/>
                <w:sz w:val="20"/>
                <w:szCs w:val="20"/>
                <w:u w:val="none"/>
                <w:lang w:val="en-US" w:eastAsia="zh-CN" w:bidi="ar"/>
              </w:rPr>
              <w:t>数</w:t>
            </w:r>
          </w:p>
        </w:tc>
        <w:tc>
          <w:tcPr>
            <w:tcW w:w="150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上年数</w:t>
            </w:r>
          </w:p>
        </w:tc>
        <w:tc>
          <w:tcPr>
            <w:tcW w:w="1500"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比上年增减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5,169.45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3972.54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1196.91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66.71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-456.14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52"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.财政拨款收入、支出分析。</w:t>
      </w:r>
    </w:p>
    <w:p>
      <w:pPr>
        <w:snapToGrid w:val="0"/>
        <w:spacing w:line="520" w:lineRule="exact"/>
        <w:ind w:firstLine="640" w:firstLineChars="200"/>
        <w:rPr>
          <w:rFonts w:hint="eastAsia" w:ascii="仿宋_GB2312" w:eastAsia="仿宋_GB2312"/>
          <w:sz w:val="32"/>
          <w:szCs w:val="32"/>
          <w:highlight w:val="none"/>
          <w:lang w:val="en-US" w:eastAsia="zh-CN"/>
        </w:rPr>
      </w:pPr>
      <w:r>
        <w:rPr>
          <w:rFonts w:hint="eastAsia" w:ascii="仿宋_GB2312" w:hAnsi="仿宋" w:eastAsia="仿宋_GB2312"/>
          <w:sz w:val="32"/>
          <w:szCs w:val="32"/>
        </w:rPr>
        <w:t>根据报表项目分析财政拨款收入、支出情况，</w:t>
      </w:r>
      <w:r>
        <w:rPr>
          <w:rFonts w:hint="eastAsia" w:ascii="仿宋_GB2312" w:eastAsia="仿宋_GB2312"/>
          <w:sz w:val="32"/>
          <w:szCs w:val="32"/>
          <w:highlight w:val="none"/>
          <w:lang w:val="en-US" w:eastAsia="zh-CN"/>
        </w:rPr>
        <w:t>包括分三本预算、预算级次、支出性质、功能分类等方面分析，以及结构性分析、上下年对比分析等。</w:t>
      </w:r>
    </w:p>
    <w:p>
      <w:pPr>
        <w:snapToGrid w:val="0"/>
        <w:spacing w:line="520" w:lineRule="exact"/>
        <w:ind w:firstLine="640" w:firstLineChars="200"/>
        <w:rPr>
          <w:rFonts w:hint="eastAsia" w:ascii="仿宋_GB2312" w:hAnsi="仿宋" w:eastAsia="仿宋_GB2312"/>
          <w:b w:val="0"/>
          <w:kern w:val="2"/>
          <w:sz w:val="32"/>
          <w:szCs w:val="32"/>
          <w:lang w:val="en-US" w:eastAsia="zh-CN" w:bidi="ar-SA"/>
        </w:rPr>
      </w:pPr>
      <w:r>
        <w:rPr>
          <w:rFonts w:hint="eastAsia" w:ascii="仿宋_GB2312" w:hAnsi="仿宋" w:eastAsia="仿宋_GB2312"/>
          <w:b w:val="0"/>
          <w:kern w:val="2"/>
          <w:sz w:val="32"/>
          <w:szCs w:val="32"/>
          <w:lang w:val="en-US" w:eastAsia="zh-CN" w:bidi="ar-SA"/>
        </w:rPr>
        <w:t>收入情况分析。2024年收入5353.83万元，较上年增加817.8万元，上升18.03%。其中：财政拨款收入5353.83万元，占100%。此外，使用非财政拨款结余0.00万元。</w:t>
      </w:r>
    </w:p>
    <w:p>
      <w:pPr>
        <w:numPr>
          <w:ilvl w:val="0"/>
          <w:numId w:val="0"/>
        </w:numPr>
        <w:snapToGrid w:val="0"/>
        <w:spacing w:line="520" w:lineRule="exact"/>
        <w:ind w:firstLine="640" w:firstLineChars="200"/>
        <w:rPr>
          <w:rFonts w:hint="eastAsia" w:ascii="仿宋_GB2312" w:eastAsia="仿宋_GB2312"/>
          <w:sz w:val="32"/>
          <w:szCs w:val="32"/>
          <w:highlight w:val="none"/>
          <w:lang w:val="en-US" w:eastAsia="zh-CN"/>
        </w:rPr>
      </w:pPr>
      <w:r>
        <w:rPr>
          <w:rFonts w:hint="eastAsia" w:ascii="仿宋_GB2312" w:hAnsi="仿宋" w:eastAsia="仿宋_GB2312"/>
          <w:b w:val="0"/>
          <w:kern w:val="2"/>
          <w:sz w:val="32"/>
          <w:szCs w:val="32"/>
          <w:lang w:val="en-US" w:eastAsia="zh-CN" w:bidi="ar-SA"/>
        </w:rPr>
        <w:t>支出情况分析。2024年度支出5353.83万元，较上年增加817.8万元，上升18.03%。其中：基本支出571.9万元，占10.68%；项目支出4781.94万元，占89.32%。</w:t>
      </w:r>
    </w:p>
    <w:p>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财政拨款收入、支出</w:t>
      </w:r>
      <w:r>
        <w:rPr>
          <w:rFonts w:hint="eastAsia" w:ascii="仿宋_GB2312" w:hAnsi="仿宋" w:eastAsia="仿宋_GB2312"/>
          <w:sz w:val="32"/>
          <w:szCs w:val="32"/>
          <w:lang w:val="en-US" w:eastAsia="zh-CN"/>
        </w:rPr>
        <w:t>5353.83万元，按支出性质和经济分类，如下表。</w:t>
      </w:r>
      <w:r>
        <w:rPr>
          <w:rFonts w:hint="eastAsia" w:ascii="仿宋_GB2312" w:hAnsi="仿宋" w:eastAsia="仿宋_GB2312" w:cs="Times New Roman"/>
          <w:sz w:val="32"/>
          <w:szCs w:val="32"/>
          <w:lang w:val="en-US" w:eastAsia="zh-CN"/>
        </w:rPr>
        <w:t>主要原因，一是下属事业单位医保中心新招录3人，基本支出费用增加。二是</w:t>
      </w:r>
      <w:r>
        <w:rPr>
          <w:rFonts w:hint="eastAsia" w:ascii="仿宋_GB2312" w:hAnsi="仿宋" w:eastAsia="仿宋_GB2312"/>
          <w:b w:val="0"/>
          <w:kern w:val="2"/>
          <w:sz w:val="32"/>
          <w:szCs w:val="32"/>
          <w:lang w:val="en-US" w:eastAsia="zh-CN" w:bidi="ar-SA"/>
        </w:rPr>
        <w:t>城乡医疗救助项目资金和“一事一议”特殊医疗救助项目资金增加。</w:t>
      </w:r>
    </w:p>
    <w:tbl>
      <w:tblPr>
        <w:tblStyle w:val="7"/>
        <w:tblW w:w="89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8"/>
        <w:gridCol w:w="1504"/>
        <w:gridCol w:w="1504"/>
        <w:gridCol w:w="1504"/>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项目(按支出性质和经济分类)</w:t>
            </w: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本年数</w:t>
            </w:r>
            <w:r>
              <w:rPr>
                <w:rFonts w:hint="eastAsia" w:ascii="宋体" w:hAnsi="宋体" w:eastAsia="宋体" w:cs="宋体"/>
                <w:i w:val="0"/>
                <w:iCs w:val="0"/>
                <w:color w:val="000000"/>
                <w:kern w:val="0"/>
                <w:sz w:val="20"/>
                <w:szCs w:val="20"/>
                <w:u w:val="none"/>
                <w:lang w:val="en-US" w:eastAsia="zh-CN" w:bidi="ar"/>
              </w:rPr>
              <w:t>数</w:t>
            </w: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上年数</w:t>
            </w: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比上年增减</w:t>
            </w: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04"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一、基本支出</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571.90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535.58</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36.32</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人员经费</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485.11</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446.37</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38.74</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公用经费</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86.79</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89.20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二、项目支出</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4,781.94</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4000.45</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781.49</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其中：基本建设类项目</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三、上缴上级支出</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四、经营支出</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8"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五、对附属单位补助支出</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pPr>
        <w:snapToGrid w:val="0"/>
        <w:spacing w:line="520" w:lineRule="exact"/>
        <w:rPr>
          <w:rFonts w:hint="eastAsia" w:ascii="仿宋_GB2312" w:eastAsia="仿宋_GB2312"/>
          <w:sz w:val="32"/>
          <w:szCs w:val="32"/>
          <w:highlight w:val="none"/>
          <w:lang w:val="en-US" w:eastAsia="zh-CN"/>
        </w:rPr>
      </w:pPr>
    </w:p>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.非财政拨款收入、支出分析。</w:t>
      </w:r>
    </w:p>
    <w:p>
      <w:pPr>
        <w:snapToGrid w:val="0"/>
        <w:spacing w:line="520" w:lineRule="exact"/>
        <w:ind w:firstLine="640" w:firstLineChars="200"/>
        <w:rPr>
          <w:rFonts w:hint="eastAsia" w:ascii="仿宋_GB2312" w:eastAsia="仿宋_GB2312"/>
          <w:sz w:val="32"/>
          <w:szCs w:val="32"/>
          <w:highlight w:val="none"/>
          <w:lang w:val="en-US" w:eastAsia="zh-CN"/>
        </w:rPr>
      </w:pPr>
      <w:r>
        <w:rPr>
          <w:rFonts w:hint="eastAsia" w:ascii="仿宋_GB2312" w:hAnsi="仿宋" w:eastAsia="仿宋_GB2312"/>
          <w:sz w:val="32"/>
          <w:szCs w:val="32"/>
        </w:rPr>
        <w:t>根据报表项目分析非财政拨款收入</w:t>
      </w:r>
      <w:r>
        <w:rPr>
          <w:rFonts w:hint="eastAsia" w:ascii="仿宋_GB2312" w:hAnsi="仿宋" w:eastAsia="仿宋_GB2312"/>
          <w:b w:val="0"/>
          <w:bCs/>
          <w:sz w:val="32"/>
          <w:szCs w:val="32"/>
        </w:rPr>
        <w:t>、支出</w:t>
      </w:r>
      <w:r>
        <w:rPr>
          <w:rFonts w:hint="eastAsia" w:ascii="仿宋_GB2312" w:hAnsi="仿宋" w:eastAsia="仿宋_GB2312"/>
          <w:sz w:val="32"/>
          <w:szCs w:val="32"/>
        </w:rPr>
        <w:t>情况，</w:t>
      </w:r>
      <w:r>
        <w:rPr>
          <w:rFonts w:hint="eastAsia" w:ascii="仿宋_GB2312" w:eastAsia="仿宋_GB2312"/>
          <w:sz w:val="32"/>
          <w:szCs w:val="32"/>
          <w:highlight w:val="none"/>
          <w:lang w:val="en-US" w:eastAsia="zh-CN"/>
        </w:rPr>
        <w:t>包括资金来源、单位性质、预算级次、支出性质、功能分类等方面分析，以及结构性分析、上下年对比分析等。</w:t>
      </w:r>
    </w:p>
    <w:p>
      <w:pPr>
        <w:snapToGrid w:val="0"/>
        <w:spacing w:line="520" w:lineRule="exact"/>
        <w:ind w:firstLine="640" w:firstLineChars="200"/>
        <w:rPr>
          <w:rFonts w:hint="eastAsia" w:ascii="仿宋_GB2312" w:eastAsia="仿宋_GB2312"/>
          <w:sz w:val="32"/>
          <w:szCs w:val="32"/>
          <w:highlight w:val="none"/>
          <w:lang w:val="en-US" w:eastAsia="zh-CN"/>
        </w:rPr>
      </w:pPr>
      <w:r>
        <w:rPr>
          <w:rFonts w:hint="eastAsia" w:ascii="仿宋_GB2312" w:hAnsi="仿宋" w:eastAsia="仿宋_GB2312"/>
          <w:sz w:val="32"/>
          <w:szCs w:val="32"/>
          <w:lang w:eastAsia="zh-CN"/>
        </w:rPr>
        <w:t>无非财政拨款收入。</w:t>
      </w:r>
    </w:p>
    <w:p>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sz w:val="32"/>
          <w:szCs w:val="32"/>
        </w:rPr>
        <w:t>（三）年末结转和结余情况。</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1.财政拨款结转和结余</w:t>
      </w:r>
    </w:p>
    <w:p>
      <w:pPr>
        <w:numPr>
          <w:ilvl w:val="0"/>
          <w:numId w:val="0"/>
        </w:numPr>
        <w:snapToGrid w:val="0"/>
        <w:spacing w:line="52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eastAsia="zh-CN"/>
        </w:rPr>
        <w:t>部门决算主表</w:t>
      </w:r>
      <w:r>
        <w:rPr>
          <w:rFonts w:hint="eastAsia" w:ascii="仿宋_GB2312" w:hAnsi="仿宋" w:eastAsia="仿宋_GB2312"/>
          <w:sz w:val="32"/>
          <w:szCs w:val="32"/>
          <w:highlight w:val="none"/>
        </w:rPr>
        <w:t>报表项目</w:t>
      </w:r>
      <w:r>
        <w:rPr>
          <w:rFonts w:hint="eastAsia" w:ascii="仿宋_GB2312" w:hAnsi="仿宋" w:eastAsia="仿宋_GB2312"/>
          <w:sz w:val="32"/>
          <w:szCs w:val="32"/>
          <w:highlight w:val="none"/>
          <w:lang w:eastAsia="zh-CN"/>
        </w:rPr>
        <w:t>中</w:t>
      </w:r>
      <w:r>
        <w:rPr>
          <w:rFonts w:hint="eastAsia" w:ascii="仿宋_GB2312" w:hAnsi="仿宋" w:eastAsia="仿宋_GB2312"/>
          <w:sz w:val="32"/>
          <w:szCs w:val="32"/>
          <w:highlight w:val="none"/>
        </w:rPr>
        <w:t>财政拨款结转结余分析总体情况</w:t>
      </w:r>
      <w:r>
        <w:rPr>
          <w:rFonts w:hint="eastAsia" w:ascii="仿宋_GB2312" w:hAnsi="仿宋" w:eastAsia="仿宋_GB2312"/>
          <w:sz w:val="32"/>
          <w:szCs w:val="32"/>
          <w:highlight w:val="none"/>
          <w:lang w:eastAsia="zh-CN"/>
        </w:rPr>
        <w:t>以及上下年对比情况</w:t>
      </w:r>
      <w:r>
        <w:rPr>
          <w:rFonts w:hint="eastAsia" w:ascii="仿宋_GB2312" w:hAnsi="仿宋" w:eastAsia="仿宋_GB2312"/>
          <w:sz w:val="32"/>
          <w:szCs w:val="32"/>
          <w:highlight w:val="none"/>
        </w:rPr>
        <w:t>。按照资金来源、资金性质</w:t>
      </w:r>
      <w:r>
        <w:rPr>
          <w:rFonts w:hint="eastAsia" w:ascii="仿宋_GB2312" w:hAnsi="仿宋" w:eastAsia="仿宋_GB2312"/>
          <w:sz w:val="32"/>
          <w:szCs w:val="32"/>
          <w:highlight w:val="none"/>
          <w:lang w:eastAsia="zh-CN"/>
        </w:rPr>
        <w:t>和功能分类</w:t>
      </w:r>
      <w:r>
        <w:rPr>
          <w:rFonts w:hint="eastAsia" w:ascii="仿宋_GB2312" w:hAnsi="仿宋" w:eastAsia="仿宋_GB2312"/>
          <w:sz w:val="32"/>
          <w:szCs w:val="32"/>
          <w:highlight w:val="none"/>
        </w:rPr>
        <w:t>分析，分别分析基本支出、项目支出结转和结余情况</w:t>
      </w:r>
      <w:r>
        <w:rPr>
          <w:rFonts w:hint="eastAsia" w:ascii="仿宋_GB2312" w:hAnsi="仿宋" w:eastAsia="仿宋_GB2312"/>
          <w:sz w:val="32"/>
          <w:szCs w:val="32"/>
          <w:highlight w:val="none"/>
          <w:lang w:eastAsia="zh-CN"/>
        </w:rPr>
        <w:t>。</w:t>
      </w:r>
    </w:p>
    <w:p>
      <w:pPr>
        <w:numPr>
          <w:ilvl w:val="0"/>
          <w:numId w:val="0"/>
        </w:numPr>
        <w:snapToGrid w:val="0"/>
        <w:spacing w:line="520" w:lineRule="exact"/>
        <w:ind w:firstLine="640" w:firstLineChars="200"/>
        <w:rPr>
          <w:rFonts w:hint="eastAsia" w:ascii="仿宋_GB2312" w:hAnsi="仿宋" w:eastAsia="仿宋_GB2312"/>
          <w:sz w:val="32"/>
          <w:szCs w:val="32"/>
          <w:highlight w:val="none"/>
          <w:lang w:eastAsia="zh-CN"/>
        </w:rPr>
      </w:pPr>
      <w:r>
        <w:rPr>
          <w:rFonts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4</w:t>
      </w:r>
      <w:r>
        <w:rPr>
          <w:rFonts w:ascii="Times New Roman" w:hAnsi="Times New Roman" w:eastAsia="方正仿宋_GBK" w:cs="Times New Roman"/>
          <w:kern w:val="0"/>
          <w:sz w:val="32"/>
          <w:szCs w:val="32"/>
        </w:rPr>
        <w:t>年度年末一般公共预算财政拨款结转和结余</w:t>
      </w:r>
      <w:r>
        <w:rPr>
          <w:rFonts w:hint="eastAsia" w:ascii="Times New Roman" w:hAnsi="Times New Roman" w:eastAsia="方正仿宋_GBK" w:cs="Times New Roman"/>
          <w:kern w:val="0"/>
          <w:sz w:val="32"/>
          <w:szCs w:val="32"/>
          <w:lang w:val="en-US" w:eastAsia="zh-CN"/>
        </w:rPr>
        <w:t>0.00</w:t>
      </w:r>
      <w:r>
        <w:rPr>
          <w:rFonts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政府性基金预算财政拨款年末结转结余0.00万元。</w:t>
      </w:r>
    </w:p>
    <w:p>
      <w:pPr>
        <w:numPr>
          <w:ilvl w:val="0"/>
          <w:numId w:val="0"/>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消化结转和结余的对策。</w:t>
      </w:r>
    </w:p>
    <w:p>
      <w:pPr>
        <w:numPr>
          <w:ilvl w:val="0"/>
          <w:numId w:val="0"/>
        </w:numPr>
        <w:snapToGrid w:val="0"/>
        <w:spacing w:line="52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2.非财政拨款结转和结余</w:t>
      </w:r>
    </w:p>
    <w:p>
      <w:pPr>
        <w:keepNext w:val="0"/>
        <w:keepLines w:val="0"/>
        <w:pageBreakBefore w:val="0"/>
        <w:numPr>
          <w:ilvl w:val="0"/>
          <w:numId w:val="5"/>
        </w:numPr>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eastAsia="zh-CN"/>
        </w:rPr>
        <w:t>部门决算主表</w:t>
      </w:r>
      <w:r>
        <w:rPr>
          <w:rFonts w:hint="eastAsia" w:ascii="仿宋_GB2312" w:hAnsi="仿宋" w:eastAsia="仿宋_GB2312"/>
          <w:sz w:val="32"/>
          <w:szCs w:val="32"/>
          <w:highlight w:val="none"/>
        </w:rPr>
        <w:t>报表项目</w:t>
      </w:r>
      <w:r>
        <w:rPr>
          <w:rFonts w:hint="eastAsia" w:ascii="仿宋_GB2312" w:hAnsi="仿宋" w:eastAsia="仿宋_GB2312"/>
          <w:sz w:val="32"/>
          <w:szCs w:val="32"/>
          <w:highlight w:val="none"/>
          <w:lang w:eastAsia="zh-CN"/>
        </w:rPr>
        <w:t>的非</w:t>
      </w:r>
      <w:r>
        <w:rPr>
          <w:rFonts w:hint="eastAsia" w:ascii="仿宋_GB2312" w:hAnsi="仿宋" w:eastAsia="仿宋_GB2312"/>
          <w:sz w:val="32"/>
          <w:szCs w:val="32"/>
          <w:highlight w:val="none"/>
        </w:rPr>
        <w:t>财政拨款结转结余分析总体情况</w:t>
      </w:r>
      <w:r>
        <w:rPr>
          <w:rFonts w:hint="eastAsia" w:ascii="仿宋_GB2312" w:hAnsi="仿宋" w:eastAsia="仿宋_GB2312"/>
          <w:sz w:val="32"/>
          <w:szCs w:val="32"/>
          <w:highlight w:val="none"/>
          <w:lang w:eastAsia="zh-CN"/>
        </w:rPr>
        <w:t>以及上下年对比情况</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对年末结转和结余中的“基本支出”、“项目支出结转和结余”按照资金来源、</w:t>
      </w:r>
      <w:r>
        <w:rPr>
          <w:rFonts w:hint="eastAsia" w:ascii="仿宋_GB2312" w:hAnsi="仿宋" w:eastAsia="仿宋_GB2312"/>
          <w:sz w:val="32"/>
          <w:szCs w:val="32"/>
          <w:highlight w:val="none"/>
        </w:rPr>
        <w:t>资金性质</w:t>
      </w:r>
      <w:r>
        <w:rPr>
          <w:rFonts w:hint="eastAsia" w:ascii="仿宋_GB2312" w:hAnsi="仿宋" w:eastAsia="仿宋_GB2312"/>
          <w:sz w:val="32"/>
          <w:szCs w:val="32"/>
          <w:highlight w:val="none"/>
          <w:lang w:eastAsia="zh-CN"/>
        </w:rPr>
        <w:t>和支出经济分类科目分析，</w:t>
      </w:r>
      <w:r>
        <w:rPr>
          <w:rFonts w:hint="eastAsia" w:ascii="仿宋_GB2312" w:hAnsi="仿宋" w:eastAsia="仿宋_GB2312"/>
          <w:sz w:val="32"/>
          <w:szCs w:val="32"/>
          <w:highlight w:val="none"/>
        </w:rPr>
        <w:t>分别分析</w:t>
      </w:r>
      <w:r>
        <w:rPr>
          <w:rFonts w:hint="eastAsia" w:ascii="仿宋_GB2312" w:hAnsi="仿宋" w:eastAsia="仿宋_GB2312"/>
          <w:sz w:val="32"/>
          <w:szCs w:val="32"/>
          <w:highlight w:val="none"/>
          <w:lang w:eastAsia="zh-CN"/>
        </w:rPr>
        <w:t>非财政拨款</w:t>
      </w:r>
      <w:r>
        <w:rPr>
          <w:rFonts w:hint="eastAsia" w:ascii="仿宋_GB2312" w:hAnsi="仿宋" w:eastAsia="仿宋_GB2312"/>
          <w:sz w:val="32"/>
          <w:szCs w:val="32"/>
          <w:highlight w:val="none"/>
        </w:rPr>
        <w:t>基本支出、项目支出结转和结余情况（经营亏损情况需单独说明）</w:t>
      </w:r>
      <w:r>
        <w:rPr>
          <w:rFonts w:hint="eastAsia" w:ascii="仿宋_GB2312" w:hAnsi="仿宋" w:eastAsia="仿宋_GB2312"/>
          <w:sz w:val="32"/>
          <w:szCs w:val="32"/>
          <w:highlight w:val="none"/>
          <w:lang w:eastAsia="zh-CN"/>
        </w:rPr>
        <w:t>。</w:t>
      </w:r>
    </w:p>
    <w:p>
      <w:pPr>
        <w:numPr>
          <w:ilvl w:val="0"/>
          <w:numId w:val="5"/>
        </w:num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根据部门决算附表中非财政拨款结转和结余滚存情况，按照基层单位</w:t>
      </w:r>
      <w:r>
        <w:rPr>
          <w:rFonts w:hint="eastAsia" w:ascii="仿宋_GB2312" w:hAnsi="仿宋_GB2312" w:eastAsia="仿宋_GB2312" w:cs="仿宋_GB2312"/>
          <w:sz w:val="32"/>
          <w:szCs w:val="32"/>
          <w:highlight w:val="none"/>
          <w:lang w:val="en-US" w:eastAsia="zh-CN"/>
        </w:rPr>
        <w:t>非财政拨款资金</w:t>
      </w:r>
      <w:r>
        <w:rPr>
          <w:rFonts w:hint="default" w:ascii="仿宋_GB2312" w:hAnsi="仿宋_GB2312" w:eastAsia="仿宋_GB2312" w:cs="仿宋_GB2312"/>
          <w:sz w:val="32"/>
          <w:szCs w:val="32"/>
          <w:highlight w:val="none"/>
          <w:lang w:val="en-US" w:eastAsia="zh-CN"/>
        </w:rPr>
        <w:t>规模、结构、结存状态、</w:t>
      </w:r>
      <w:r>
        <w:rPr>
          <w:rFonts w:hint="eastAsia" w:ascii="仿宋_GB2312" w:hAnsi="仿宋_GB2312" w:eastAsia="仿宋_GB2312" w:cs="仿宋_GB2312"/>
          <w:sz w:val="32"/>
          <w:szCs w:val="32"/>
          <w:highlight w:val="none"/>
          <w:lang w:val="en-US" w:eastAsia="zh-CN"/>
        </w:rPr>
        <w:t>上下年</w:t>
      </w:r>
      <w:r>
        <w:rPr>
          <w:rFonts w:hint="default" w:ascii="仿宋_GB2312" w:hAnsi="仿宋_GB2312" w:eastAsia="仿宋_GB2312" w:cs="仿宋_GB2312"/>
          <w:sz w:val="32"/>
          <w:szCs w:val="32"/>
          <w:highlight w:val="none"/>
          <w:lang w:val="en-US" w:eastAsia="zh-CN"/>
        </w:rPr>
        <w:t>变动</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超过10%的</w:t>
      </w:r>
      <w:r>
        <w:rPr>
          <w:rFonts w:hint="eastAsia" w:ascii="仿宋_GB2312" w:hAnsi="仿宋_GB2312" w:eastAsia="仿宋_GB2312" w:cs="仿宋_GB2312"/>
          <w:sz w:val="32"/>
          <w:szCs w:val="32"/>
          <w:highlight w:val="none"/>
          <w:lang w:val="en-US" w:eastAsia="zh-CN"/>
        </w:rPr>
        <w:t>单位</w:t>
      </w:r>
      <w:r>
        <w:rPr>
          <w:rFonts w:hint="default" w:ascii="仿宋_GB2312" w:hAnsi="仿宋_GB2312" w:eastAsia="仿宋_GB2312" w:cs="仿宋_GB2312"/>
          <w:sz w:val="32"/>
          <w:szCs w:val="32"/>
          <w:highlight w:val="none"/>
          <w:lang w:val="en-US" w:eastAsia="zh-CN"/>
        </w:rPr>
        <w:t>着重分析</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及沉淀</w:t>
      </w:r>
      <w:r>
        <w:rPr>
          <w:rFonts w:hint="eastAsia" w:ascii="仿宋_GB2312" w:hAnsi="仿宋_GB2312" w:eastAsia="仿宋_GB2312" w:cs="仿宋_GB2312"/>
          <w:sz w:val="32"/>
          <w:szCs w:val="32"/>
          <w:highlight w:val="none"/>
          <w:lang w:val="en-US" w:eastAsia="zh-CN"/>
        </w:rPr>
        <w:t>原因进行分析。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288" w:lineRule="atLeast"/>
        <w:ind w:left="0" w:right="0" w:firstLine="420"/>
        <w:jc w:val="left"/>
        <w:rPr>
          <w:rFonts w:hint="eastAsia" w:ascii="WenQuanYi Micro Hei" w:hAnsi="WenQuanYi Micro Hei" w:eastAsia="WenQuanYi Micro Hei" w:cs="WenQuanYi Micro Hei"/>
          <w:i w:val="0"/>
          <w:caps w:val="0"/>
          <w:color w:val="333333"/>
          <w:spacing w:val="0"/>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消化</w:t>
      </w:r>
      <w:r>
        <w:rPr>
          <w:rFonts w:hint="eastAsia" w:ascii="仿宋_GB2312" w:hAnsi="仿宋" w:eastAsia="仿宋_GB2312"/>
          <w:sz w:val="32"/>
          <w:szCs w:val="32"/>
          <w:highlight w:val="none"/>
          <w:lang w:eastAsia="zh-CN"/>
        </w:rPr>
        <w:t>非财政拨款</w:t>
      </w:r>
      <w:r>
        <w:rPr>
          <w:rFonts w:hint="eastAsia" w:ascii="仿宋_GB2312" w:hAnsi="仿宋" w:eastAsia="仿宋_GB2312"/>
          <w:sz w:val="32"/>
          <w:szCs w:val="32"/>
          <w:highlight w:val="none"/>
        </w:rPr>
        <w:t>结转和结余的对策</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可</w:t>
      </w:r>
      <w:r>
        <w:rPr>
          <w:rFonts w:hint="eastAsia" w:ascii="仿宋_GB2312" w:hAnsi="仿宋_GB2312" w:eastAsia="仿宋_GB2312" w:cs="仿宋_GB2312"/>
          <w:i w:val="0"/>
          <w:caps w:val="0"/>
          <w:color w:val="333333"/>
          <w:spacing w:val="0"/>
          <w:kern w:val="0"/>
          <w:sz w:val="32"/>
          <w:szCs w:val="32"/>
          <w:highlight w:val="none"/>
          <w:shd w:val="clear" w:color="auto" w:fill="FFFFFF"/>
          <w:lang w:val="en-US" w:eastAsia="zh-CN" w:bidi="ar"/>
        </w:rPr>
        <w:t>结合基层单位所提对策及单位性质</w:t>
      </w:r>
      <w:r>
        <w:rPr>
          <w:rFonts w:hint="default" w:ascii="仿宋_GB2312" w:hAnsi="仿宋_GB2312" w:eastAsia="仿宋_GB2312" w:cs="仿宋_GB2312"/>
          <w:sz w:val="32"/>
          <w:szCs w:val="32"/>
          <w:highlight w:val="none"/>
          <w:lang w:val="en-US" w:eastAsia="zh-CN"/>
        </w:rPr>
        <w:t>提出处置意见</w:t>
      </w:r>
      <w:r>
        <w:rPr>
          <w:rFonts w:hint="eastAsia" w:ascii="仿宋_GB2312" w:hAnsi="仿宋_GB2312" w:eastAsia="仿宋_GB2312" w:cs="仿宋_GB2312"/>
          <w:sz w:val="32"/>
          <w:szCs w:val="32"/>
          <w:highlight w:val="none"/>
          <w:lang w:val="en-US" w:eastAsia="zh-CN"/>
        </w:rPr>
        <w:t>，重点研究</w:t>
      </w:r>
      <w:r>
        <w:rPr>
          <w:rFonts w:hint="default" w:ascii="仿宋_GB2312" w:hAnsi="仿宋_GB2312" w:eastAsia="仿宋_GB2312" w:cs="仿宋_GB2312"/>
          <w:i w:val="0"/>
          <w:caps w:val="0"/>
          <w:color w:val="auto"/>
          <w:spacing w:val="0"/>
          <w:kern w:val="2"/>
          <w:sz w:val="32"/>
          <w:szCs w:val="32"/>
          <w:highlight w:val="none"/>
          <w:shd w:val="clear" w:color="auto" w:fill="auto"/>
          <w:lang w:val="en-US" w:eastAsia="zh-CN" w:bidi="ar"/>
        </w:rPr>
        <w:t>部门统筹所属单位非财政拨款收入</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的可行性和</w:t>
      </w:r>
      <w:r>
        <w:rPr>
          <w:rFonts w:hint="default" w:ascii="仿宋_GB2312" w:hAnsi="仿宋_GB2312" w:eastAsia="仿宋_GB2312" w:cs="仿宋_GB2312"/>
          <w:i w:val="0"/>
          <w:caps w:val="0"/>
          <w:color w:val="auto"/>
          <w:spacing w:val="0"/>
          <w:kern w:val="2"/>
          <w:sz w:val="32"/>
          <w:szCs w:val="32"/>
          <w:highlight w:val="none"/>
          <w:shd w:val="clear" w:color="auto" w:fill="auto"/>
          <w:lang w:val="en-US" w:eastAsia="zh-CN" w:bidi="ar"/>
        </w:rPr>
        <w:t>统筹</w:t>
      </w: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非财政拨款与财政拨款支出的有效措施</w:t>
      </w:r>
      <w:r>
        <w:rPr>
          <w:rFonts w:hint="default" w:ascii="仿宋_GB2312" w:hAnsi="仿宋_GB2312" w:eastAsia="仿宋_GB2312" w:cs="仿宋_GB2312"/>
          <w:i w:val="0"/>
          <w:caps w:val="0"/>
          <w:color w:val="auto"/>
          <w:spacing w:val="0"/>
          <w:kern w:val="2"/>
          <w:sz w:val="32"/>
          <w:szCs w:val="32"/>
          <w:highlight w:val="none"/>
          <w:shd w:val="clear" w:color="auto" w:fill="auto"/>
          <w:lang w:val="en-US" w:eastAsia="zh-CN" w:bidi="ar"/>
        </w:rPr>
        <w:t>。</w:t>
      </w:r>
    </w:p>
    <w:p>
      <w:pPr>
        <w:snapToGrid w:val="0"/>
        <w:spacing w:line="520" w:lineRule="exact"/>
        <w:ind w:firstLine="643" w:firstLineChars="200"/>
        <w:outlineLvl w:val="0"/>
        <w:rPr>
          <w:rFonts w:ascii="楷体_GB2312" w:hAnsi="仿宋" w:eastAsia="楷体_GB2312"/>
          <w:b/>
          <w:dstrike w:val="0"/>
          <w:sz w:val="32"/>
          <w:szCs w:val="32"/>
          <w:highlight w:val="none"/>
        </w:rPr>
      </w:pPr>
      <w:r>
        <w:rPr>
          <w:rFonts w:hint="eastAsia" w:ascii="楷体_GB2312" w:hAnsi="仿宋" w:eastAsia="楷体_GB2312"/>
          <w:b/>
          <w:dstrike w:val="0"/>
          <w:sz w:val="32"/>
          <w:szCs w:val="32"/>
          <w:highlight w:val="none"/>
        </w:rPr>
        <w:t>（四）与预算支出相关的其他指标分析。</w:t>
      </w:r>
    </w:p>
    <w:p>
      <w:pPr>
        <w:snapToGrid w:val="0"/>
        <w:spacing w:line="520" w:lineRule="exact"/>
        <w:ind w:firstLine="640" w:firstLineChars="200"/>
        <w:rPr>
          <w:rFonts w:hint="eastAsia" w:ascii="仿宋_GB2312" w:hAnsi="仿宋" w:eastAsia="仿宋_GB2312"/>
          <w:dstrike w:val="0"/>
          <w:sz w:val="32"/>
          <w:szCs w:val="32"/>
          <w:highlight w:val="none"/>
          <w:lang w:eastAsia="zh-CN"/>
        </w:rPr>
      </w:pPr>
      <w:r>
        <w:rPr>
          <w:rFonts w:hint="eastAsia" w:ascii="仿宋_GB2312" w:hAnsi="仿宋" w:eastAsia="仿宋_GB2312"/>
          <w:dstrike w:val="0"/>
          <w:sz w:val="32"/>
          <w:szCs w:val="32"/>
          <w:highlight w:val="none"/>
          <w:lang w:eastAsia="zh-CN"/>
        </w:rPr>
        <w:t>对资产信息、机构人员信息和非税收入征缴信息进行分析，主要分析与上年度对比情况，与本年度预算管理及财务管理对应情况及主要原因等。</w:t>
      </w:r>
    </w:p>
    <w:p>
      <w:pPr>
        <w:snapToGrid w:val="0"/>
        <w:spacing w:line="520" w:lineRule="exact"/>
        <w:ind w:firstLine="640" w:firstLineChars="200"/>
        <w:rPr>
          <w:rFonts w:hint="eastAsia" w:ascii="仿宋_GB2312" w:hAnsi="仿宋" w:eastAsia="仿宋_GB2312"/>
          <w:dstrike w:val="0"/>
          <w:sz w:val="32"/>
          <w:szCs w:val="32"/>
          <w:highlight w:val="none"/>
          <w:lang w:eastAsia="zh-CN"/>
        </w:rPr>
      </w:pPr>
      <w:r>
        <w:rPr>
          <w:rFonts w:hint="eastAsia" w:ascii="仿宋_GB2312" w:hAnsi="仿宋" w:eastAsia="仿宋_GB2312"/>
          <w:b w:val="0"/>
          <w:color w:val="auto"/>
          <w:kern w:val="2"/>
          <w:sz w:val="32"/>
          <w:szCs w:val="32"/>
          <w:lang w:val="en-US" w:eastAsia="zh-CN" w:bidi="ar-SA"/>
        </w:rPr>
        <w:t>2024年银行存款209.56，较上年增加206.6万元，主要原因是2024年12月城乡医疗救助因关账未能及时拨付到末端。存量公务用车1辆，原值17.98万元</w:t>
      </w:r>
      <w:r>
        <w:rPr>
          <w:rFonts w:hint="eastAsia" w:ascii="仿宋_GB2312" w:hAnsi="仿宋" w:eastAsia="仿宋_GB2312"/>
          <w:dstrike w:val="0"/>
          <w:sz w:val="32"/>
          <w:szCs w:val="32"/>
          <w:highlight w:val="none"/>
          <w:lang w:val="en-US" w:eastAsia="zh-CN"/>
        </w:rPr>
        <w:t>。</w:t>
      </w:r>
      <w:r>
        <w:rPr>
          <w:rFonts w:hint="eastAsia" w:ascii="仿宋_GB2312" w:hAnsi="仿宋" w:eastAsia="仿宋_GB2312"/>
          <w:dstrike w:val="0"/>
          <w:sz w:val="32"/>
          <w:szCs w:val="32"/>
          <w:highlight w:val="none"/>
          <w:lang w:eastAsia="zh-CN"/>
        </w:rPr>
        <w:t>非税收入征缴354.67</w:t>
      </w:r>
      <w:r>
        <w:rPr>
          <w:rFonts w:hint="eastAsia" w:ascii="仿宋_GB2312" w:hAnsi="仿宋" w:eastAsia="仿宋_GB2312"/>
          <w:dstrike w:val="0"/>
          <w:sz w:val="32"/>
          <w:szCs w:val="32"/>
          <w:highlight w:val="none"/>
          <w:lang w:val="en-US" w:eastAsia="zh-CN"/>
        </w:rPr>
        <w:t>万元。</w:t>
      </w:r>
    </w:p>
    <w:p>
      <w:pPr>
        <w:snapToGrid w:val="0"/>
        <w:spacing w:line="520" w:lineRule="exact"/>
        <w:ind w:firstLine="643" w:firstLineChars="200"/>
        <w:outlineLvl w:val="0"/>
        <w:rPr>
          <w:rFonts w:ascii="楷体_GB2312" w:hAnsi="仿宋" w:eastAsia="楷体_GB2312"/>
          <w:b/>
          <w:sz w:val="32"/>
          <w:szCs w:val="32"/>
        </w:rPr>
      </w:pPr>
      <w:r>
        <w:rPr>
          <w:rFonts w:hint="eastAsia" w:ascii="楷体_GB2312" w:hAnsi="仿宋" w:eastAsia="楷体_GB2312"/>
          <w:b/>
          <w:dstrike w:val="0"/>
          <w:sz w:val="32"/>
          <w:szCs w:val="32"/>
        </w:rPr>
        <w:t>（五）</w:t>
      </w:r>
      <w:r>
        <w:rPr>
          <w:rFonts w:hint="eastAsia" w:ascii="楷体_GB2312" w:hAnsi="仿宋" w:eastAsia="楷体_GB2312"/>
          <w:b/>
          <w:sz w:val="32"/>
          <w:szCs w:val="32"/>
        </w:rPr>
        <w:t>绩效目标完成情况。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1.概述一级项目和二级项目绩效目标完成情况。</w:t>
      </w:r>
    </w:p>
    <w:p>
      <w:pPr>
        <w:snapToGrid w:val="0"/>
        <w:spacing w:line="520" w:lineRule="exact"/>
        <w:ind w:firstLine="640" w:firstLineChars="200"/>
        <w:rPr>
          <w:rFonts w:hint="eastAsia" w:ascii="仿宋_GB2312" w:hAnsi="仿宋" w:eastAsia="仿宋_GB2312"/>
          <w:sz w:val="32"/>
          <w:szCs w:val="32"/>
        </w:rPr>
      </w:pPr>
      <w:r>
        <w:rPr>
          <w:rFonts w:ascii="Times New Roman" w:hAnsi="Times New Roman" w:eastAsia="方正仿宋_GBK" w:cs="Times New Roman"/>
          <w:kern w:val="0"/>
          <w:sz w:val="32"/>
          <w:szCs w:val="32"/>
        </w:rPr>
        <w:t>我局严格按照相关规定确保绩效目标落实到位，实现了绩效目标，取得了真正实效。</w:t>
      </w:r>
      <w:r>
        <w:rPr>
          <w:rFonts w:hint="eastAsia" w:ascii="仿宋_GB2312" w:hAnsi="仿宋" w:eastAsia="仿宋_GB2312"/>
          <w:sz w:val="32"/>
          <w:szCs w:val="32"/>
        </w:rPr>
        <w:t>服务对象</w:t>
      </w:r>
      <w:r>
        <w:rPr>
          <w:rFonts w:hint="eastAsia" w:ascii="仿宋_GB2312" w:hAnsi="仿宋" w:eastAsia="仿宋_GB2312"/>
          <w:sz w:val="32"/>
          <w:szCs w:val="32"/>
          <w:lang w:val="en-US" w:eastAsia="zh-CN"/>
        </w:rPr>
        <w:t>60万人次以上，促进</w:t>
      </w:r>
      <w:r>
        <w:rPr>
          <w:rFonts w:hint="eastAsia" w:ascii="仿宋_GB2312" w:hAnsi="仿宋" w:eastAsia="仿宋_GB2312"/>
          <w:sz w:val="32"/>
          <w:szCs w:val="32"/>
        </w:rPr>
        <w:t>医疗保障事业发展，加强医疗保险服务管理</w:t>
      </w:r>
      <w:r>
        <w:rPr>
          <w:rFonts w:hint="eastAsia" w:ascii="仿宋_GB2312" w:hAnsi="仿宋" w:eastAsia="仿宋_GB2312"/>
          <w:sz w:val="32"/>
          <w:szCs w:val="32"/>
          <w:lang w:eastAsia="zh-CN"/>
        </w:rPr>
        <w:t>，</w:t>
      </w:r>
      <w:r>
        <w:rPr>
          <w:rFonts w:hint="eastAsia" w:ascii="仿宋_GB2312" w:hAnsi="仿宋" w:eastAsia="仿宋_GB2312"/>
          <w:sz w:val="32"/>
          <w:szCs w:val="32"/>
        </w:rPr>
        <w:t>解决群众就医难问题，积极推进便民服务，精简办事流程和手续</w:t>
      </w:r>
      <w:r>
        <w:rPr>
          <w:rFonts w:hint="eastAsia" w:ascii="仿宋_GB2312" w:hAnsi="仿宋" w:eastAsia="仿宋_GB2312"/>
          <w:sz w:val="32"/>
          <w:szCs w:val="32"/>
          <w:lang w:eastAsia="zh-CN"/>
        </w:rPr>
        <w:t>，</w:t>
      </w:r>
      <w:r>
        <w:rPr>
          <w:rFonts w:hint="eastAsia" w:ascii="仿宋_GB2312" w:hAnsi="仿宋" w:eastAsia="仿宋_GB2312"/>
          <w:sz w:val="32"/>
          <w:szCs w:val="32"/>
        </w:rPr>
        <w:t>为提升医保管理能力水平，保障医保服务能力提升</w:t>
      </w:r>
      <w:r>
        <w:rPr>
          <w:rFonts w:hint="eastAsia" w:ascii="仿宋_GB2312" w:hAnsi="仿宋" w:eastAsia="仿宋_GB2312"/>
          <w:sz w:val="32"/>
          <w:szCs w:val="32"/>
          <w:lang w:eastAsia="zh-CN"/>
        </w:rPr>
        <w:t>，加强宣传力度，普及</w:t>
      </w:r>
      <w:r>
        <w:rPr>
          <w:rFonts w:hint="eastAsia" w:ascii="仿宋_GB2312" w:hAnsi="仿宋" w:eastAsia="仿宋_GB2312"/>
          <w:sz w:val="32"/>
          <w:szCs w:val="32"/>
        </w:rPr>
        <w:t>政策知晓率，</w:t>
      </w:r>
      <w:r>
        <w:rPr>
          <w:rFonts w:hint="eastAsia" w:ascii="仿宋_GB2312" w:hAnsi="仿宋" w:eastAsia="仿宋_GB2312"/>
          <w:sz w:val="32"/>
          <w:szCs w:val="32"/>
          <w:lang w:eastAsia="zh-CN"/>
        </w:rPr>
        <w:t>提高</w:t>
      </w:r>
      <w:r>
        <w:rPr>
          <w:rFonts w:hint="eastAsia" w:ascii="仿宋_GB2312" w:hAnsi="仿宋" w:eastAsia="仿宋_GB2312"/>
          <w:sz w:val="32"/>
          <w:szCs w:val="32"/>
        </w:rPr>
        <w:t>工作满意度</w:t>
      </w:r>
      <w:r>
        <w:rPr>
          <w:rFonts w:hint="eastAsia" w:ascii="仿宋_GB2312" w:hAnsi="仿宋" w:eastAsia="仿宋_GB2312"/>
          <w:sz w:val="32"/>
          <w:szCs w:val="32"/>
          <w:lang w:eastAsia="zh-CN"/>
        </w:rPr>
        <w:t>。</w:t>
      </w:r>
    </w:p>
    <w:p>
      <w:pPr>
        <w:snapToGrid w:val="0"/>
        <w:spacing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2.概述下属单位整体支出绩效目标实现情况（如有）。</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3.概述以部门为主体开展的重点项目绩效评价情况：绩效评价结果，发现的问题及改进措施等（如有）。</w:t>
      </w:r>
    </w:p>
    <w:p>
      <w:pPr>
        <w:snapToGrid w:val="0"/>
        <w:spacing w:line="520" w:lineRule="exact"/>
        <w:ind w:firstLine="600" w:firstLineChars="200"/>
        <w:rPr>
          <w:rFonts w:ascii="仿宋_GB2312" w:hAnsi="仿宋" w:eastAsia="仿宋_GB2312"/>
          <w:color w:val="000000"/>
          <w:sz w:val="32"/>
          <w:szCs w:val="32"/>
        </w:rPr>
      </w:pPr>
      <w:r>
        <w:rPr>
          <w:rFonts w:hint="eastAsia" w:ascii="楷体_GB2312" w:hAnsi="仿宋" w:eastAsia="楷体_GB2312"/>
          <w:color w:val="000000"/>
          <w:sz w:val="30"/>
          <w:szCs w:val="30"/>
        </w:rPr>
        <w:t>注：个别单位如在报送决算时尚未完成绩效评价工作的，可不在报告中说明。</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dstrike w:val="0"/>
          <w:sz w:val="32"/>
          <w:szCs w:val="32"/>
        </w:rPr>
        <w:t>（六）</w:t>
      </w:r>
      <w:r>
        <w:rPr>
          <w:rFonts w:hint="eastAsia" w:ascii="楷体_GB2312" w:hAnsi="仿宋" w:eastAsia="楷体_GB2312"/>
          <w:b/>
          <w:sz w:val="32"/>
          <w:szCs w:val="32"/>
        </w:rPr>
        <w:t>当年预算执行及绩效管理中存在问题、原因及改进措施。</w:t>
      </w:r>
    </w:p>
    <w:p>
      <w:pPr>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三、本年度部门决算等财务工作开展情况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（一）本部门财务管理、绩效管理、决算组织、编报、审核情况。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（二）本部门决算及绩效信息公开工作，主管部门对所属单位决算批复和组织公开决算工作开展情况。</w:t>
      </w:r>
    </w:p>
    <w:p>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sz w:val="32"/>
          <w:szCs w:val="32"/>
        </w:rPr>
        <w:t>（三）</w:t>
      </w:r>
      <w:r>
        <w:rPr>
          <w:rFonts w:hint="eastAsia" w:ascii="楷体_GB2312" w:hAnsi="仿宋" w:eastAsia="楷体_GB2312"/>
          <w:b/>
          <w:sz w:val="32"/>
          <w:szCs w:val="32"/>
        </w:rPr>
        <w:t>对部门决算管理工作的意见和建议。</w:t>
      </w:r>
    </w:p>
    <w:p>
      <w:pPr>
        <w:ind w:firstLine="709"/>
        <w:rPr>
          <w:rFonts w:ascii="仿宋_GB2312" w:hAnsi="仿宋" w:eastAsia="仿宋_GB2312" w:cs="仿宋"/>
          <w:color w:val="000000"/>
          <w:sz w:val="32"/>
          <w:szCs w:val="32"/>
        </w:rPr>
      </w:pP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.自行增加的审核公式和模板，请说明设置依据。</w:t>
      </w:r>
    </w:p>
    <w:p>
      <w:pPr>
        <w:ind w:firstLine="709"/>
        <w:rPr>
          <w:rFonts w:ascii="仿宋_GB2312" w:hAnsi="仿宋" w:eastAsia="仿宋_GB2312"/>
          <w:color w:val="000000"/>
          <w:sz w:val="32"/>
          <w:szCs w:val="32"/>
        </w:rPr>
      </w:pPr>
      <w:r>
        <w:rPr>
          <w:rFonts w:hint="eastAsia" w:ascii="仿宋_GB2312" w:hAnsi="仿宋" w:eastAsia="仿宋_GB2312" w:cs="仿宋"/>
          <w:color w:val="000000"/>
          <w:sz w:val="32"/>
          <w:szCs w:val="32"/>
        </w:rPr>
        <w:t>2.对</w:t>
      </w:r>
      <w:r>
        <w:rPr>
          <w:rFonts w:ascii="仿宋_GB2312" w:hAnsi="仿宋" w:eastAsia="仿宋_GB2312" w:cs="仿宋"/>
          <w:color w:val="000000"/>
          <w:sz w:val="32"/>
          <w:szCs w:val="32"/>
        </w:rPr>
        <w:t>部门决算</w:t>
      </w:r>
      <w:r>
        <w:rPr>
          <w:rFonts w:hint="eastAsia" w:ascii="仿宋_GB2312" w:hAnsi="仿宋" w:eastAsia="仿宋_GB2312" w:cs="仿宋"/>
          <w:color w:val="000000"/>
          <w:sz w:val="32"/>
          <w:szCs w:val="32"/>
        </w:rPr>
        <w:t>报表修订</w:t>
      </w:r>
      <w:r>
        <w:rPr>
          <w:rFonts w:ascii="仿宋_GB2312" w:hAnsi="仿宋" w:eastAsia="仿宋_GB2312" w:cs="仿宋"/>
          <w:color w:val="000000"/>
          <w:sz w:val="32"/>
          <w:szCs w:val="32"/>
        </w:rPr>
        <w:t>设计</w:t>
      </w:r>
      <w:r>
        <w:rPr>
          <w:rFonts w:hint="eastAsia" w:ascii="仿宋_GB2312" w:hAnsi="仿宋" w:eastAsia="仿宋_GB2312" w:cs="仿宋"/>
          <w:color w:val="000000"/>
          <w:sz w:val="32"/>
          <w:szCs w:val="32"/>
        </w:rPr>
        <w:t>的</w:t>
      </w:r>
      <w:r>
        <w:rPr>
          <w:rFonts w:ascii="仿宋_GB2312" w:hAnsi="仿宋" w:eastAsia="仿宋_GB2312" w:cs="仿宋"/>
          <w:color w:val="000000"/>
          <w:sz w:val="32"/>
          <w:szCs w:val="32"/>
        </w:rPr>
        <w:t>意见和建议，包括</w:t>
      </w:r>
      <w:r>
        <w:rPr>
          <w:rFonts w:hint="eastAsia" w:ascii="仿宋_GB2312" w:hAnsi="仿宋" w:eastAsia="仿宋_GB2312" w:cs="仿宋"/>
          <w:color w:val="000000"/>
          <w:sz w:val="32"/>
          <w:szCs w:val="32"/>
        </w:rPr>
        <w:t>表样</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指标设置、软件</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审核公式、模板和</w:t>
      </w:r>
      <w:r>
        <w:rPr>
          <w:rFonts w:ascii="仿宋_GB2312" w:hAnsi="仿宋" w:eastAsia="仿宋_GB2312" w:cs="仿宋"/>
          <w:color w:val="000000"/>
          <w:sz w:val="32"/>
          <w:szCs w:val="32"/>
        </w:rPr>
        <w:t>编</w:t>
      </w:r>
      <w:r>
        <w:rPr>
          <w:rFonts w:hint="eastAsia" w:ascii="仿宋_GB2312" w:hAnsi="仿宋" w:eastAsia="仿宋_GB2312" w:cs="仿宋"/>
          <w:color w:val="000000"/>
          <w:sz w:val="32"/>
          <w:szCs w:val="32"/>
        </w:rPr>
        <w:t>审</w:t>
      </w:r>
      <w:r>
        <w:rPr>
          <w:rFonts w:ascii="仿宋_GB2312" w:hAnsi="仿宋" w:eastAsia="仿宋_GB2312" w:cs="仿宋"/>
          <w:color w:val="000000"/>
          <w:sz w:val="32"/>
          <w:szCs w:val="32"/>
        </w:rPr>
        <w:t>问答</w:t>
      </w:r>
      <w:r>
        <w:rPr>
          <w:rFonts w:hint="eastAsia" w:ascii="仿宋_GB2312" w:hAnsi="仿宋" w:eastAsia="仿宋_GB2312" w:cs="仿宋"/>
          <w:color w:val="000000"/>
          <w:sz w:val="32"/>
          <w:szCs w:val="32"/>
        </w:rPr>
        <w:t>等，请列出并说明修改意见。</w:t>
      </w:r>
    </w:p>
    <w:p>
      <w:pPr>
        <w:snapToGrid w:val="0"/>
        <w:spacing w:line="580" w:lineRule="exact"/>
        <w:ind w:firstLine="640" w:firstLineChars="200"/>
        <w:rPr>
          <w:rFonts w:ascii="楷体_GB2312" w:hAnsi="仿宋" w:eastAsia="楷体_GB2312"/>
          <w:b/>
          <w:sz w:val="32"/>
          <w:szCs w:val="32"/>
        </w:rPr>
      </w:pPr>
      <w:r>
        <w:rPr>
          <w:rFonts w:hint="eastAsia" w:ascii="仿宋_GB2312" w:hAnsi="仿宋" w:eastAsia="仿宋_GB2312" w:cs="仿宋"/>
          <w:color w:val="000000"/>
          <w:sz w:val="32"/>
          <w:szCs w:val="32"/>
        </w:rPr>
        <w:t>3.对部门决算其他管理</w:t>
      </w:r>
      <w:r>
        <w:rPr>
          <w:rFonts w:ascii="仿宋_GB2312" w:hAnsi="仿宋" w:eastAsia="仿宋_GB2312" w:cs="仿宋"/>
          <w:color w:val="000000"/>
          <w:sz w:val="32"/>
          <w:szCs w:val="32"/>
        </w:rPr>
        <w:t>工作</w:t>
      </w:r>
      <w:r>
        <w:rPr>
          <w:rFonts w:hint="eastAsia" w:ascii="仿宋_GB2312" w:hAnsi="仿宋" w:eastAsia="仿宋_GB2312" w:cs="仿宋"/>
          <w:color w:val="000000"/>
          <w:sz w:val="32"/>
          <w:szCs w:val="32"/>
        </w:rPr>
        <w:t>的建议。例如对加强部门决算数据分析利用工作、部门决算信息化建设等建议。</w:t>
      </w:r>
    </w:p>
    <w:p>
      <w:pPr>
        <w:snapToGrid w:val="0"/>
        <w:spacing w:line="520" w:lineRule="exact"/>
        <w:ind w:firstLine="640" w:firstLineChars="200"/>
        <w:rPr>
          <w:rFonts w:ascii="仿宋_GB2312" w:hAnsi="仿宋" w:eastAsia="仿宋_GB2312"/>
          <w:sz w:val="32"/>
          <w:szCs w:val="32"/>
        </w:rPr>
      </w:pP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注：收入支出预算执行情况分析可参考部门决算分析评价表及行政事业单位财务分析指标（附后）。</w:t>
      </w:r>
    </w:p>
    <w:p>
      <w:pPr>
        <w:snapToGrid w:val="0"/>
        <w:rPr>
          <w:rFonts w:ascii="仿宋_GB2312" w:hAnsi="仿宋" w:eastAsia="仿宋_GB2312"/>
          <w:sz w:val="32"/>
          <w:szCs w:val="32"/>
        </w:rPr>
      </w:pPr>
      <w:r>
        <w:rPr>
          <w:rFonts w:ascii="仿宋_GB2312" w:hAnsi="仿宋" w:eastAsia="仿宋_GB2312"/>
          <w:sz w:val="32"/>
          <w:szCs w:val="32"/>
        </w:rPr>
        <w:br w:type="page"/>
      </w:r>
      <w:r>
        <w:rPr>
          <w:rFonts w:hint="eastAsia" w:ascii="仿宋_GB2312" w:hAnsi="仿宋" w:eastAsia="仿宋_GB2312"/>
          <w:sz w:val="32"/>
          <w:szCs w:val="32"/>
        </w:rPr>
        <w:t>附：</w:t>
      </w:r>
    </w:p>
    <w:p>
      <w:pPr>
        <w:snapToGrid w:val="0"/>
        <w:ind w:firstLine="640" w:firstLineChars="200"/>
        <w:jc w:val="center"/>
        <w:rPr>
          <w:rFonts w:ascii="华文中宋" w:hAnsi="华文中宋" w:eastAsia="华文中宋"/>
          <w:sz w:val="32"/>
          <w:szCs w:val="32"/>
        </w:rPr>
      </w:pPr>
    </w:p>
    <w:p>
      <w:pPr>
        <w:snapToGrid w:val="0"/>
        <w:ind w:firstLine="640" w:firstLineChars="200"/>
        <w:jc w:val="center"/>
        <w:rPr>
          <w:rFonts w:ascii="华文中宋" w:hAnsi="华文中宋" w:eastAsia="华文中宋"/>
          <w:sz w:val="32"/>
          <w:szCs w:val="32"/>
        </w:rPr>
      </w:pPr>
      <w:r>
        <w:rPr>
          <w:rFonts w:hint="eastAsia" w:ascii="华文中宋" w:hAnsi="华文中宋" w:eastAsia="华文中宋"/>
          <w:sz w:val="32"/>
          <w:szCs w:val="32"/>
        </w:rPr>
        <w:t>行政事业单位财务分析指标</w:t>
      </w:r>
    </w:p>
    <w:p>
      <w:pPr>
        <w:snapToGrid w:val="0"/>
        <w:ind w:firstLine="640" w:firstLineChars="200"/>
        <w:rPr>
          <w:rFonts w:ascii="仿宋_GB2312" w:hAnsi="仿宋" w:eastAsia="仿宋_GB2312"/>
          <w:sz w:val="32"/>
          <w:szCs w:val="32"/>
        </w:rPr>
      </w:pPr>
    </w:p>
    <w:p>
      <w:pPr>
        <w:snapToGrid w:val="0"/>
        <w:ind w:firstLine="640" w:firstLineChars="200"/>
        <w:rPr>
          <w:rFonts w:ascii="黑体" w:hAnsi="黑体" w:eastAsia="黑体"/>
          <w:sz w:val="32"/>
          <w:szCs w:val="32"/>
        </w:rPr>
      </w:pPr>
      <w:r>
        <w:rPr>
          <w:rFonts w:hint="eastAsia" w:ascii="黑体" w:hAnsi="黑体" w:eastAsia="黑体"/>
          <w:sz w:val="32"/>
          <w:szCs w:val="32"/>
        </w:rPr>
        <w:t>一、行政单位财务分析指标</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支出增长率＝(本期支出总额÷上期支出总额-1)×100%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当年预算支出完成率＝年终执行数÷全年预算数×100%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人均开支＝本期支出数÷本期平均在职人员数×100%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人车比例=本期末在职人员数÷本期末公务用车实有数:1</w:t>
      </w:r>
    </w:p>
    <w:p>
      <w:pPr>
        <w:snapToGrid w:val="0"/>
        <w:ind w:firstLine="640" w:firstLineChars="200"/>
        <w:rPr>
          <w:rFonts w:ascii="仿宋_GB2312" w:hAnsi="仿宋" w:eastAsia="仿宋_GB2312"/>
          <w:sz w:val="32"/>
          <w:szCs w:val="32"/>
        </w:rPr>
      </w:pPr>
    </w:p>
    <w:p>
      <w:pPr>
        <w:snapToGrid w:val="0"/>
        <w:ind w:firstLine="640" w:firstLineChars="200"/>
        <w:rPr>
          <w:rFonts w:ascii="黑体" w:hAnsi="黑体" w:eastAsia="黑体"/>
          <w:sz w:val="32"/>
          <w:szCs w:val="32"/>
        </w:rPr>
      </w:pPr>
      <w:r>
        <w:rPr>
          <w:rFonts w:hint="eastAsia" w:ascii="黑体" w:hAnsi="黑体" w:eastAsia="黑体"/>
          <w:sz w:val="32"/>
          <w:szCs w:val="32"/>
        </w:rPr>
        <w:t>二、事业单位财务分析指标</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1.预算收入和支出完成率，衡量事业单位收入和支出总预算及分项预算完成的程度。计算公式为：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预算收入完成率＝年终执行数÷全年预算数×100%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年终执行数不含上年结转和结余收入数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预算支出完成率＝年终执行数÷全年预算数×100%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人员支出比率＝人员支出÷事业支出×100%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公用支出比率＝公用支出÷事业支出×100%</w:t>
      </w: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pPr>
        <w:snapToGrid w:val="0"/>
        <w:ind w:firstLine="640" w:firstLineChars="200"/>
        <w:rPr>
          <w:rFonts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pPr>
        <w:snapToGrid w:val="0"/>
        <w:ind w:firstLine="640" w:firstLineChars="200"/>
        <w:rPr>
          <w:rFonts w:ascii="仿宋_GB2312" w:hAnsi="仿宋" w:eastAsia="仿宋_GB2312"/>
          <w:sz w:val="32"/>
          <w:szCs w:val="32"/>
        </w:rPr>
      </w:pPr>
    </w:p>
    <w:p>
      <w:pPr>
        <w:snapToGrid w:val="0"/>
        <w:ind w:firstLine="640" w:firstLineChars="200"/>
        <w:rPr>
          <w:rFonts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pPr>
        <w:ind w:firstLine="707" w:firstLineChars="221"/>
        <w:rPr>
          <w:rFonts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pPr>
        <w:widowControl/>
        <w:ind w:firstLine="640" w:firstLineChars="200"/>
        <w:textAlignment w:val="center"/>
        <w:rPr>
          <w:color w:val="0000FF"/>
        </w:rPr>
      </w:pPr>
      <w:r>
        <w:rPr>
          <w:rFonts w:hint="eastAsia" w:ascii="仿宋_GB2312" w:hAnsi="仿宋" w:eastAsia="仿宋_GB2312"/>
          <w:sz w:val="32"/>
          <w:szCs w:val="32"/>
        </w:rPr>
        <w:t>财政拨款依存度＝财政拨款收入÷收入总额×100%</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enQuanYi Micro Hei">
    <w:altName w:val="宋体"/>
    <w:panose1 w:val="020B0606030804020204"/>
    <w:charset w:val="00"/>
    <w:family w:val="auto"/>
    <w:pitch w:val="default"/>
    <w:sig w:usb0="00000000" w:usb1="00000000" w:usb2="00800036" w:usb3="00000000" w:csb0="603E01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1866F"/>
    <w:multiLevelType w:val="singleLevel"/>
    <w:tmpl w:val="8281866F"/>
    <w:lvl w:ilvl="0" w:tentative="0">
      <w:start w:val="4"/>
      <w:numFmt w:val="decimal"/>
      <w:lvlText w:val="%1."/>
      <w:lvlJc w:val="left"/>
      <w:pPr>
        <w:tabs>
          <w:tab w:val="left" w:pos="312"/>
        </w:tabs>
      </w:pPr>
    </w:lvl>
  </w:abstractNum>
  <w:abstractNum w:abstractNumId="1">
    <w:nsid w:val="D8511897"/>
    <w:multiLevelType w:val="singleLevel"/>
    <w:tmpl w:val="D8511897"/>
    <w:lvl w:ilvl="0" w:tentative="0">
      <w:start w:val="1"/>
      <w:numFmt w:val="decimal"/>
      <w:suff w:val="nothing"/>
      <w:lvlText w:val="（%1）"/>
      <w:lvlJc w:val="left"/>
    </w:lvl>
  </w:abstractNum>
  <w:abstractNum w:abstractNumId="2">
    <w:nsid w:val="EFE32AD3"/>
    <w:multiLevelType w:val="singleLevel"/>
    <w:tmpl w:val="EFE32AD3"/>
    <w:lvl w:ilvl="0" w:tentative="0">
      <w:start w:val="2"/>
      <w:numFmt w:val="decimal"/>
      <w:suff w:val="nothing"/>
      <w:lvlText w:val="（%1）"/>
      <w:lvlJc w:val="left"/>
    </w:lvl>
  </w:abstractNum>
  <w:abstractNum w:abstractNumId="3">
    <w:nsid w:val="0B34F168"/>
    <w:multiLevelType w:val="singleLevel"/>
    <w:tmpl w:val="0B34F168"/>
    <w:lvl w:ilvl="0" w:tentative="0">
      <w:start w:val="2"/>
      <w:numFmt w:val="decimal"/>
      <w:suff w:val="nothing"/>
      <w:lvlText w:val="（%1）"/>
      <w:lvlJc w:val="left"/>
    </w:lvl>
  </w:abstractNum>
  <w:abstractNum w:abstractNumId="4">
    <w:nsid w:val="34622892"/>
    <w:multiLevelType w:val="singleLevel"/>
    <w:tmpl w:val="34622892"/>
    <w:lvl w:ilvl="0" w:tentative="0">
      <w:start w:val="2"/>
      <w:numFmt w:val="decimal"/>
      <w:suff w:val="nothing"/>
      <w:lvlText w:val="%1．"/>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mY3NDI2NjJlN2EyMmI3MGZjZTc3YzFlMWNkZDgifQ=="/>
  </w:docVars>
  <w:rsids>
    <w:rsidRoot w:val="00272B54"/>
    <w:rsid w:val="00001000"/>
    <w:rsid w:val="00031059"/>
    <w:rsid w:val="000653F7"/>
    <w:rsid w:val="00074FA4"/>
    <w:rsid w:val="00082750"/>
    <w:rsid w:val="000A54B9"/>
    <w:rsid w:val="000F42C9"/>
    <w:rsid w:val="00123090"/>
    <w:rsid w:val="0013603C"/>
    <w:rsid w:val="00176422"/>
    <w:rsid w:val="001E23E6"/>
    <w:rsid w:val="002133B7"/>
    <w:rsid w:val="00232DC7"/>
    <w:rsid w:val="002345E5"/>
    <w:rsid w:val="002425BC"/>
    <w:rsid w:val="002567AE"/>
    <w:rsid w:val="00272B54"/>
    <w:rsid w:val="00290AF5"/>
    <w:rsid w:val="002B2F71"/>
    <w:rsid w:val="002B650F"/>
    <w:rsid w:val="002B7EE1"/>
    <w:rsid w:val="003147DF"/>
    <w:rsid w:val="00320541"/>
    <w:rsid w:val="003A54B7"/>
    <w:rsid w:val="00410C5B"/>
    <w:rsid w:val="0042226A"/>
    <w:rsid w:val="00433CE9"/>
    <w:rsid w:val="0045143B"/>
    <w:rsid w:val="004B15C5"/>
    <w:rsid w:val="004B22CE"/>
    <w:rsid w:val="004F25BC"/>
    <w:rsid w:val="00500F59"/>
    <w:rsid w:val="00577156"/>
    <w:rsid w:val="005B48AC"/>
    <w:rsid w:val="005D567F"/>
    <w:rsid w:val="00602458"/>
    <w:rsid w:val="006037EF"/>
    <w:rsid w:val="00613BAD"/>
    <w:rsid w:val="00623F67"/>
    <w:rsid w:val="006600F4"/>
    <w:rsid w:val="00683C98"/>
    <w:rsid w:val="0072354A"/>
    <w:rsid w:val="00765932"/>
    <w:rsid w:val="00790985"/>
    <w:rsid w:val="007D4386"/>
    <w:rsid w:val="007E1898"/>
    <w:rsid w:val="007E3EC5"/>
    <w:rsid w:val="007E481C"/>
    <w:rsid w:val="008B0A0E"/>
    <w:rsid w:val="00923E63"/>
    <w:rsid w:val="00962CA8"/>
    <w:rsid w:val="009B4682"/>
    <w:rsid w:val="009C1DEC"/>
    <w:rsid w:val="00A37F28"/>
    <w:rsid w:val="00A736FE"/>
    <w:rsid w:val="00A83E83"/>
    <w:rsid w:val="00A902FE"/>
    <w:rsid w:val="00AB5562"/>
    <w:rsid w:val="00B51C6A"/>
    <w:rsid w:val="00B703A0"/>
    <w:rsid w:val="00C03826"/>
    <w:rsid w:val="00C42EF8"/>
    <w:rsid w:val="00C513CE"/>
    <w:rsid w:val="00CD7F49"/>
    <w:rsid w:val="00D442B2"/>
    <w:rsid w:val="00DD0A01"/>
    <w:rsid w:val="00DE6817"/>
    <w:rsid w:val="00DE6B08"/>
    <w:rsid w:val="00E0221D"/>
    <w:rsid w:val="00E23C6D"/>
    <w:rsid w:val="00E675FC"/>
    <w:rsid w:val="00EC1D23"/>
    <w:rsid w:val="00EE5DF5"/>
    <w:rsid w:val="00F24DA3"/>
    <w:rsid w:val="00F346C3"/>
    <w:rsid w:val="00F522B7"/>
    <w:rsid w:val="00F813BE"/>
    <w:rsid w:val="018B1A22"/>
    <w:rsid w:val="0475649F"/>
    <w:rsid w:val="04D64020"/>
    <w:rsid w:val="087D7BCD"/>
    <w:rsid w:val="0A9A010B"/>
    <w:rsid w:val="0D8D7F4A"/>
    <w:rsid w:val="111558CA"/>
    <w:rsid w:val="111F7999"/>
    <w:rsid w:val="156366BC"/>
    <w:rsid w:val="23C80C72"/>
    <w:rsid w:val="27473D42"/>
    <w:rsid w:val="2A001B4B"/>
    <w:rsid w:val="2C5D5B5E"/>
    <w:rsid w:val="2F7E25CA"/>
    <w:rsid w:val="2FFEDABC"/>
    <w:rsid w:val="3617099A"/>
    <w:rsid w:val="3C4A5AC4"/>
    <w:rsid w:val="42C3735C"/>
    <w:rsid w:val="45F20BC8"/>
    <w:rsid w:val="4AE73990"/>
    <w:rsid w:val="4D8F7EC5"/>
    <w:rsid w:val="529C70DE"/>
    <w:rsid w:val="544D0C05"/>
    <w:rsid w:val="55944CBE"/>
    <w:rsid w:val="5AEB5C08"/>
    <w:rsid w:val="5C74693A"/>
    <w:rsid w:val="5C9106EB"/>
    <w:rsid w:val="5DBC272D"/>
    <w:rsid w:val="5DDA3E22"/>
    <w:rsid w:val="5F0E7032"/>
    <w:rsid w:val="628F190E"/>
    <w:rsid w:val="65200D42"/>
    <w:rsid w:val="66E363ED"/>
    <w:rsid w:val="69F72960"/>
    <w:rsid w:val="6E7D57A6"/>
    <w:rsid w:val="74402821"/>
    <w:rsid w:val="74CA64F3"/>
    <w:rsid w:val="760A0DBB"/>
    <w:rsid w:val="7ACA4189"/>
    <w:rsid w:val="7CDF8D77"/>
    <w:rsid w:val="7EDB4EF0"/>
    <w:rsid w:val="EBFFF1A0"/>
    <w:rsid w:val="EFFFCEB4"/>
    <w:rsid w:val="F6F7567B"/>
    <w:rsid w:val="F6FD9485"/>
    <w:rsid w:val="FFFA82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ocument Map"/>
    <w:basedOn w:val="1"/>
    <w:link w:val="10"/>
    <w:unhideWhenUsed/>
    <w:qFormat/>
    <w:uiPriority w:val="0"/>
    <w:rPr>
      <w:rFonts w:ascii="宋体"/>
      <w:sz w:val="18"/>
      <w:szCs w:val="18"/>
    </w:rPr>
  </w:style>
  <w:style w:type="paragraph" w:styleId="4">
    <w:name w:val="Balloon Text"/>
    <w:basedOn w:val="1"/>
    <w:link w:val="11"/>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color w:val="0000FF"/>
      <w:u w:val="single"/>
    </w:rPr>
  </w:style>
  <w:style w:type="character" w:customStyle="1" w:styleId="10">
    <w:name w:val="文档结构图 Char"/>
    <w:link w:val="3"/>
    <w:semiHidden/>
    <w:qFormat/>
    <w:uiPriority w:val="0"/>
    <w:rPr>
      <w:rFonts w:ascii="宋体"/>
      <w:kern w:val="2"/>
      <w:sz w:val="18"/>
      <w:szCs w:val="18"/>
    </w:rPr>
  </w:style>
  <w:style w:type="character" w:customStyle="1" w:styleId="11">
    <w:name w:val="批注框文本 字符"/>
    <w:link w:val="4"/>
    <w:qFormat/>
    <w:uiPriority w:val="0"/>
    <w:rPr>
      <w:kern w:val="2"/>
      <w:sz w:val="18"/>
      <w:szCs w:val="18"/>
    </w:rPr>
  </w:style>
  <w:style w:type="character" w:customStyle="1" w:styleId="12">
    <w:name w:val="页脚 字符"/>
    <w:link w:val="5"/>
    <w:qFormat/>
    <w:uiPriority w:val="0"/>
    <w:rPr>
      <w:kern w:val="2"/>
      <w:sz w:val="18"/>
      <w:szCs w:val="18"/>
    </w:rPr>
  </w:style>
  <w:style w:type="character" w:customStyle="1" w:styleId="13">
    <w:name w:val="页眉 字符"/>
    <w:link w:val="6"/>
    <w:qFormat/>
    <w:uiPriority w:val="0"/>
    <w:rPr>
      <w:kern w:val="2"/>
      <w:sz w:val="18"/>
      <w:szCs w:val="18"/>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 w:type="paragraph" w:customStyle="1" w:styleId="15">
    <w:name w:val="正文-公1"/>
    <w:basedOn w:val="14"/>
    <w:next w:val="1"/>
    <w:qFormat/>
    <w:uiPriority w:val="0"/>
    <w:pPr>
      <w:ind w:firstLine="200" w:firstLineChars="200"/>
    </w:pPr>
  </w:style>
  <w:style w:type="paragraph" w:customStyle="1" w:styleId="16">
    <w:name w:val="_Style 15"/>
    <w:unhideWhenUsed/>
    <w:qFormat/>
    <w:uiPriority w:val="99"/>
    <w:rPr>
      <w:rFonts w:ascii="Times New Roman" w:hAnsi="Times New Roman" w:eastAsia="宋体" w:cs="Times New Roman"/>
      <w:kern w:val="2"/>
      <w:sz w:val="21"/>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7096774193548"/>
          <c:y val="0.00742758108442684"/>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部门收入</c:v>
                </c:pt>
              </c:strCache>
            </c:strRef>
          </c:tx>
          <c:spPr>
            <a:solidFill>
              <a:schemeClr val="accent1"/>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Sheet1!$B$2:$B$5</c:f>
              <c:numCache>
                <c:formatCode>General</c:formatCode>
                <c:ptCount val="4"/>
                <c:pt idx="0">
                  <c:v>5351.27</c:v>
                </c:pt>
                <c:pt idx="1">
                  <c:v>5810.4</c:v>
                </c:pt>
                <c:pt idx="2">
                  <c:v>-459.129999999999</c:v>
                </c:pt>
                <c:pt idx="3" c:formatCode="0.00%">
                  <c:v>-0.0790186562026709</c:v>
                </c:pt>
              </c:numCache>
            </c:numRef>
          </c:val>
        </c:ser>
        <c:ser>
          <c:idx val="1"/>
          <c:order val="1"/>
          <c:tx>
            <c:strRef>
              <c:f>Sheet1!$C$1</c:f>
              <c:strCache>
                <c:ptCount val="1"/>
                <c:pt idx="0">
                  <c:v>部门支出</c:v>
                </c:pt>
              </c:strCache>
            </c:strRef>
          </c:tx>
          <c:spPr>
            <a:solidFill>
              <a:schemeClr val="accent2"/>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Sheet1!$C$2:$C$5</c:f>
              <c:numCache>
                <c:formatCode>General</c:formatCode>
                <c:ptCount val="4"/>
                <c:pt idx="0">
                  <c:v>5351.27</c:v>
                </c:pt>
                <c:pt idx="1">
                  <c:v>5810.4</c:v>
                </c:pt>
                <c:pt idx="2">
                  <c:v>-459.129999999999</c:v>
                </c:pt>
                <c:pt idx="3" c:formatCode="0.00%">
                  <c:v>-0.0790186562026709</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868547613"/>
        <c:axId val="861276651"/>
      </c:barChart>
      <c:catAx>
        <c:axId val="8685476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1276651"/>
        <c:crosses val="autoZero"/>
        <c:auto val="1"/>
        <c:lblAlgn val="ctr"/>
        <c:lblOffset val="100"/>
        <c:noMultiLvlLbl val="0"/>
      </c:catAx>
      <c:valAx>
        <c:axId val="86127665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54761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7096774193548"/>
          <c:y val="0.00742758108442684"/>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部门收入</c:v>
                </c:pt>
              </c:strCache>
            </c:strRef>
          </c:tx>
          <c:spPr>
            <a:solidFill>
              <a:schemeClr val="accent1"/>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Sheet1!$B$2:$B$5</c:f>
              <c:numCache>
                <c:formatCode>General</c:formatCode>
                <c:ptCount val="4"/>
                <c:pt idx="0">
                  <c:v>5353.83</c:v>
                </c:pt>
                <c:pt idx="1">
                  <c:v>4536.03</c:v>
                </c:pt>
                <c:pt idx="2">
                  <c:v>817.8</c:v>
                </c:pt>
                <c:pt idx="3" c:formatCode="0.00%">
                  <c:v>0.180289812898063</c:v>
                </c:pt>
              </c:numCache>
            </c:numRef>
          </c:val>
        </c:ser>
        <c:ser>
          <c:idx val="1"/>
          <c:order val="1"/>
          <c:tx>
            <c:strRef>
              <c:f>Sheet1!$C$1</c:f>
              <c:strCache>
                <c:ptCount val="1"/>
                <c:pt idx="0">
                  <c:v>部门支出</c:v>
                </c:pt>
              </c:strCache>
            </c:strRef>
          </c:tx>
          <c:spPr>
            <a:solidFill>
              <a:schemeClr val="accent2"/>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Sheet1!$C$2:$C$5</c:f>
              <c:numCache>
                <c:formatCode>General</c:formatCode>
                <c:ptCount val="4"/>
                <c:pt idx="0">
                  <c:v>5353.83</c:v>
                </c:pt>
                <c:pt idx="1">
                  <c:v>4536.03</c:v>
                </c:pt>
                <c:pt idx="2">
                  <c:v>817.8</c:v>
                </c:pt>
                <c:pt idx="3" c:formatCode="0.00%">
                  <c:v>0.180289812898063</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868547613"/>
        <c:axId val="861276651"/>
      </c:barChart>
      <c:catAx>
        <c:axId val="8685476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1276651"/>
        <c:crosses val="autoZero"/>
        <c:auto val="1"/>
        <c:lblAlgn val="ctr"/>
        <c:lblOffset val="100"/>
        <c:noMultiLvlLbl val="0"/>
      </c:catAx>
      <c:valAx>
        <c:axId val="86127665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54761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a:t>2024</a:t>
            </a:r>
            <a:r>
              <a:rPr altLang="en-US"/>
              <a:t>年部门收入项目结构图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2024年部门收入项目结构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0.987539784528488</c:v>
                </c:pt>
                <c:pt idx="1">
                  <c:v>0.012460215471512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7096774193548"/>
          <c:y val="0.00742758108442684"/>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部门收入</c:v>
                </c:pt>
              </c:strCache>
            </c:strRef>
          </c:tx>
          <c:spPr>
            <a:solidFill>
              <a:schemeClr val="accent1"/>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Sheet1!$B$2:$B$5</c:f>
              <c:numCache>
                <c:formatCode>General</c:formatCode>
                <c:ptCount val="4"/>
                <c:pt idx="0">
                  <c:v>5353.83</c:v>
                </c:pt>
                <c:pt idx="1">
                  <c:v>4536.03</c:v>
                </c:pt>
                <c:pt idx="2">
                  <c:v>817.8</c:v>
                </c:pt>
                <c:pt idx="3" c:formatCode="0.00%">
                  <c:v>0.180289812898063</c:v>
                </c:pt>
              </c:numCache>
            </c:numRef>
          </c:val>
        </c:ser>
        <c:ser>
          <c:idx val="1"/>
          <c:order val="1"/>
          <c:tx>
            <c:strRef>
              <c:f>Sheet1!$C$1</c:f>
              <c:strCache>
                <c:ptCount val="1"/>
                <c:pt idx="0">
                  <c:v>部门支出</c:v>
                </c:pt>
              </c:strCache>
            </c:strRef>
          </c:tx>
          <c:spPr>
            <a:solidFill>
              <a:schemeClr val="accent2"/>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Sheet1!$C$2:$C$5</c:f>
              <c:numCache>
                <c:formatCode>General</c:formatCode>
                <c:ptCount val="4"/>
                <c:pt idx="0">
                  <c:v>5353.83</c:v>
                </c:pt>
                <c:pt idx="1">
                  <c:v>4536.03</c:v>
                </c:pt>
                <c:pt idx="2">
                  <c:v>817.8</c:v>
                </c:pt>
                <c:pt idx="3" c:formatCode="0.00%">
                  <c:v>0.180289812898063</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f>Sheet1!$A$2:$A$5</c:f>
              <c:strCache>
                <c:ptCount val="4"/>
                <c:pt idx="0">
                  <c:v>2024</c:v>
                </c:pt>
                <c:pt idx="1">
                  <c:v>2023</c:v>
                </c:pt>
                <c:pt idx="2">
                  <c:v>较上年增减</c:v>
                </c:pt>
                <c:pt idx="3">
                  <c:v>增减%</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868547613"/>
        <c:axId val="861276651"/>
      </c:barChart>
      <c:catAx>
        <c:axId val="8685476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1276651"/>
        <c:crosses val="autoZero"/>
        <c:auto val="1"/>
        <c:lblAlgn val="ctr"/>
        <c:lblOffset val="100"/>
        <c:noMultiLvlLbl val="0"/>
      </c:catAx>
      <c:valAx>
        <c:axId val="86127665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54761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13</Pages>
  <Words>4844</Words>
  <Characters>5419</Characters>
  <Lines>17</Lines>
  <Paragraphs>4</Paragraphs>
  <TotalTime>3</TotalTime>
  <ScaleCrop>false</ScaleCrop>
  <LinksUpToDate>false</LinksUpToDate>
  <CharactersWithSpaces>5438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2023-09-15T19:01:00Z</dcterms:created>
  <dc:creator>admin</dc:creator>
  <cp:lastModifiedBy>Administrator</cp:lastModifiedBy>
  <dcterms:modified xsi:type="dcterms:W3CDTF">2025-01-21T08:37:36Z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3A9D22545A8248B08A534E7CFC7A8654_13</vt:lpwstr>
  </property>
</Properties>
</file>