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ascii="方正小标宋简体" w:eastAsia="方正小标宋简体" w:cs="方正仿宋简体"/>
          <w:color w:val="000000"/>
          <w:sz w:val="32"/>
          <w:szCs w:val="32"/>
        </w:rPr>
      </w:pPr>
      <w:r>
        <w:rPr>
          <w:rFonts w:hint="eastAsia" w:ascii="方正小标宋简体" w:hAnsi="宋体" w:eastAsia="方正小标宋简体" w:cs="方正仿宋简体"/>
          <w:color w:val="000000"/>
          <w:sz w:val="32"/>
          <w:szCs w:val="32"/>
        </w:rPr>
        <w:t>彭水苗族土家族自治县</w:t>
      </w:r>
      <w:bookmarkStart w:id="0" w:name="_GoBack"/>
      <w:bookmarkEnd w:id="0"/>
      <w:r>
        <w:rPr>
          <w:rFonts w:hint="eastAsia" w:ascii="方正小标宋简体" w:hAnsi="宋体" w:eastAsia="方正小标宋简体" w:cs="方正仿宋简体"/>
          <w:color w:val="000000"/>
          <w:sz w:val="32"/>
          <w:szCs w:val="32"/>
          <w:lang w:eastAsia="zh-CN"/>
        </w:rPr>
        <w:t>学生用</w:t>
      </w:r>
      <w:r>
        <w:rPr>
          <w:rFonts w:hint="eastAsia" w:ascii="方正小标宋简体" w:hAnsi="宋体" w:eastAsia="方正小标宋简体" w:cs="方正仿宋简体"/>
          <w:color w:val="000000"/>
          <w:sz w:val="32"/>
          <w:szCs w:val="32"/>
          <w:lang w:val="en-US" w:eastAsia="zh-CN"/>
        </w:rPr>
        <w:t>胶粘剂</w:t>
      </w:r>
      <w:r>
        <w:rPr>
          <w:rFonts w:hint="eastAsia" w:ascii="方正小标宋简体" w:hAnsi="宋体" w:eastAsia="方正小标宋简体" w:cs="方正仿宋简体"/>
          <w:color w:val="000000"/>
          <w:sz w:val="32"/>
          <w:szCs w:val="32"/>
        </w:rPr>
        <w:t>产品</w:t>
      </w:r>
      <w:r>
        <w:rPr>
          <w:rFonts w:hint="eastAsia" w:ascii="方正小标宋简体" w:hAnsi="宋体" w:eastAsia="方正小标宋简体" w:cs="方正仿宋简体"/>
          <w:color w:val="000000"/>
          <w:sz w:val="32"/>
          <w:szCs w:val="32"/>
          <w:lang w:val="en-US" w:eastAsia="zh-CN"/>
        </w:rPr>
        <w:t>质量</w:t>
      </w:r>
      <w:r>
        <w:rPr>
          <w:rFonts w:hint="eastAsia" w:ascii="方正小标宋简体" w:hAnsi="宋体" w:eastAsia="方正小标宋简体" w:cs="方正仿宋简体"/>
          <w:color w:val="000000"/>
          <w:sz w:val="32"/>
          <w:szCs w:val="32"/>
        </w:rPr>
        <w:t>监督抽查实施细则（</w:t>
      </w:r>
      <w:r>
        <w:rPr>
          <w:rFonts w:ascii="方正小标宋简体" w:hAnsi="宋体" w:eastAsia="方正小标宋简体" w:cs="方正仿宋简体"/>
          <w:color w:val="000000"/>
          <w:sz w:val="32"/>
          <w:szCs w:val="32"/>
        </w:rPr>
        <w:t>202</w:t>
      </w:r>
      <w:r>
        <w:rPr>
          <w:rFonts w:hint="eastAsia" w:ascii="方正小标宋简体" w:hAnsi="宋体" w:eastAsia="方正小标宋简体" w:cs="方正仿宋简体"/>
          <w:color w:val="000000"/>
          <w:sz w:val="32"/>
          <w:szCs w:val="32"/>
          <w:lang w:val="en-US" w:eastAsia="zh-CN"/>
        </w:rPr>
        <w:t>3</w:t>
      </w:r>
      <w:r>
        <w:rPr>
          <w:rFonts w:hint="eastAsia" w:ascii="方正小标宋简体" w:hAnsi="宋体" w:eastAsia="方正小标宋简体" w:cs="方正仿宋简体"/>
          <w:color w:val="000000"/>
          <w:sz w:val="32"/>
          <w:szCs w:val="32"/>
        </w:rPr>
        <w:t>年）</w:t>
      </w:r>
    </w:p>
    <w:p>
      <w:pPr>
        <w:snapToGrid w:val="0"/>
        <w:spacing w:line="440" w:lineRule="exact"/>
        <w:rPr>
          <w:rFonts w:ascii="黑体" w:hAnsi="宋体" w:eastAsia="黑体"/>
          <w:color w:val="000000"/>
          <w:szCs w:val="21"/>
        </w:rPr>
      </w:pPr>
    </w:p>
    <w:p>
      <w:pPr>
        <w:snapToGrid w:val="0"/>
        <w:spacing w:line="440" w:lineRule="exact"/>
        <w:rPr>
          <w:rFonts w:ascii="黑体" w:hAnsi="宋体" w:eastAsia="黑体"/>
          <w:color w:val="000000"/>
          <w:szCs w:val="21"/>
        </w:rPr>
      </w:pPr>
      <w:r>
        <w:rPr>
          <w:rFonts w:ascii="黑体" w:hAnsi="宋体" w:eastAsia="黑体"/>
          <w:color w:val="000000"/>
          <w:szCs w:val="21"/>
        </w:rPr>
        <w:t xml:space="preserve">1 </w:t>
      </w:r>
      <w:r>
        <w:rPr>
          <w:rFonts w:hint="eastAsia" w:ascii="黑体" w:hAnsi="宋体" w:eastAsia="黑体"/>
          <w:color w:val="000000"/>
          <w:szCs w:val="21"/>
        </w:rPr>
        <w:t>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pPr>
      <w:r>
        <w:rPr>
          <w:rFonts w:hint="eastAsia" w:ascii="宋体" w:hAnsi="宋体"/>
          <w:color w:val="000000"/>
          <w:szCs w:val="21"/>
        </w:rPr>
        <w:t>每批次</w:t>
      </w:r>
      <w:r>
        <w:rPr>
          <w:rFonts w:hint="eastAsia" w:ascii="宋体" w:hAnsi="宋体"/>
          <w:szCs w:val="21"/>
          <w:lang w:eastAsia="zh-CN"/>
        </w:rPr>
        <w:t>浆糊</w:t>
      </w:r>
      <w:r>
        <w:rPr>
          <w:rFonts w:hint="eastAsia" w:ascii="宋体" w:hAnsi="宋体"/>
          <w:color w:val="000000"/>
          <w:szCs w:val="21"/>
          <w:lang w:val="en-US" w:eastAsia="zh-CN"/>
        </w:rPr>
        <w:t>产品</w:t>
      </w:r>
      <w:r>
        <w:rPr>
          <w:rFonts w:hint="eastAsia" w:ascii="宋体" w:hAnsi="宋体"/>
          <w:color w:val="000000"/>
          <w:szCs w:val="21"/>
        </w:rPr>
        <w:t>抽</w:t>
      </w:r>
      <w:r>
        <w:rPr>
          <w:rFonts w:hint="eastAsia" w:ascii="宋体" w:hAnsi="宋体"/>
          <w:color w:val="000000"/>
          <w:szCs w:val="21"/>
          <w:lang w:val="en-US" w:eastAsia="zh-CN"/>
        </w:rPr>
        <w:t>取样品</w:t>
      </w:r>
      <w:r>
        <w:rPr>
          <w:rFonts w:hint="eastAsia" w:ascii="宋体" w:hAnsi="宋体"/>
          <w:szCs w:val="21"/>
          <w:lang w:val="en-US" w:eastAsia="zh-CN"/>
        </w:rPr>
        <w:t>10个</w:t>
      </w:r>
      <w:r>
        <w:rPr>
          <w:rFonts w:hint="eastAsia"/>
        </w:rPr>
        <w:t>，</w:t>
      </w:r>
      <w:r>
        <w:rPr>
          <w:rFonts w:hint="eastAsia"/>
          <w:lang w:eastAsia="zh-CN"/>
        </w:rPr>
        <w:t>其中</w:t>
      </w:r>
      <w:r>
        <w:rPr>
          <w:rFonts w:hint="eastAsia" w:ascii="宋体" w:hAnsi="宋体"/>
          <w:szCs w:val="21"/>
          <w:lang w:val="en-US" w:eastAsia="zh-CN"/>
        </w:rPr>
        <w:t>5个</w:t>
      </w:r>
      <w:r>
        <w:rPr>
          <w:rFonts w:hint="eastAsia"/>
          <w:lang w:val="en-US" w:eastAsia="zh-CN"/>
        </w:rPr>
        <w:t>作为</w:t>
      </w:r>
      <w:r>
        <w:rPr>
          <w:rFonts w:hint="eastAsia"/>
          <w:lang w:eastAsia="zh-CN"/>
        </w:rPr>
        <w:t>检验样品</w:t>
      </w:r>
      <w:r>
        <w:rPr>
          <w:rFonts w:hint="eastAsia"/>
          <w:lang w:val="en-US" w:eastAsia="zh-CN"/>
        </w:rPr>
        <w:t>，</w:t>
      </w:r>
      <w:r>
        <w:rPr>
          <w:rFonts w:hint="eastAsia" w:ascii="宋体" w:hAnsi="宋体"/>
          <w:szCs w:val="21"/>
          <w:lang w:val="en-US" w:eastAsia="zh-CN"/>
        </w:rPr>
        <w:t>5个</w:t>
      </w:r>
      <w:r>
        <w:rPr>
          <w:rFonts w:hint="eastAsia"/>
          <w:lang w:val="en-US" w:eastAsia="zh-CN"/>
        </w:rPr>
        <w:t>作为备用样品</w:t>
      </w:r>
      <w:r>
        <w:t>。</w:t>
      </w:r>
    </w:p>
    <w:p>
      <w:pPr>
        <w:snapToGrid w:val="0"/>
        <w:spacing w:line="440" w:lineRule="exact"/>
        <w:ind w:firstLine="420" w:firstLineChars="200"/>
      </w:pPr>
      <w:r>
        <w:rPr>
          <w:rFonts w:hint="eastAsia" w:ascii="宋体" w:hAnsi="宋体"/>
          <w:szCs w:val="21"/>
          <w:lang w:val="en-US" w:eastAsia="zh-CN"/>
        </w:rPr>
        <w:t>每批次办公用胶水产品</w:t>
      </w:r>
      <w:r>
        <w:rPr>
          <w:rFonts w:hint="eastAsia" w:ascii="宋体" w:hAnsi="宋体"/>
          <w:szCs w:val="21"/>
        </w:rPr>
        <w:t>抽取</w:t>
      </w:r>
      <w:r>
        <w:rPr>
          <w:rFonts w:hint="eastAsia" w:ascii="宋体" w:hAnsi="宋体"/>
          <w:szCs w:val="21"/>
          <w:lang w:val="en-US" w:eastAsia="zh-CN"/>
        </w:rPr>
        <w:t>样品14个，</w:t>
      </w:r>
      <w:r>
        <w:rPr>
          <w:rFonts w:hint="eastAsia"/>
          <w:lang w:eastAsia="zh-CN"/>
        </w:rPr>
        <w:t>其中</w:t>
      </w:r>
      <w:r>
        <w:rPr>
          <w:rFonts w:hint="eastAsia" w:ascii="宋体" w:hAnsi="宋体"/>
          <w:szCs w:val="21"/>
          <w:lang w:val="en-US" w:eastAsia="zh-CN"/>
        </w:rPr>
        <w:t>7个</w:t>
      </w:r>
      <w:r>
        <w:rPr>
          <w:rFonts w:hint="eastAsia"/>
          <w:lang w:val="en-US" w:eastAsia="zh-CN"/>
        </w:rPr>
        <w:t>作为</w:t>
      </w:r>
      <w:r>
        <w:rPr>
          <w:rFonts w:hint="eastAsia"/>
          <w:lang w:eastAsia="zh-CN"/>
        </w:rPr>
        <w:t>检验样品</w:t>
      </w:r>
      <w:r>
        <w:rPr>
          <w:rFonts w:hint="eastAsia"/>
          <w:lang w:val="en-US" w:eastAsia="zh-CN"/>
        </w:rPr>
        <w:t>，</w:t>
      </w:r>
      <w:r>
        <w:rPr>
          <w:rFonts w:hint="eastAsia" w:ascii="宋体" w:hAnsi="宋体"/>
          <w:szCs w:val="21"/>
          <w:lang w:val="en-US" w:eastAsia="zh-CN"/>
        </w:rPr>
        <w:t>7个</w:t>
      </w:r>
      <w:r>
        <w:rPr>
          <w:rFonts w:hint="eastAsia"/>
          <w:lang w:val="en-US" w:eastAsia="zh-CN"/>
        </w:rPr>
        <w:t>作为备用样品</w:t>
      </w:r>
      <w:r>
        <w:t>。</w:t>
      </w:r>
    </w:p>
    <w:p>
      <w:pPr>
        <w:snapToGrid w:val="0"/>
        <w:spacing w:line="440" w:lineRule="exact"/>
        <w:rPr>
          <w:rFonts w:ascii="黑体" w:hAnsi="宋体" w:eastAsia="黑体"/>
          <w:color w:val="000000"/>
          <w:szCs w:val="21"/>
        </w:rPr>
      </w:pPr>
    </w:p>
    <w:p>
      <w:pPr>
        <w:snapToGrid w:val="0"/>
        <w:spacing w:line="440" w:lineRule="exact"/>
        <w:rPr>
          <w:rFonts w:ascii="黑体" w:hAnsi="宋体" w:eastAsia="黑体"/>
          <w:color w:val="000000"/>
          <w:szCs w:val="21"/>
        </w:rPr>
      </w:pPr>
      <w:r>
        <w:rPr>
          <w:rFonts w:ascii="黑体" w:hAnsi="宋体" w:eastAsia="黑体"/>
          <w:color w:val="000000"/>
          <w:szCs w:val="21"/>
        </w:rPr>
        <w:t xml:space="preserve">2 </w:t>
      </w:r>
      <w:r>
        <w:rPr>
          <w:rFonts w:hint="eastAsia" w:ascii="黑体" w:hAnsi="宋体" w:eastAsia="黑体"/>
          <w:color w:val="000000"/>
          <w:szCs w:val="21"/>
        </w:rPr>
        <w:t>检验依据</w:t>
      </w:r>
    </w:p>
    <w:p>
      <w:pPr>
        <w:snapToGrid w:val="0"/>
        <w:spacing w:line="440" w:lineRule="exact"/>
        <w:jc w:val="center"/>
        <w:rPr>
          <w:rFonts w:hint="eastAsia" w:ascii="宋体" w:eastAsia="宋体"/>
          <w:color w:val="000000"/>
          <w:szCs w:val="21"/>
          <w:lang w:eastAsia="zh-CN"/>
        </w:rPr>
      </w:pPr>
      <w:r>
        <w:rPr>
          <w:rFonts w:hint="eastAsia" w:ascii="宋体" w:hAnsi="宋体"/>
          <w:color w:val="000000"/>
          <w:szCs w:val="21"/>
        </w:rPr>
        <w:t>表</w:t>
      </w:r>
      <w:r>
        <w:rPr>
          <w:rFonts w:ascii="宋体" w:hAnsi="宋体"/>
          <w:color w:val="000000"/>
          <w:szCs w:val="21"/>
        </w:rPr>
        <w:t xml:space="preserve">1 </w:t>
      </w:r>
      <w:r>
        <w:rPr>
          <w:rFonts w:hint="eastAsia" w:ascii="宋体" w:hAnsi="宋体"/>
          <w:color w:val="000000"/>
          <w:szCs w:val="21"/>
          <w:lang w:val="en-US" w:eastAsia="zh-CN"/>
        </w:rPr>
        <w:t>浆糊</w:t>
      </w:r>
    </w:p>
    <w:tbl>
      <w:tblPr>
        <w:tblStyle w:val="5"/>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3690"/>
        <w:gridCol w:w="41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default" w:ascii="宋体" w:eastAsia="宋体"/>
                <w:color w:val="000000"/>
                <w:szCs w:val="21"/>
                <w:lang w:val="en-US" w:eastAsia="zh-CN"/>
              </w:rPr>
            </w:pPr>
            <w:r>
              <w:rPr>
                <w:rFonts w:hint="eastAsia" w:ascii="宋体"/>
                <w:color w:val="000000"/>
                <w:szCs w:val="21"/>
                <w:lang w:val="en-US" w:eastAsia="zh-CN"/>
              </w:rPr>
              <w:t>序号</w:t>
            </w:r>
          </w:p>
        </w:tc>
        <w:tc>
          <w:tcPr>
            <w:tcW w:w="3690" w:type="dxa"/>
            <w:vAlign w:val="center"/>
          </w:tcPr>
          <w:p>
            <w:pPr>
              <w:snapToGrid w:val="0"/>
              <w:jc w:val="center"/>
              <w:rPr>
                <w:rFonts w:ascii="宋体"/>
                <w:color w:val="000000"/>
                <w:szCs w:val="21"/>
              </w:rPr>
            </w:pPr>
            <w:r>
              <w:rPr>
                <w:rFonts w:hint="eastAsia" w:ascii="宋体" w:hAnsi="宋体"/>
                <w:color w:val="000000"/>
                <w:szCs w:val="21"/>
              </w:rPr>
              <w:t>检验项目</w:t>
            </w:r>
          </w:p>
        </w:tc>
        <w:tc>
          <w:tcPr>
            <w:tcW w:w="4122" w:type="dxa"/>
            <w:vAlign w:val="center"/>
          </w:tcPr>
          <w:p>
            <w:pPr>
              <w:snapToGrid w:val="0"/>
              <w:jc w:val="center"/>
              <w:rPr>
                <w:rFonts w:asci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default" w:ascii="宋体" w:eastAsia="宋体"/>
                <w:color w:val="000000"/>
                <w:szCs w:val="21"/>
                <w:lang w:val="en-US" w:eastAsia="zh-CN"/>
              </w:rPr>
            </w:pPr>
            <w:r>
              <w:rPr>
                <w:rFonts w:hint="eastAsia" w:ascii="宋体"/>
                <w:color w:val="000000"/>
                <w:szCs w:val="21"/>
                <w:lang w:val="en-US" w:eastAsia="zh-CN"/>
              </w:rPr>
              <w:t>1</w:t>
            </w:r>
          </w:p>
        </w:tc>
        <w:tc>
          <w:tcPr>
            <w:tcW w:w="3690" w:type="dxa"/>
            <w:vAlign w:val="center"/>
          </w:tcPr>
          <w:p>
            <w:pPr>
              <w:widowControl/>
              <w:jc w:val="center"/>
              <w:textAlignment w:val="center"/>
              <w:rPr>
                <w:rFonts w:hint="default" w:ascii="宋体" w:eastAsia="宋体"/>
                <w:szCs w:val="21"/>
                <w:lang w:val="en-US" w:eastAsia="zh-CN"/>
              </w:rPr>
            </w:pPr>
            <w:r>
              <w:rPr>
                <w:rFonts w:hint="eastAsia" w:ascii="宋体"/>
                <w:szCs w:val="21"/>
                <w:lang w:eastAsia="zh-CN"/>
              </w:rPr>
              <w:t>游离甲醛</w:t>
            </w:r>
          </w:p>
        </w:tc>
        <w:tc>
          <w:tcPr>
            <w:tcW w:w="4122" w:type="dxa"/>
            <w:vAlign w:val="center"/>
          </w:tcPr>
          <w:p>
            <w:pPr>
              <w:snapToGrid w:val="0"/>
              <w:jc w:val="center"/>
              <w:rPr>
                <w:rFonts w:hint="default" w:ascii="宋体" w:hAnsi="宋体"/>
                <w:color w:val="000000"/>
                <w:szCs w:val="21"/>
                <w:lang w:val="en-US" w:eastAsia="zh-CN"/>
              </w:rPr>
            </w:pPr>
            <w:r>
              <w:rPr>
                <w:rFonts w:hint="eastAsia" w:ascii="宋体" w:hAnsi="宋体"/>
                <w:color w:val="000000"/>
                <w:szCs w:val="21"/>
                <w:lang w:val="en-US" w:eastAsia="zh-CN"/>
              </w:rPr>
              <w:t>GB/T 32606-2016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default" w:ascii="宋体" w:eastAsia="宋体"/>
                <w:color w:val="000000"/>
                <w:szCs w:val="21"/>
                <w:lang w:val="en-US" w:eastAsia="zh-CN"/>
              </w:rPr>
            </w:pPr>
            <w:r>
              <w:rPr>
                <w:rFonts w:hint="eastAsia" w:ascii="宋体"/>
                <w:color w:val="000000"/>
                <w:szCs w:val="21"/>
                <w:lang w:val="en-US" w:eastAsia="zh-CN"/>
              </w:rPr>
              <w:t>2</w:t>
            </w:r>
          </w:p>
        </w:tc>
        <w:tc>
          <w:tcPr>
            <w:tcW w:w="3690" w:type="dxa"/>
            <w:vAlign w:val="center"/>
          </w:tcPr>
          <w:p>
            <w:pPr>
              <w:widowControl/>
              <w:jc w:val="center"/>
              <w:textAlignment w:val="center"/>
              <w:rPr>
                <w:rFonts w:hint="default" w:ascii="宋体" w:eastAsia="宋体"/>
                <w:szCs w:val="21"/>
                <w:lang w:val="en-US" w:eastAsia="zh-CN"/>
              </w:rPr>
            </w:pPr>
            <w:r>
              <w:rPr>
                <w:rFonts w:hint="eastAsia" w:ascii="宋体" w:hAnsi="宋体" w:cs="方正仿宋_GBK"/>
                <w:kern w:val="0"/>
                <w:szCs w:val="21"/>
                <w:lang w:val="en-US" w:eastAsia="zh-CN"/>
              </w:rPr>
              <w:t>苯</w:t>
            </w:r>
          </w:p>
        </w:tc>
        <w:tc>
          <w:tcPr>
            <w:tcW w:w="4122" w:type="dxa"/>
            <w:vAlign w:val="center"/>
          </w:tcPr>
          <w:p>
            <w:pPr>
              <w:snapToGrid w:val="0"/>
              <w:jc w:val="center"/>
              <w:rPr>
                <w:rFonts w:hint="default" w:ascii="宋体" w:eastAsia="宋体"/>
                <w:color w:val="000000"/>
                <w:szCs w:val="21"/>
                <w:lang w:val="en-US" w:eastAsia="zh-CN"/>
              </w:rPr>
            </w:pPr>
            <w:r>
              <w:rPr>
                <w:rFonts w:hint="eastAsia" w:ascii="宋体" w:hAnsi="宋体"/>
                <w:color w:val="000000"/>
                <w:szCs w:val="21"/>
                <w:lang w:val="en-US" w:eastAsia="zh-CN"/>
              </w:rPr>
              <w:t>GB 21027-2020 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default" w:ascii="宋体" w:eastAsia="宋体"/>
                <w:color w:val="000000"/>
                <w:szCs w:val="21"/>
                <w:lang w:val="en-US" w:eastAsia="zh-CN"/>
              </w:rPr>
            </w:pPr>
            <w:r>
              <w:rPr>
                <w:rFonts w:hint="eastAsia" w:ascii="宋体"/>
                <w:color w:val="000000"/>
                <w:szCs w:val="21"/>
                <w:lang w:val="en-US" w:eastAsia="zh-CN"/>
              </w:rPr>
              <w:t>3</w:t>
            </w:r>
          </w:p>
        </w:tc>
        <w:tc>
          <w:tcPr>
            <w:tcW w:w="3690" w:type="dxa"/>
            <w:vAlign w:val="center"/>
          </w:tcPr>
          <w:p>
            <w:pPr>
              <w:widowControl/>
              <w:jc w:val="center"/>
              <w:textAlignment w:val="center"/>
              <w:rPr>
                <w:rFonts w:hint="default" w:ascii="宋体" w:hAnsi="宋体" w:cs="方正仿宋_GBK"/>
                <w:kern w:val="0"/>
                <w:szCs w:val="21"/>
                <w:lang w:val="en-US" w:eastAsia="zh-CN"/>
              </w:rPr>
            </w:pPr>
            <w:r>
              <w:rPr>
                <w:rFonts w:hint="eastAsia" w:ascii="宋体" w:hAnsi="宋体" w:cs="方正仿宋_GBK"/>
                <w:kern w:val="0"/>
                <w:szCs w:val="21"/>
                <w:lang w:eastAsia="zh-CN"/>
              </w:rPr>
              <w:t>甲苯</w:t>
            </w:r>
            <w:r>
              <w:rPr>
                <w:rFonts w:hint="eastAsia" w:ascii="宋体" w:hAnsi="宋体" w:cs="方正仿宋_GBK"/>
                <w:kern w:val="0"/>
                <w:szCs w:val="21"/>
                <w:lang w:val="en-US" w:eastAsia="zh-CN"/>
              </w:rPr>
              <w:t>+二甲苯</w:t>
            </w:r>
          </w:p>
        </w:tc>
        <w:tc>
          <w:tcPr>
            <w:tcW w:w="4122" w:type="dxa"/>
            <w:vAlign w:val="center"/>
          </w:tcPr>
          <w:p>
            <w:pPr>
              <w:snapToGrid w:val="0"/>
              <w:jc w:val="center"/>
              <w:rPr>
                <w:rFonts w:hint="default" w:ascii="宋体" w:hAnsi="宋体"/>
                <w:color w:val="000000"/>
                <w:szCs w:val="21"/>
                <w:lang w:val="en-US" w:eastAsia="zh-CN"/>
              </w:rPr>
            </w:pPr>
            <w:r>
              <w:rPr>
                <w:rFonts w:hint="eastAsia" w:ascii="宋体" w:hAnsi="宋体"/>
                <w:color w:val="000000"/>
                <w:szCs w:val="21"/>
                <w:lang w:val="en-US" w:eastAsia="zh-CN"/>
              </w:rPr>
              <w:t>GB 21027-2020 附录D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default" w:ascii="宋体" w:eastAsia="宋体"/>
                <w:color w:val="000000"/>
                <w:szCs w:val="21"/>
                <w:lang w:val="en-US" w:eastAsia="zh-CN"/>
              </w:rPr>
            </w:pPr>
            <w:r>
              <w:rPr>
                <w:rFonts w:hint="eastAsia" w:ascii="宋体"/>
                <w:color w:val="000000"/>
                <w:szCs w:val="21"/>
                <w:lang w:val="en-US" w:eastAsia="zh-CN"/>
              </w:rPr>
              <w:t>4</w:t>
            </w:r>
          </w:p>
        </w:tc>
        <w:tc>
          <w:tcPr>
            <w:tcW w:w="3690" w:type="dxa"/>
            <w:vAlign w:val="center"/>
          </w:tcPr>
          <w:p>
            <w:pPr>
              <w:widowControl/>
              <w:jc w:val="center"/>
              <w:textAlignment w:val="center"/>
              <w:rPr>
                <w:rFonts w:hint="default" w:ascii="宋体" w:hAnsi="宋体" w:cs="方正仿宋_GBK"/>
                <w:kern w:val="0"/>
                <w:szCs w:val="21"/>
                <w:lang w:val="en-US" w:eastAsia="zh-CN"/>
              </w:rPr>
            </w:pPr>
            <w:r>
              <w:rPr>
                <w:rFonts w:hint="eastAsia" w:ascii="宋体" w:hAnsi="宋体" w:cs="方正仿宋_GBK"/>
                <w:kern w:val="0"/>
                <w:szCs w:val="21"/>
                <w:lang w:eastAsia="zh-CN"/>
              </w:rPr>
              <w:t>总挥发性有机物</w:t>
            </w:r>
          </w:p>
        </w:tc>
        <w:tc>
          <w:tcPr>
            <w:tcW w:w="4122" w:type="dxa"/>
            <w:vAlign w:val="center"/>
          </w:tcPr>
          <w:p>
            <w:pPr>
              <w:snapToGrid w:val="0"/>
              <w:jc w:val="center"/>
              <w:rPr>
                <w:rFonts w:hint="default" w:ascii="宋体" w:hAnsi="宋体"/>
                <w:color w:val="000000"/>
                <w:szCs w:val="21"/>
                <w:lang w:val="en-US" w:eastAsia="zh-CN"/>
              </w:rPr>
            </w:pPr>
            <w:r>
              <w:rPr>
                <w:rFonts w:hint="eastAsia" w:ascii="宋体" w:hAnsi="宋体"/>
                <w:color w:val="000000"/>
                <w:szCs w:val="21"/>
                <w:lang w:val="en-US" w:eastAsia="zh-CN"/>
              </w:rPr>
              <w:t>GB 21027-2020 附录E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default" w:ascii="宋体" w:eastAsia="宋体"/>
                <w:color w:val="000000"/>
                <w:szCs w:val="21"/>
                <w:lang w:val="en-US" w:eastAsia="zh-CN"/>
              </w:rPr>
            </w:pPr>
            <w:r>
              <w:rPr>
                <w:rFonts w:hint="eastAsia" w:ascii="宋体"/>
                <w:color w:val="000000"/>
                <w:szCs w:val="21"/>
                <w:lang w:val="en-US" w:eastAsia="zh-CN"/>
              </w:rPr>
              <w:t>5</w:t>
            </w:r>
          </w:p>
        </w:tc>
        <w:tc>
          <w:tcPr>
            <w:tcW w:w="3690" w:type="dxa"/>
            <w:vAlign w:val="center"/>
          </w:tcPr>
          <w:p>
            <w:pPr>
              <w:widowControl/>
              <w:jc w:val="center"/>
              <w:textAlignment w:val="center"/>
              <w:rPr>
                <w:rFonts w:hint="default" w:ascii="宋体" w:hAnsi="宋体" w:cs="方正仿宋_GBK"/>
                <w:kern w:val="0"/>
                <w:szCs w:val="21"/>
                <w:lang w:val="en-US" w:eastAsia="zh-CN"/>
              </w:rPr>
            </w:pPr>
            <w:r>
              <w:rPr>
                <w:rFonts w:hint="eastAsia" w:ascii="宋体" w:hAnsi="宋体" w:cs="方正仿宋_GBK"/>
                <w:kern w:val="0"/>
                <w:szCs w:val="21"/>
                <w:lang w:val="en-US" w:eastAsia="zh-CN"/>
              </w:rPr>
              <w:t>防霉力</w:t>
            </w:r>
          </w:p>
        </w:tc>
        <w:tc>
          <w:tcPr>
            <w:tcW w:w="4122" w:type="dxa"/>
            <w:vAlign w:val="center"/>
          </w:tcPr>
          <w:p>
            <w:pPr>
              <w:snapToGrid w:val="0"/>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Cs w:val="21"/>
                <w:lang w:val="en-US" w:eastAsia="zh-CN"/>
              </w:rPr>
              <w:t>QB/T 1962-2011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default" w:ascii="宋体" w:eastAsia="宋体"/>
                <w:color w:val="000000"/>
                <w:szCs w:val="21"/>
                <w:lang w:val="en-US" w:eastAsia="zh-CN"/>
              </w:rPr>
            </w:pPr>
            <w:r>
              <w:rPr>
                <w:rFonts w:hint="eastAsia" w:ascii="宋体"/>
                <w:color w:val="000000"/>
                <w:szCs w:val="21"/>
                <w:lang w:val="en-US" w:eastAsia="zh-CN"/>
              </w:rPr>
              <w:t>6</w:t>
            </w:r>
          </w:p>
        </w:tc>
        <w:tc>
          <w:tcPr>
            <w:tcW w:w="3690" w:type="dxa"/>
            <w:vAlign w:val="center"/>
          </w:tcPr>
          <w:p>
            <w:pPr>
              <w:widowControl/>
              <w:jc w:val="center"/>
              <w:textAlignment w:val="center"/>
              <w:rPr>
                <w:rFonts w:hint="eastAsia" w:ascii="宋体" w:hAnsi="宋体" w:cs="方正仿宋_GBK"/>
                <w:kern w:val="0"/>
                <w:szCs w:val="21"/>
                <w:lang w:eastAsia="zh-CN"/>
              </w:rPr>
            </w:pPr>
            <w:r>
              <w:rPr>
                <w:rFonts w:hint="eastAsia" w:ascii="宋体" w:hAnsi="宋体" w:cs="方正仿宋_GBK"/>
                <w:kern w:val="0"/>
                <w:szCs w:val="21"/>
                <w:lang w:eastAsia="zh-CN"/>
              </w:rPr>
              <w:t>耐寒性</w:t>
            </w:r>
          </w:p>
        </w:tc>
        <w:tc>
          <w:tcPr>
            <w:tcW w:w="4122" w:type="dxa"/>
            <w:vAlign w:val="center"/>
          </w:tcPr>
          <w:p>
            <w:pPr>
              <w:snapToGrid w:val="0"/>
              <w:jc w:val="center"/>
              <w:rPr>
                <w:rFonts w:hint="eastAsia" w:ascii="宋体" w:hAnsi="宋体"/>
                <w:color w:val="000000"/>
                <w:szCs w:val="21"/>
                <w:lang w:val="en-US" w:eastAsia="zh-CN"/>
              </w:rPr>
            </w:pPr>
            <w:r>
              <w:rPr>
                <w:rFonts w:hint="eastAsia" w:ascii="宋体" w:hAnsi="宋体"/>
                <w:color w:val="000000"/>
                <w:szCs w:val="21"/>
                <w:lang w:val="en-US" w:eastAsia="zh-CN"/>
              </w:rPr>
              <w:t>QB/T 1962-2011</w:t>
            </w:r>
          </w:p>
        </w:tc>
      </w:tr>
    </w:tbl>
    <w:p>
      <w:pPr>
        <w:snapToGrid w:val="0"/>
        <w:jc w:val="center"/>
        <w:rPr>
          <w:rFonts w:hint="eastAsia" w:ascii="宋体" w:hAnsi="宋体"/>
          <w:color w:val="000000"/>
          <w:szCs w:val="21"/>
        </w:rPr>
      </w:pPr>
    </w:p>
    <w:p>
      <w:pPr>
        <w:snapToGrid w:val="0"/>
        <w:jc w:val="center"/>
        <w:rPr>
          <w:rFonts w:hint="eastAsia" w:ascii="宋体" w:eastAsia="宋体"/>
          <w:color w:val="000000"/>
          <w:szCs w:val="21"/>
          <w:lang w:eastAsia="zh-CN"/>
        </w:rPr>
      </w:pPr>
      <w:r>
        <w:rPr>
          <w:rFonts w:hint="eastAsia" w:ascii="宋体" w:hAnsi="宋体"/>
          <w:color w:val="000000"/>
          <w:szCs w:val="21"/>
        </w:rPr>
        <w:t>表</w:t>
      </w:r>
      <w:r>
        <w:rPr>
          <w:rFonts w:hint="eastAsia" w:ascii="宋体" w:hAnsi="宋体"/>
          <w:color w:val="000000"/>
          <w:szCs w:val="21"/>
          <w:lang w:val="en-US" w:eastAsia="zh-CN"/>
        </w:rPr>
        <w:t xml:space="preserve">2 </w:t>
      </w:r>
      <w:r>
        <w:rPr>
          <w:rFonts w:hint="eastAsia" w:ascii="宋体" w:cs="Times New Roman"/>
          <w:color w:val="000000"/>
          <w:kern w:val="2"/>
          <w:sz w:val="21"/>
          <w:szCs w:val="21"/>
          <w:lang w:val="en-US" w:eastAsia="zh-CN" w:bidi="ar-SA"/>
        </w:rPr>
        <w:t>办公用胶水</w:t>
      </w:r>
    </w:p>
    <w:tbl>
      <w:tblPr>
        <w:tblStyle w:val="5"/>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3690"/>
        <w:gridCol w:w="41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default" w:ascii="宋体" w:eastAsia="宋体"/>
                <w:color w:val="000000"/>
                <w:szCs w:val="21"/>
                <w:lang w:val="en-US" w:eastAsia="zh-CN"/>
              </w:rPr>
            </w:pPr>
            <w:r>
              <w:rPr>
                <w:rFonts w:hint="eastAsia" w:ascii="宋体"/>
                <w:color w:val="000000"/>
                <w:szCs w:val="21"/>
                <w:lang w:val="en-US" w:eastAsia="zh-CN"/>
              </w:rPr>
              <w:t>序号</w:t>
            </w:r>
          </w:p>
        </w:tc>
        <w:tc>
          <w:tcPr>
            <w:tcW w:w="3690" w:type="dxa"/>
            <w:vAlign w:val="center"/>
          </w:tcPr>
          <w:p>
            <w:pPr>
              <w:snapToGrid w:val="0"/>
              <w:jc w:val="center"/>
              <w:rPr>
                <w:rFonts w:ascii="宋体"/>
                <w:color w:val="000000"/>
                <w:szCs w:val="21"/>
              </w:rPr>
            </w:pPr>
            <w:r>
              <w:rPr>
                <w:rFonts w:hint="eastAsia" w:ascii="宋体" w:hAnsi="宋体"/>
                <w:color w:val="000000"/>
                <w:szCs w:val="21"/>
              </w:rPr>
              <w:t>检验项目</w:t>
            </w:r>
          </w:p>
        </w:tc>
        <w:tc>
          <w:tcPr>
            <w:tcW w:w="4122" w:type="dxa"/>
            <w:vAlign w:val="center"/>
          </w:tcPr>
          <w:p>
            <w:pPr>
              <w:snapToGrid w:val="0"/>
              <w:jc w:val="center"/>
              <w:rPr>
                <w:rFonts w:asci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hint="eastAsia" w:ascii="宋体"/>
                <w:color w:val="000000"/>
                <w:szCs w:val="21"/>
                <w:lang w:val="en-US" w:eastAsia="zh-CN"/>
              </w:rPr>
              <w:t>1</w:t>
            </w:r>
          </w:p>
        </w:tc>
        <w:tc>
          <w:tcPr>
            <w:tcW w:w="3690" w:type="dxa"/>
            <w:vAlign w:val="center"/>
          </w:tcPr>
          <w:p>
            <w:pPr>
              <w:widowControl/>
              <w:jc w:val="center"/>
              <w:textAlignment w:val="center"/>
              <w:rPr>
                <w:rFonts w:hint="eastAsia" w:ascii="宋体" w:hAnsi="Times New Roman" w:eastAsia="宋体" w:cs="Times New Roman"/>
                <w:kern w:val="2"/>
                <w:sz w:val="21"/>
                <w:szCs w:val="21"/>
                <w:lang w:val="en-US" w:eastAsia="zh-CN" w:bidi="ar-SA"/>
              </w:rPr>
            </w:pPr>
            <w:r>
              <w:rPr>
                <w:rFonts w:hint="eastAsia" w:ascii="宋体"/>
                <w:szCs w:val="21"/>
                <w:lang w:eastAsia="zh-CN"/>
              </w:rPr>
              <w:t>游离甲醛</w:t>
            </w:r>
          </w:p>
        </w:tc>
        <w:tc>
          <w:tcPr>
            <w:tcW w:w="4122" w:type="dxa"/>
            <w:vAlign w:val="center"/>
          </w:tcPr>
          <w:p>
            <w:pPr>
              <w:snapToGrid w:val="0"/>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Cs w:val="21"/>
                <w:lang w:val="en-US" w:eastAsia="zh-CN"/>
              </w:rPr>
              <w:t>GB/T 32606-2016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hint="eastAsia" w:ascii="宋体"/>
                <w:color w:val="000000"/>
                <w:szCs w:val="21"/>
                <w:lang w:val="en-US" w:eastAsia="zh-CN"/>
              </w:rPr>
              <w:t>2</w:t>
            </w:r>
          </w:p>
        </w:tc>
        <w:tc>
          <w:tcPr>
            <w:tcW w:w="3690" w:type="dxa"/>
            <w:vAlign w:val="center"/>
          </w:tcPr>
          <w:p>
            <w:pPr>
              <w:widowControl/>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cs="方正仿宋_GBK"/>
                <w:kern w:val="0"/>
                <w:szCs w:val="21"/>
                <w:lang w:val="en-US" w:eastAsia="zh-CN"/>
              </w:rPr>
              <w:t>苯</w:t>
            </w:r>
          </w:p>
        </w:tc>
        <w:tc>
          <w:tcPr>
            <w:tcW w:w="4122"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hint="eastAsia" w:ascii="宋体" w:hAnsi="宋体"/>
                <w:color w:val="000000"/>
                <w:szCs w:val="21"/>
                <w:lang w:val="en-US" w:eastAsia="zh-CN"/>
              </w:rPr>
              <w:t>GB 21027-2020 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hint="eastAsia" w:ascii="宋体"/>
                <w:color w:val="000000"/>
                <w:szCs w:val="21"/>
                <w:lang w:val="en-US" w:eastAsia="zh-CN"/>
              </w:rPr>
              <w:t>3</w:t>
            </w:r>
          </w:p>
        </w:tc>
        <w:tc>
          <w:tcPr>
            <w:tcW w:w="3690" w:type="dxa"/>
            <w:vAlign w:val="center"/>
          </w:tcPr>
          <w:p>
            <w:pPr>
              <w:widowControl/>
              <w:jc w:val="center"/>
              <w:textAlignment w:val="center"/>
              <w:rPr>
                <w:rFonts w:hint="eastAsia" w:ascii="宋体" w:hAnsi="宋体" w:eastAsia="宋体" w:cs="方正仿宋_GBK"/>
                <w:kern w:val="0"/>
                <w:sz w:val="21"/>
                <w:szCs w:val="21"/>
                <w:lang w:val="en-US" w:eastAsia="zh-CN" w:bidi="ar-SA"/>
              </w:rPr>
            </w:pPr>
            <w:r>
              <w:rPr>
                <w:rFonts w:hint="eastAsia" w:ascii="宋体" w:hAnsi="宋体" w:cs="方正仿宋_GBK"/>
                <w:kern w:val="0"/>
                <w:szCs w:val="21"/>
                <w:lang w:eastAsia="zh-CN"/>
              </w:rPr>
              <w:t>甲苯</w:t>
            </w:r>
            <w:r>
              <w:rPr>
                <w:rFonts w:hint="eastAsia" w:ascii="宋体" w:hAnsi="宋体" w:cs="方正仿宋_GBK"/>
                <w:kern w:val="0"/>
                <w:szCs w:val="21"/>
                <w:lang w:val="en-US" w:eastAsia="zh-CN"/>
              </w:rPr>
              <w:t>+二甲苯</w:t>
            </w:r>
          </w:p>
        </w:tc>
        <w:tc>
          <w:tcPr>
            <w:tcW w:w="4122" w:type="dxa"/>
            <w:vAlign w:val="center"/>
          </w:tcPr>
          <w:p>
            <w:pPr>
              <w:snapToGrid w:val="0"/>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Cs w:val="21"/>
                <w:lang w:val="en-US" w:eastAsia="zh-CN"/>
              </w:rPr>
              <w:t>GB 21027-2020 附录D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hint="eastAsia" w:ascii="宋体"/>
                <w:color w:val="000000"/>
                <w:szCs w:val="21"/>
                <w:lang w:val="en-US" w:eastAsia="zh-CN"/>
              </w:rPr>
              <w:t>4</w:t>
            </w:r>
          </w:p>
        </w:tc>
        <w:tc>
          <w:tcPr>
            <w:tcW w:w="3690" w:type="dxa"/>
            <w:vAlign w:val="center"/>
          </w:tcPr>
          <w:p>
            <w:pPr>
              <w:widowControl/>
              <w:jc w:val="center"/>
              <w:textAlignment w:val="center"/>
              <w:rPr>
                <w:rFonts w:hint="eastAsia" w:ascii="宋体" w:hAnsi="宋体" w:eastAsia="宋体" w:cs="方正仿宋_GBK"/>
                <w:kern w:val="0"/>
                <w:sz w:val="21"/>
                <w:szCs w:val="21"/>
                <w:lang w:val="en-US" w:eastAsia="zh-CN" w:bidi="ar-SA"/>
              </w:rPr>
            </w:pPr>
            <w:r>
              <w:rPr>
                <w:rFonts w:hint="eastAsia" w:ascii="宋体" w:hAnsi="宋体" w:cs="方正仿宋_GBK"/>
                <w:kern w:val="0"/>
                <w:szCs w:val="21"/>
                <w:lang w:eastAsia="zh-CN"/>
              </w:rPr>
              <w:t>总挥发性有机物</w:t>
            </w:r>
          </w:p>
        </w:tc>
        <w:tc>
          <w:tcPr>
            <w:tcW w:w="4122" w:type="dxa"/>
            <w:vAlign w:val="center"/>
          </w:tcPr>
          <w:p>
            <w:pPr>
              <w:snapToGrid w:val="0"/>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Cs w:val="21"/>
                <w:lang w:val="en-US" w:eastAsia="zh-CN"/>
              </w:rPr>
              <w:t>GB 21027-2020 附录E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hint="eastAsia" w:ascii="宋体"/>
                <w:color w:val="000000"/>
                <w:szCs w:val="21"/>
                <w:lang w:val="en-US" w:eastAsia="zh-CN"/>
              </w:rPr>
              <w:t>5</w:t>
            </w:r>
          </w:p>
        </w:tc>
        <w:tc>
          <w:tcPr>
            <w:tcW w:w="3690" w:type="dxa"/>
            <w:vAlign w:val="center"/>
          </w:tcPr>
          <w:p>
            <w:pPr>
              <w:widowControl/>
              <w:jc w:val="center"/>
              <w:textAlignment w:val="center"/>
              <w:rPr>
                <w:rFonts w:hint="eastAsia" w:ascii="宋体" w:hAnsi="宋体" w:cs="方正仿宋_GBK"/>
                <w:kern w:val="0"/>
                <w:szCs w:val="21"/>
                <w:lang w:eastAsia="zh-CN"/>
              </w:rPr>
            </w:pPr>
            <w:r>
              <w:rPr>
                <w:rFonts w:hint="eastAsia" w:ascii="宋体" w:hAnsi="宋体" w:cs="方正仿宋_GBK"/>
                <w:kern w:val="0"/>
                <w:szCs w:val="21"/>
                <w:lang w:eastAsia="zh-CN"/>
              </w:rPr>
              <w:t>不挥发物含量</w:t>
            </w:r>
          </w:p>
        </w:tc>
        <w:tc>
          <w:tcPr>
            <w:tcW w:w="4122" w:type="dxa"/>
            <w:vAlign w:val="center"/>
          </w:tcPr>
          <w:p>
            <w:pPr>
              <w:snapToGrid w:val="0"/>
              <w:jc w:val="center"/>
              <w:rPr>
                <w:rFonts w:hint="eastAsia" w:ascii="宋体" w:hAnsi="宋体"/>
                <w:color w:val="000000"/>
                <w:szCs w:val="21"/>
                <w:lang w:val="en-US" w:eastAsia="zh-CN"/>
              </w:rPr>
            </w:pPr>
            <w:r>
              <w:rPr>
                <w:rFonts w:hint="eastAsia" w:ascii="宋体" w:hAnsi="宋体"/>
                <w:color w:val="000000"/>
                <w:szCs w:val="21"/>
                <w:lang w:val="en-US" w:eastAsia="zh-CN"/>
              </w:rPr>
              <w:t>QB/T 1961-2011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361" w:type="dxa"/>
            <w:vAlign w:val="center"/>
          </w:tcPr>
          <w:p>
            <w:pPr>
              <w:snapToGrid w:val="0"/>
              <w:jc w:val="center"/>
              <w:rPr>
                <w:rFonts w:hint="eastAsia" w:ascii="宋体" w:hAnsi="Times New Roman" w:eastAsia="宋体" w:cs="Times New Roman"/>
                <w:color w:val="000000"/>
                <w:kern w:val="2"/>
                <w:sz w:val="21"/>
                <w:szCs w:val="21"/>
                <w:lang w:val="en-US" w:eastAsia="zh-CN" w:bidi="ar-SA"/>
              </w:rPr>
            </w:pPr>
            <w:r>
              <w:rPr>
                <w:rFonts w:hint="eastAsia" w:ascii="宋体"/>
                <w:color w:val="000000"/>
                <w:szCs w:val="21"/>
                <w:lang w:val="en-US" w:eastAsia="zh-CN"/>
              </w:rPr>
              <w:t>6</w:t>
            </w:r>
          </w:p>
        </w:tc>
        <w:tc>
          <w:tcPr>
            <w:tcW w:w="3690" w:type="dxa"/>
            <w:vAlign w:val="center"/>
          </w:tcPr>
          <w:p>
            <w:pPr>
              <w:widowControl/>
              <w:jc w:val="center"/>
              <w:textAlignment w:val="center"/>
              <w:rPr>
                <w:rFonts w:hint="eastAsia" w:ascii="宋体" w:hAnsi="宋体" w:cs="方正仿宋_GBK"/>
                <w:kern w:val="0"/>
                <w:szCs w:val="21"/>
                <w:lang w:eastAsia="zh-CN"/>
              </w:rPr>
            </w:pPr>
            <w:r>
              <w:rPr>
                <w:rFonts w:hint="eastAsia" w:ascii="宋体" w:hAnsi="宋体" w:cs="方正仿宋_GBK"/>
                <w:kern w:val="0"/>
                <w:szCs w:val="21"/>
                <w:lang w:val="en-US" w:eastAsia="zh-CN"/>
              </w:rPr>
              <w:t>粘接性</w:t>
            </w:r>
          </w:p>
        </w:tc>
        <w:tc>
          <w:tcPr>
            <w:tcW w:w="4122" w:type="dxa"/>
            <w:vAlign w:val="center"/>
          </w:tcPr>
          <w:p>
            <w:pPr>
              <w:snapToGrid w:val="0"/>
              <w:jc w:val="center"/>
              <w:rPr>
                <w:rFonts w:hint="eastAsia" w:ascii="宋体" w:hAnsi="宋体" w:eastAsia="宋体" w:cs="Times New Roman"/>
                <w:color w:val="000000"/>
                <w:kern w:val="2"/>
                <w:sz w:val="21"/>
                <w:szCs w:val="21"/>
                <w:lang w:val="en-US" w:eastAsia="zh-CN" w:bidi="ar-SA"/>
              </w:rPr>
            </w:pPr>
            <w:r>
              <w:rPr>
                <w:rFonts w:hint="eastAsia" w:ascii="宋体" w:hAnsi="宋体"/>
                <w:color w:val="000000"/>
                <w:szCs w:val="21"/>
                <w:lang w:val="en-US" w:eastAsia="zh-CN"/>
              </w:rPr>
              <w:t>QB/T 1961-2011</w:t>
            </w:r>
          </w:p>
        </w:tc>
      </w:tr>
    </w:tbl>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宋体"/>
          <w:color w:val="000000"/>
          <w:szCs w:val="21"/>
        </w:rPr>
      </w:pPr>
      <w:r>
        <w:rPr>
          <w:rFonts w:hint="eastAsia" w:ascii="宋体" w:hAnsi="宋体"/>
          <w:color w:val="000000"/>
          <w:szCs w:val="21"/>
        </w:rPr>
        <w:t>凡是注日期的文件，其随后所有的修改单（不包括勘误的内容）或修订版不适用于本细则。</w:t>
      </w:r>
      <w:r>
        <w:rPr>
          <w:rFonts w:ascii="Times New Roman" w:hAnsi="Times New Roman"/>
          <w:color w:val="000000"/>
          <w:szCs w:val="21"/>
        </w:rPr>
        <w:t>凡是不注日期的文件，其最新版本适用于本细则。</w:t>
      </w:r>
    </w:p>
    <w:p>
      <w:pPr>
        <w:snapToGrid w:val="0"/>
        <w:spacing w:line="440" w:lineRule="exact"/>
        <w:ind w:firstLine="359" w:firstLineChars="171"/>
        <w:rPr>
          <w:rFonts w:ascii="黑体" w:hAnsi="黑体" w:eastAsia="黑体"/>
          <w:color w:val="000000"/>
          <w:szCs w:val="21"/>
        </w:rPr>
      </w:pPr>
    </w:p>
    <w:p>
      <w:pPr>
        <w:spacing w:line="360" w:lineRule="auto"/>
        <w:rPr>
          <w:rFonts w:ascii="黑体" w:hAnsi="黑体" w:eastAsia="黑体"/>
          <w:color w:val="000000"/>
          <w:szCs w:val="21"/>
        </w:rPr>
      </w:pPr>
      <w:r>
        <w:rPr>
          <w:rFonts w:ascii="黑体" w:hAnsi="黑体" w:eastAsia="黑体"/>
          <w:color w:val="000000"/>
          <w:szCs w:val="21"/>
        </w:rPr>
        <w:t xml:space="preserve">3 </w:t>
      </w:r>
      <w:r>
        <w:rPr>
          <w:rFonts w:hint="eastAsia" w:ascii="黑体" w:hAnsi="黑体" w:eastAsia="黑体"/>
          <w:color w:val="000000"/>
          <w:szCs w:val="21"/>
        </w:rPr>
        <w:t>判定规则</w:t>
      </w:r>
    </w:p>
    <w:p>
      <w:pPr>
        <w:snapToGrid w:val="0"/>
        <w:spacing w:line="440" w:lineRule="exact"/>
        <w:rPr>
          <w:rFonts w:ascii="宋体"/>
          <w:color w:val="000000"/>
          <w:szCs w:val="21"/>
        </w:rPr>
      </w:pPr>
      <w:r>
        <w:rPr>
          <w:rFonts w:ascii="宋体" w:hAnsi="宋体"/>
          <w:color w:val="000000"/>
          <w:szCs w:val="21"/>
        </w:rPr>
        <w:t>3.1</w:t>
      </w:r>
      <w:r>
        <w:rPr>
          <w:rFonts w:hint="eastAsia" w:ascii="宋体" w:hAnsi="宋体"/>
          <w:color w:val="000000"/>
          <w:szCs w:val="21"/>
        </w:rPr>
        <w:t>依据标准</w:t>
      </w:r>
    </w:p>
    <w:p>
      <w:pPr>
        <w:snapToGrid w:val="0"/>
        <w:spacing w:line="440" w:lineRule="exact"/>
        <w:ind w:firstLine="420" w:firstLineChars="200"/>
        <w:rPr>
          <w:rFonts w:hint="eastAsia" w:ascii="宋体" w:hAnsi="宋体"/>
          <w:color w:val="000000"/>
          <w:szCs w:val="21"/>
          <w:lang w:val="en-US" w:eastAsia="zh-CN"/>
        </w:rPr>
      </w:pPr>
      <w:r>
        <w:rPr>
          <w:rFonts w:hint="eastAsia" w:ascii="宋体" w:hAnsi="宋体"/>
          <w:color w:val="000000"/>
          <w:szCs w:val="21"/>
          <w:lang w:val="en-US" w:eastAsia="zh-CN"/>
        </w:rPr>
        <w:t>QB/T 1962-2011浆糊</w:t>
      </w:r>
    </w:p>
    <w:p>
      <w:pPr>
        <w:snapToGrid w:val="0"/>
        <w:spacing w:line="440" w:lineRule="exact"/>
        <w:ind w:firstLine="420" w:firstLineChars="200"/>
        <w:rPr>
          <w:rFonts w:hint="default" w:ascii="宋体" w:hAnsi="宋体"/>
          <w:color w:val="000000"/>
          <w:szCs w:val="21"/>
          <w:lang w:val="en-US" w:eastAsia="zh-CN"/>
        </w:rPr>
      </w:pPr>
      <w:r>
        <w:rPr>
          <w:rFonts w:hint="eastAsia" w:ascii="宋体" w:hAnsi="宋体"/>
          <w:color w:val="000000"/>
          <w:szCs w:val="21"/>
          <w:lang w:val="en-US" w:eastAsia="zh-CN"/>
        </w:rPr>
        <w:t>QB/T 1961-2011 办公用胶水</w:t>
      </w:r>
    </w:p>
    <w:p>
      <w:pPr>
        <w:snapToGrid w:val="0"/>
        <w:spacing w:line="440" w:lineRule="exact"/>
        <w:ind w:firstLine="420" w:firstLineChars="200"/>
        <w:rPr>
          <w:rFonts w:hint="eastAsia"/>
          <w:szCs w:val="21"/>
        </w:rPr>
      </w:pPr>
      <w:r>
        <w:rPr>
          <w:rFonts w:ascii="宋体" w:hAnsi="宋体"/>
          <w:color w:val="000000"/>
          <w:szCs w:val="21"/>
        </w:rPr>
        <w:t>GB 21027-20</w:t>
      </w:r>
      <w:r>
        <w:rPr>
          <w:rFonts w:hint="eastAsia" w:ascii="宋体" w:hAnsi="宋体"/>
          <w:color w:val="000000"/>
          <w:szCs w:val="21"/>
          <w:lang w:val="en-US" w:eastAsia="zh-CN"/>
        </w:rPr>
        <w:t>20</w:t>
      </w:r>
      <w:r>
        <w:rPr>
          <w:rFonts w:ascii="宋体" w:hAnsi="宋体"/>
          <w:color w:val="000000"/>
          <w:szCs w:val="21"/>
        </w:rPr>
        <w:t xml:space="preserve"> </w:t>
      </w:r>
      <w:r>
        <w:rPr>
          <w:rFonts w:hint="eastAsia"/>
          <w:szCs w:val="21"/>
        </w:rPr>
        <w:t>学生用品的安全通用要求</w:t>
      </w:r>
    </w:p>
    <w:p>
      <w:pPr>
        <w:snapToGrid w:val="0"/>
        <w:spacing w:line="440" w:lineRule="exact"/>
        <w:ind w:firstLine="420" w:firstLineChars="200"/>
        <w:rPr>
          <w:rFonts w:asci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hint="eastAsia" w:ascii="宋体" w:hAnsi="宋体"/>
          <w:color w:val="000000"/>
          <w:szCs w:val="21"/>
        </w:rPr>
      </w:pPr>
      <w:r>
        <w:rPr>
          <w:rFonts w:ascii="宋体" w:hAnsi="宋体"/>
          <w:color w:val="000000"/>
          <w:szCs w:val="21"/>
        </w:rPr>
        <w:t>3.2</w:t>
      </w:r>
      <w:r>
        <w:rPr>
          <w:rFonts w:hint="eastAsia" w:ascii="宋体" w:hAnsi="宋体"/>
          <w:color w:val="000000"/>
          <w:szCs w:val="21"/>
        </w:rPr>
        <w:t>判定原则</w:t>
      </w:r>
    </w:p>
    <w:p>
      <w:pPr>
        <w:snapToGrid w:val="0"/>
        <w:spacing w:line="440" w:lineRule="exact"/>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3.2.1单项判定</w:t>
      </w:r>
    </w:p>
    <w:p>
      <w:pPr>
        <w:snapToGrid w:val="0"/>
        <w:spacing w:line="440" w:lineRule="exact"/>
        <w:ind w:firstLine="420" w:firstLineChars="200"/>
        <w:rPr>
          <w:rFonts w:ascii="宋体" w:hAnsi="宋体" w:eastAsia="宋体" w:cs="宋体"/>
          <w:sz w:val="21"/>
          <w:szCs w:val="21"/>
          <w:highlight w:val="none"/>
        </w:rPr>
      </w:pPr>
      <w:r>
        <w:rPr>
          <w:rFonts w:hint="eastAsia" w:ascii="宋体" w:hAnsi="宋体" w:cs="宋体"/>
          <w:sz w:val="21"/>
          <w:szCs w:val="21"/>
          <w:highlight w:val="none"/>
          <w:lang w:eastAsia="zh-CN"/>
        </w:rPr>
        <w:t>浆糊的</w:t>
      </w:r>
      <w:r>
        <w:rPr>
          <w:rFonts w:hint="eastAsia" w:ascii="宋体" w:hAnsi="宋体" w:cs="方正仿宋_GBK"/>
          <w:kern w:val="0"/>
          <w:szCs w:val="21"/>
          <w:highlight w:val="none"/>
          <w:lang w:val="en-US" w:eastAsia="zh-CN"/>
        </w:rPr>
        <w:t>防霉力、</w:t>
      </w:r>
      <w:r>
        <w:rPr>
          <w:rFonts w:hint="eastAsia" w:ascii="宋体" w:hAnsi="宋体" w:cs="方正仿宋_GBK"/>
          <w:kern w:val="0"/>
          <w:szCs w:val="21"/>
          <w:highlight w:val="none"/>
          <w:lang w:eastAsia="zh-CN"/>
        </w:rPr>
        <w:t>耐寒性</w:t>
      </w:r>
      <w:r>
        <w:rPr>
          <w:rFonts w:hint="eastAsia" w:ascii="宋体" w:hAnsi="宋体" w:cs="宋体"/>
          <w:sz w:val="21"/>
          <w:szCs w:val="21"/>
          <w:highlight w:val="none"/>
          <w:lang w:eastAsia="zh-CN"/>
        </w:rPr>
        <w:t>项目抽样检验方案为（n,</w:t>
      </w:r>
      <w:r>
        <w:rPr>
          <w:rFonts w:hint="eastAsia" w:ascii="宋体" w:hAnsi="宋体" w:cs="宋体"/>
          <w:sz w:val="21"/>
          <w:szCs w:val="21"/>
          <w:highlight w:val="none"/>
          <w:lang w:val="en-US" w:eastAsia="zh-CN"/>
        </w:rPr>
        <w:t>Ac,Rc</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4</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0,1</w:t>
      </w:r>
      <w:r>
        <w:rPr>
          <w:rFonts w:hint="eastAsia" w:ascii="宋体" w:hAnsi="宋体" w:cs="宋体"/>
          <w:sz w:val="21"/>
          <w:szCs w:val="21"/>
          <w:highlight w:val="none"/>
          <w:lang w:eastAsia="zh-CN"/>
        </w:rPr>
        <w:t>)，即检验</w:t>
      </w:r>
      <w:r>
        <w:rPr>
          <w:rFonts w:hint="eastAsia" w:ascii="宋体" w:hAnsi="宋体" w:cs="宋体"/>
          <w:sz w:val="21"/>
          <w:szCs w:val="21"/>
          <w:highlight w:val="none"/>
          <w:lang w:val="en-US" w:eastAsia="zh-CN"/>
        </w:rPr>
        <w:t>4个样品</w:t>
      </w:r>
      <w:r>
        <w:rPr>
          <w:rFonts w:hint="eastAsia" w:ascii="宋体" w:hAnsi="宋体" w:cs="宋体"/>
          <w:sz w:val="21"/>
          <w:szCs w:val="21"/>
          <w:highlight w:val="none"/>
          <w:lang w:eastAsia="zh-CN"/>
        </w:rPr>
        <w:t>，允许有</w:t>
      </w:r>
      <w:r>
        <w:rPr>
          <w:rFonts w:hint="eastAsia" w:ascii="宋体" w:hAnsi="宋体" w:cs="宋体"/>
          <w:sz w:val="21"/>
          <w:szCs w:val="21"/>
          <w:highlight w:val="none"/>
          <w:lang w:val="en-US" w:eastAsia="zh-CN"/>
        </w:rPr>
        <w:t>0个样品</w:t>
      </w:r>
      <w:r>
        <w:rPr>
          <w:rFonts w:hint="eastAsia" w:ascii="宋体" w:hAnsi="宋体" w:cs="宋体"/>
          <w:sz w:val="21"/>
          <w:szCs w:val="21"/>
          <w:highlight w:val="none"/>
          <w:lang w:eastAsia="zh-CN"/>
        </w:rPr>
        <w:t>的测量结果超出</w:t>
      </w:r>
      <w:r>
        <w:rPr>
          <w:rFonts w:ascii="宋体" w:hAnsi="宋体" w:eastAsia="宋体" w:cs="宋体"/>
          <w:sz w:val="21"/>
          <w:szCs w:val="21"/>
          <w:highlight w:val="none"/>
        </w:rPr>
        <w:t>标准规定的偏差范围，当有</w:t>
      </w:r>
      <w:r>
        <w:rPr>
          <w:rFonts w:hint="eastAsia" w:ascii="宋体" w:hAnsi="宋体" w:cs="宋体"/>
          <w:sz w:val="21"/>
          <w:szCs w:val="21"/>
          <w:highlight w:val="none"/>
          <w:lang w:val="en-US" w:eastAsia="zh-CN"/>
        </w:rPr>
        <w:t>1</w:t>
      </w:r>
      <w:r>
        <w:rPr>
          <w:rFonts w:ascii="宋体" w:hAnsi="宋体" w:eastAsia="宋体" w:cs="宋体"/>
          <w:sz w:val="21"/>
          <w:szCs w:val="21"/>
          <w:highlight w:val="none"/>
        </w:rPr>
        <w:t>个（含）以上</w:t>
      </w:r>
      <w:r>
        <w:rPr>
          <w:rFonts w:hint="eastAsia" w:ascii="宋体" w:hAnsi="宋体" w:cs="宋体"/>
          <w:sz w:val="21"/>
          <w:szCs w:val="21"/>
          <w:highlight w:val="none"/>
          <w:lang w:eastAsia="zh-CN"/>
        </w:rPr>
        <w:t>样品</w:t>
      </w:r>
      <w:r>
        <w:rPr>
          <w:rFonts w:ascii="宋体" w:hAnsi="宋体" w:eastAsia="宋体" w:cs="宋体"/>
          <w:sz w:val="21"/>
          <w:szCs w:val="21"/>
          <w:highlight w:val="none"/>
        </w:rPr>
        <w:t>不符合</w:t>
      </w:r>
      <w:r>
        <w:rPr>
          <w:rFonts w:hint="eastAsia" w:ascii="宋体" w:hAnsi="宋体" w:cs="宋体"/>
          <w:sz w:val="21"/>
          <w:szCs w:val="21"/>
          <w:highlight w:val="none"/>
          <w:lang w:eastAsia="zh-CN"/>
        </w:rPr>
        <w:t>标准</w:t>
      </w:r>
      <w:r>
        <w:rPr>
          <w:rFonts w:ascii="宋体" w:hAnsi="宋体" w:eastAsia="宋体" w:cs="宋体"/>
          <w:sz w:val="21"/>
          <w:szCs w:val="21"/>
          <w:highlight w:val="none"/>
        </w:rPr>
        <w:t>要求时，判定该项不合格。</w:t>
      </w:r>
    </w:p>
    <w:p>
      <w:pPr>
        <w:snapToGrid w:val="0"/>
        <w:spacing w:line="440" w:lineRule="exact"/>
        <w:ind w:firstLine="420" w:firstLineChars="200"/>
        <w:rPr>
          <w:rFonts w:ascii="宋体" w:hAnsi="宋体" w:eastAsia="宋体" w:cs="宋体"/>
          <w:sz w:val="21"/>
          <w:szCs w:val="21"/>
          <w:highlight w:val="none"/>
        </w:rPr>
      </w:pPr>
      <w:r>
        <w:rPr>
          <w:rFonts w:hint="eastAsia" w:ascii="宋体" w:hAnsi="宋体" w:cs="宋体"/>
          <w:sz w:val="21"/>
          <w:szCs w:val="21"/>
          <w:highlight w:val="none"/>
          <w:lang w:eastAsia="zh-CN"/>
        </w:rPr>
        <w:t>办公用胶水的</w:t>
      </w:r>
      <w:r>
        <w:rPr>
          <w:rFonts w:hint="eastAsia" w:ascii="宋体" w:hAnsi="宋体" w:cs="方正仿宋_GBK"/>
          <w:kern w:val="0"/>
          <w:szCs w:val="21"/>
          <w:highlight w:val="none"/>
          <w:lang w:val="en-US" w:eastAsia="zh-CN"/>
        </w:rPr>
        <w:t>不挥发物含量、粘接性</w:t>
      </w:r>
      <w:r>
        <w:rPr>
          <w:rFonts w:hint="eastAsia" w:ascii="宋体" w:hAnsi="宋体" w:cs="宋体"/>
          <w:sz w:val="21"/>
          <w:szCs w:val="21"/>
          <w:highlight w:val="none"/>
          <w:lang w:eastAsia="zh-CN"/>
        </w:rPr>
        <w:t>项目抽样检验方案为（n,</w:t>
      </w:r>
      <w:r>
        <w:rPr>
          <w:rFonts w:hint="eastAsia" w:ascii="宋体" w:hAnsi="宋体" w:cs="宋体"/>
          <w:sz w:val="21"/>
          <w:szCs w:val="21"/>
          <w:highlight w:val="none"/>
          <w:lang w:val="en-US" w:eastAsia="zh-CN"/>
        </w:rPr>
        <w:t>Ac,Rc</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4</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0,1</w:t>
      </w:r>
      <w:r>
        <w:rPr>
          <w:rFonts w:hint="eastAsia" w:ascii="宋体" w:hAnsi="宋体" w:cs="宋体"/>
          <w:sz w:val="21"/>
          <w:szCs w:val="21"/>
          <w:highlight w:val="none"/>
          <w:lang w:eastAsia="zh-CN"/>
        </w:rPr>
        <w:t>)，即检验</w:t>
      </w:r>
      <w:r>
        <w:rPr>
          <w:rFonts w:hint="eastAsia" w:ascii="宋体" w:hAnsi="宋体" w:cs="宋体"/>
          <w:sz w:val="21"/>
          <w:szCs w:val="21"/>
          <w:highlight w:val="none"/>
          <w:lang w:val="en-US" w:eastAsia="zh-CN"/>
        </w:rPr>
        <w:t>4个样品</w:t>
      </w:r>
      <w:r>
        <w:rPr>
          <w:rFonts w:hint="eastAsia" w:ascii="宋体" w:hAnsi="宋体" w:cs="宋体"/>
          <w:sz w:val="21"/>
          <w:szCs w:val="21"/>
          <w:highlight w:val="none"/>
          <w:lang w:eastAsia="zh-CN"/>
        </w:rPr>
        <w:t>，允许有</w:t>
      </w:r>
      <w:r>
        <w:rPr>
          <w:rFonts w:hint="eastAsia" w:ascii="宋体" w:hAnsi="宋体" w:cs="宋体"/>
          <w:sz w:val="21"/>
          <w:szCs w:val="21"/>
          <w:highlight w:val="none"/>
          <w:lang w:val="en-US" w:eastAsia="zh-CN"/>
        </w:rPr>
        <w:t>0个样品</w:t>
      </w:r>
      <w:r>
        <w:rPr>
          <w:rFonts w:hint="eastAsia" w:ascii="宋体" w:hAnsi="宋体" w:cs="宋体"/>
          <w:sz w:val="21"/>
          <w:szCs w:val="21"/>
          <w:highlight w:val="none"/>
          <w:lang w:eastAsia="zh-CN"/>
        </w:rPr>
        <w:t>的测量结果超出</w:t>
      </w:r>
      <w:r>
        <w:rPr>
          <w:rFonts w:ascii="宋体" w:hAnsi="宋体" w:eastAsia="宋体" w:cs="宋体"/>
          <w:sz w:val="21"/>
          <w:szCs w:val="21"/>
          <w:highlight w:val="none"/>
        </w:rPr>
        <w:t>标准规定的偏差范围，当有</w:t>
      </w:r>
      <w:r>
        <w:rPr>
          <w:rFonts w:hint="eastAsia" w:ascii="宋体" w:hAnsi="宋体" w:cs="宋体"/>
          <w:sz w:val="21"/>
          <w:szCs w:val="21"/>
          <w:highlight w:val="none"/>
          <w:lang w:val="en-US" w:eastAsia="zh-CN"/>
        </w:rPr>
        <w:t>1</w:t>
      </w:r>
      <w:r>
        <w:rPr>
          <w:rFonts w:ascii="宋体" w:hAnsi="宋体" w:eastAsia="宋体" w:cs="宋体"/>
          <w:sz w:val="21"/>
          <w:szCs w:val="21"/>
          <w:highlight w:val="none"/>
        </w:rPr>
        <w:t>个（含）以上</w:t>
      </w:r>
      <w:r>
        <w:rPr>
          <w:rFonts w:hint="eastAsia" w:ascii="宋体" w:hAnsi="宋体" w:cs="宋体"/>
          <w:sz w:val="21"/>
          <w:szCs w:val="21"/>
          <w:highlight w:val="none"/>
          <w:lang w:eastAsia="zh-CN"/>
        </w:rPr>
        <w:t>样品</w:t>
      </w:r>
      <w:r>
        <w:rPr>
          <w:rFonts w:ascii="宋体" w:hAnsi="宋体" w:eastAsia="宋体" w:cs="宋体"/>
          <w:sz w:val="21"/>
          <w:szCs w:val="21"/>
          <w:highlight w:val="none"/>
        </w:rPr>
        <w:t>不符合</w:t>
      </w:r>
      <w:r>
        <w:rPr>
          <w:rFonts w:hint="eastAsia" w:ascii="宋体" w:hAnsi="宋体" w:cs="宋体"/>
          <w:sz w:val="21"/>
          <w:szCs w:val="21"/>
          <w:highlight w:val="none"/>
          <w:lang w:eastAsia="zh-CN"/>
        </w:rPr>
        <w:t>标准</w:t>
      </w:r>
      <w:r>
        <w:rPr>
          <w:rFonts w:ascii="宋体" w:hAnsi="宋体" w:eastAsia="宋体" w:cs="宋体"/>
          <w:sz w:val="21"/>
          <w:szCs w:val="21"/>
          <w:highlight w:val="none"/>
        </w:rPr>
        <w:t>要求时，判定该项不合格。</w:t>
      </w:r>
    </w:p>
    <w:p>
      <w:pPr>
        <w:snapToGrid w:val="0"/>
        <w:spacing w:line="440" w:lineRule="exact"/>
        <w:rPr>
          <w:rFonts w:hint="eastAsia" w:ascii="宋体" w:hAnsi="宋体"/>
          <w:color w:val="000000"/>
          <w:szCs w:val="21"/>
          <w:highlight w:val="none"/>
        </w:rPr>
      </w:pPr>
      <w:r>
        <w:rPr>
          <w:rFonts w:hint="eastAsia" w:ascii="宋体" w:hAnsi="宋体"/>
          <w:color w:val="000000"/>
          <w:szCs w:val="21"/>
          <w:highlight w:val="none"/>
          <w:lang w:val="en-US" w:eastAsia="zh-CN"/>
        </w:rPr>
        <w:t>3.2.2综合判定</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pPr>
        <w:snapToGrid w:val="0"/>
        <w:spacing w:line="440" w:lineRule="exact"/>
        <w:ind w:firstLine="417" w:firstLineChars="199"/>
        <w:rPr>
          <w:rFonts w:ascii="宋体"/>
          <w:color w:val="000000"/>
          <w:szCs w:val="21"/>
        </w:rPr>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仿宋简体">
    <w:altName w:val="Arial Unicode MS"/>
    <w:panose1 w:val="03000509000000000000"/>
    <w:charset w:val="86"/>
    <w:family w:val="auto"/>
    <w:pitch w:val="default"/>
    <w:sig w:usb0="00000000" w:usb1="00000000" w:usb2="00000000" w:usb3="00000000" w:csb0="00040000" w:csb1="00000000"/>
  </w:font>
  <w:font w:name="方正仿宋_GBK">
    <w:altName w:val="Arial Unicode MS"/>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2</w:t>
    </w:r>
    <w:r>
      <w:rPr>
        <w:rStyle w:val="8"/>
      </w:rP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5OGU4NGM0N2VhNDI3ZTQyYTE0ZTMzYTI1NTJjNmEifQ=="/>
  </w:docVars>
  <w:rsids>
    <w:rsidRoot w:val="004E1C1B"/>
    <w:rsid w:val="00017598"/>
    <w:rsid w:val="00070677"/>
    <w:rsid w:val="00071BFB"/>
    <w:rsid w:val="000816CA"/>
    <w:rsid w:val="000A6B06"/>
    <w:rsid w:val="000F47BD"/>
    <w:rsid w:val="00110089"/>
    <w:rsid w:val="00126693"/>
    <w:rsid w:val="00142815"/>
    <w:rsid w:val="002122B4"/>
    <w:rsid w:val="002651E6"/>
    <w:rsid w:val="0027234F"/>
    <w:rsid w:val="00272CA1"/>
    <w:rsid w:val="00276BA0"/>
    <w:rsid w:val="00277D59"/>
    <w:rsid w:val="00292F7F"/>
    <w:rsid w:val="002A21E1"/>
    <w:rsid w:val="002C4216"/>
    <w:rsid w:val="00302B95"/>
    <w:rsid w:val="00344EF9"/>
    <w:rsid w:val="00360E00"/>
    <w:rsid w:val="003808FF"/>
    <w:rsid w:val="00386676"/>
    <w:rsid w:val="003C51F6"/>
    <w:rsid w:val="003F4F40"/>
    <w:rsid w:val="004078C1"/>
    <w:rsid w:val="00444792"/>
    <w:rsid w:val="00473779"/>
    <w:rsid w:val="004A6040"/>
    <w:rsid w:val="004A6875"/>
    <w:rsid w:val="004B72EC"/>
    <w:rsid w:val="004C13EF"/>
    <w:rsid w:val="004E1C1B"/>
    <w:rsid w:val="0050332A"/>
    <w:rsid w:val="00510039"/>
    <w:rsid w:val="005234DA"/>
    <w:rsid w:val="00556685"/>
    <w:rsid w:val="005A790A"/>
    <w:rsid w:val="005B3386"/>
    <w:rsid w:val="00605616"/>
    <w:rsid w:val="00622E51"/>
    <w:rsid w:val="00623104"/>
    <w:rsid w:val="0063289E"/>
    <w:rsid w:val="00636743"/>
    <w:rsid w:val="00644936"/>
    <w:rsid w:val="00653E83"/>
    <w:rsid w:val="0066117E"/>
    <w:rsid w:val="00681809"/>
    <w:rsid w:val="00684A78"/>
    <w:rsid w:val="00684E16"/>
    <w:rsid w:val="006D52B2"/>
    <w:rsid w:val="006E7112"/>
    <w:rsid w:val="006F11F0"/>
    <w:rsid w:val="006F3C2F"/>
    <w:rsid w:val="00701745"/>
    <w:rsid w:val="00707B57"/>
    <w:rsid w:val="00712144"/>
    <w:rsid w:val="00721F6B"/>
    <w:rsid w:val="007349BB"/>
    <w:rsid w:val="007652FF"/>
    <w:rsid w:val="00787874"/>
    <w:rsid w:val="007B2CB6"/>
    <w:rsid w:val="007E2FC8"/>
    <w:rsid w:val="00813A0F"/>
    <w:rsid w:val="00871623"/>
    <w:rsid w:val="008A4E3C"/>
    <w:rsid w:val="008E6FAA"/>
    <w:rsid w:val="00916257"/>
    <w:rsid w:val="009354D0"/>
    <w:rsid w:val="009B04C1"/>
    <w:rsid w:val="009B783F"/>
    <w:rsid w:val="009E131F"/>
    <w:rsid w:val="009E628B"/>
    <w:rsid w:val="00A26D28"/>
    <w:rsid w:val="00A30649"/>
    <w:rsid w:val="00A409F0"/>
    <w:rsid w:val="00A775F3"/>
    <w:rsid w:val="00A871CD"/>
    <w:rsid w:val="00A87EB1"/>
    <w:rsid w:val="00A94967"/>
    <w:rsid w:val="00A957C3"/>
    <w:rsid w:val="00AB5EEF"/>
    <w:rsid w:val="00AF7D1B"/>
    <w:rsid w:val="00B01F8D"/>
    <w:rsid w:val="00B0597E"/>
    <w:rsid w:val="00B43A71"/>
    <w:rsid w:val="00B61E92"/>
    <w:rsid w:val="00B918EF"/>
    <w:rsid w:val="00BC5D4A"/>
    <w:rsid w:val="00BD6C92"/>
    <w:rsid w:val="00BE42E1"/>
    <w:rsid w:val="00BF071F"/>
    <w:rsid w:val="00BF7E2E"/>
    <w:rsid w:val="00C436D6"/>
    <w:rsid w:val="00CA0160"/>
    <w:rsid w:val="00CC476F"/>
    <w:rsid w:val="00CC5CD5"/>
    <w:rsid w:val="00CE4EBA"/>
    <w:rsid w:val="00D2319E"/>
    <w:rsid w:val="00D6128B"/>
    <w:rsid w:val="00D63CC7"/>
    <w:rsid w:val="00DA0F15"/>
    <w:rsid w:val="00DD40C8"/>
    <w:rsid w:val="00DD5955"/>
    <w:rsid w:val="00E21673"/>
    <w:rsid w:val="00E371D6"/>
    <w:rsid w:val="00E766A1"/>
    <w:rsid w:val="00E96D0A"/>
    <w:rsid w:val="00EB1677"/>
    <w:rsid w:val="00EE7D38"/>
    <w:rsid w:val="00EF5E2D"/>
    <w:rsid w:val="00F02B1B"/>
    <w:rsid w:val="00F32133"/>
    <w:rsid w:val="00F36EF4"/>
    <w:rsid w:val="00F6285D"/>
    <w:rsid w:val="00F762D5"/>
    <w:rsid w:val="00F76D14"/>
    <w:rsid w:val="00FA10D3"/>
    <w:rsid w:val="00FB7415"/>
    <w:rsid w:val="00FC7AB5"/>
    <w:rsid w:val="00FF44CB"/>
    <w:rsid w:val="012320B0"/>
    <w:rsid w:val="0192730A"/>
    <w:rsid w:val="01D34174"/>
    <w:rsid w:val="03BA154F"/>
    <w:rsid w:val="04795AC3"/>
    <w:rsid w:val="054415E3"/>
    <w:rsid w:val="06CA49B2"/>
    <w:rsid w:val="09B0436D"/>
    <w:rsid w:val="0D6231F0"/>
    <w:rsid w:val="0FEA2255"/>
    <w:rsid w:val="10314E3E"/>
    <w:rsid w:val="1077588E"/>
    <w:rsid w:val="10775E30"/>
    <w:rsid w:val="16DC3D95"/>
    <w:rsid w:val="176D6721"/>
    <w:rsid w:val="180A2957"/>
    <w:rsid w:val="1A455AB3"/>
    <w:rsid w:val="1DC36C51"/>
    <w:rsid w:val="223B0321"/>
    <w:rsid w:val="22AF192A"/>
    <w:rsid w:val="22F37040"/>
    <w:rsid w:val="25022B2D"/>
    <w:rsid w:val="25C339AE"/>
    <w:rsid w:val="26073168"/>
    <w:rsid w:val="272D2AF3"/>
    <w:rsid w:val="2866761B"/>
    <w:rsid w:val="2AD208A5"/>
    <w:rsid w:val="2C4D5864"/>
    <w:rsid w:val="2D2D2E8B"/>
    <w:rsid w:val="2EC97697"/>
    <w:rsid w:val="30181DF2"/>
    <w:rsid w:val="30506D8F"/>
    <w:rsid w:val="30FA79E3"/>
    <w:rsid w:val="32B02413"/>
    <w:rsid w:val="331F0057"/>
    <w:rsid w:val="339A79C6"/>
    <w:rsid w:val="395D1036"/>
    <w:rsid w:val="40825822"/>
    <w:rsid w:val="41587E21"/>
    <w:rsid w:val="43887256"/>
    <w:rsid w:val="46925519"/>
    <w:rsid w:val="4E216784"/>
    <w:rsid w:val="50624B47"/>
    <w:rsid w:val="513462F8"/>
    <w:rsid w:val="519658E0"/>
    <w:rsid w:val="55284685"/>
    <w:rsid w:val="58704B91"/>
    <w:rsid w:val="5AC328EC"/>
    <w:rsid w:val="5B1C7E73"/>
    <w:rsid w:val="5BF142D7"/>
    <w:rsid w:val="5C021CA4"/>
    <w:rsid w:val="5C7B1186"/>
    <w:rsid w:val="5D280146"/>
    <w:rsid w:val="5E0679B9"/>
    <w:rsid w:val="5FDB3A4F"/>
    <w:rsid w:val="643F2473"/>
    <w:rsid w:val="65A96E50"/>
    <w:rsid w:val="68AA4E85"/>
    <w:rsid w:val="6B3E59E8"/>
    <w:rsid w:val="6E0C0E51"/>
    <w:rsid w:val="6FAC3469"/>
    <w:rsid w:val="725051F5"/>
    <w:rsid w:val="73170FF5"/>
    <w:rsid w:val="779F07CE"/>
    <w:rsid w:val="77B2501E"/>
    <w:rsid w:val="781427BE"/>
    <w:rsid w:val="790713CB"/>
    <w:rsid w:val="79C748D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9"/>
    <w:semiHidden/>
    <w:qFormat/>
    <w:uiPriority w:val="99"/>
    <w:pPr>
      <w:shd w:val="clear" w:color="auto" w:fill="000080"/>
    </w:pPr>
  </w:style>
  <w:style w:type="paragraph" w:styleId="3">
    <w:name w:val="footer"/>
    <w:basedOn w:val="1"/>
    <w:link w:val="10"/>
    <w:qFormat/>
    <w:uiPriority w:val="99"/>
    <w:pPr>
      <w:tabs>
        <w:tab w:val="center" w:pos="4153"/>
        <w:tab w:val="right" w:pos="8306"/>
      </w:tabs>
      <w:snapToGrid w:val="0"/>
      <w:jc w:val="left"/>
    </w:pPr>
    <w:rPr>
      <w:rFonts w:ascii="Calibri" w:hAnsi="Calibri"/>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rFonts w:ascii="Calibri" w:hAnsi="Calibri"/>
      <w:sz w:val="18"/>
      <w:szCs w:val="18"/>
    </w:rPr>
  </w:style>
  <w:style w:type="table" w:styleId="6">
    <w:name w:val="Table Grid"/>
    <w:basedOn w:val="5"/>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
    <w:name w:val="page number"/>
    <w:qFormat/>
    <w:uiPriority w:val="99"/>
    <w:rPr>
      <w:rFonts w:cs="Times New Roman"/>
    </w:rPr>
  </w:style>
  <w:style w:type="character" w:customStyle="1" w:styleId="9">
    <w:name w:val="文档结构图 字符"/>
    <w:link w:val="2"/>
    <w:semiHidden/>
    <w:qFormat/>
    <w:locked/>
    <w:uiPriority w:val="99"/>
    <w:rPr>
      <w:rFonts w:ascii="Times New Roman" w:hAnsi="Times New Roman" w:cs="Times New Roman"/>
      <w:sz w:val="2"/>
    </w:rPr>
  </w:style>
  <w:style w:type="character" w:customStyle="1" w:styleId="10">
    <w:name w:val="页脚 字符"/>
    <w:link w:val="3"/>
    <w:qFormat/>
    <w:locked/>
    <w:uiPriority w:val="99"/>
    <w:rPr>
      <w:rFonts w:cs="Times New Roman"/>
      <w:sz w:val="18"/>
      <w:szCs w:val="18"/>
    </w:rPr>
  </w:style>
  <w:style w:type="character" w:customStyle="1" w:styleId="11">
    <w:name w:val="页眉 字符"/>
    <w:link w:val="4"/>
    <w:qFormat/>
    <w:locked/>
    <w:uiPriority w:val="99"/>
    <w:rPr>
      <w:rFonts w:cs="Times New Roman"/>
      <w:sz w:val="18"/>
      <w:szCs w:val="18"/>
    </w:rPr>
  </w:style>
  <w:style w:type="character" w:customStyle="1" w:styleId="12">
    <w:name w:val="页脚 Char1"/>
    <w:semiHidden/>
    <w:qFormat/>
    <w:locked/>
    <w:uiPriority w:val="99"/>
    <w:rPr>
      <w:rFonts w:ascii="Times New Roman" w:hAnsi="Times New Roman" w:eastAsia="宋体" w:cs="Times New Roman"/>
      <w:sz w:val="18"/>
      <w:szCs w:val="18"/>
    </w:rPr>
  </w:style>
  <w:style w:type="character" w:customStyle="1" w:styleId="13">
    <w:name w:val="页眉 Char1"/>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960</Words>
  <Characters>1163</Characters>
  <Lines>13</Lines>
  <Paragraphs>3</Paragraphs>
  <TotalTime>3</TotalTime>
  <ScaleCrop>false</ScaleCrop>
  <LinksUpToDate>false</LinksUpToDate>
  <CharactersWithSpaces>1191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2021-09-07T06:08:00Z</dcterms:created>
  <dc:creator>pc</dc:creator>
  <cp:lastModifiedBy>flos solis</cp:lastModifiedBy>
  <dcterms:modified xsi:type="dcterms:W3CDTF">2023-05-18T08:53:05Z</dcterms:modified>
  <dc:title>重庆市修正液产品质量监督抽查实施细则</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BD24C90957974BF18E5101C96F2B2B5A</vt:lpwstr>
  </property>
</Properties>
</file>