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DE" w:rsidRPr="003D3DDE" w:rsidRDefault="003D3DDE" w:rsidP="00453E60">
      <w:pPr>
        <w:widowControl/>
        <w:spacing w:before="100" w:beforeAutospacing="1" w:after="100" w:afterAutospacing="1" w:line="562" w:lineRule="atLeast"/>
        <w:jc w:val="center"/>
        <w:rPr>
          <w:rFonts w:ascii="黑体" w:eastAsia="黑体" w:hAnsi="黑体" w:cs="宋体"/>
          <w:kern w:val="0"/>
          <w:sz w:val="44"/>
          <w:szCs w:val="44"/>
        </w:rPr>
      </w:pPr>
      <w:r w:rsidRPr="003D3DDE">
        <w:rPr>
          <w:rFonts w:asciiTheme="minorEastAsia" w:hAnsiTheme="minorEastAsia" w:cs="宋体" w:hint="eastAsia"/>
          <w:kern w:val="0"/>
          <w:sz w:val="32"/>
          <w:szCs w:val="32"/>
        </w:rPr>
        <w:br/>
      </w:r>
      <w:r w:rsidRPr="003D3DDE">
        <w:rPr>
          <w:rFonts w:ascii="黑体" w:eastAsia="黑体" w:hAnsi="黑体" w:cs="宋体" w:hint="eastAsia"/>
          <w:kern w:val="0"/>
          <w:sz w:val="44"/>
          <w:szCs w:val="44"/>
        </w:rPr>
        <w:t>彭水自治县扶贫济困医疗基金的实施方案</w:t>
      </w: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根据重庆市财政局、市民政局、市扶贫办《关于印发〈关于建立区县扶贫济困医疗基金的指导意见〉的通知》（渝财社〔2016〕281号）精神，为进一步推进我县</w:t>
      </w:r>
      <w:r w:rsidR="00453E60">
        <w:rPr>
          <w:rFonts w:asciiTheme="minorEastAsia" w:hAnsiTheme="minorEastAsia" w:cs="宋体" w:hint="eastAsia"/>
          <w:kern w:val="0"/>
          <w:sz w:val="32"/>
          <w:szCs w:val="32"/>
        </w:rPr>
        <w:t>脱贫攻坚</w:t>
      </w:r>
      <w:r w:rsidRPr="003D3DDE">
        <w:rPr>
          <w:rFonts w:asciiTheme="minorEastAsia" w:hAnsiTheme="minorEastAsia" w:cs="宋体" w:hint="eastAsia"/>
          <w:kern w:val="0"/>
          <w:sz w:val="32"/>
          <w:szCs w:val="32"/>
        </w:rPr>
        <w:t>工作，建立健全更加公平更可持续的社会保障制度体系，减轻困难群众医疗费用负担，特制定本实施方案。</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一、救助对象</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（一）农村建档立卡贫困人口（不含纳入民政救助系统的因病致贫扶贫对象）。2015年以来脱贫人口在脱贫攻坚期内，继续享受政策。</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（二）纳入民政救助系统的低保、三无、五保、孤儿、在乡重点优抚对象、重度残疾人、民政部门建档的其他特殊困难人员、家庭经济困难的在校大学生、因病致贫家庭重病患者等9类城乡困难群众。</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二、救助政策</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（一）救助范围。上述政策对象中，发生医保目录外的医疗费用（以下简称“自负费用”）占总费用不超过30%，</w:t>
      </w:r>
      <w:r w:rsidRPr="003D3DDE">
        <w:rPr>
          <w:rFonts w:asciiTheme="minorEastAsia" w:hAnsiTheme="minorEastAsia" w:cs="宋体" w:hint="eastAsia"/>
          <w:kern w:val="0"/>
          <w:sz w:val="32"/>
          <w:szCs w:val="32"/>
        </w:rPr>
        <w:lastRenderedPageBreak/>
        <w:t>对其医疗目录外自负费用予以救助（超过30%的，对自负费用30%以内的费用予以救助）。</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（二）起付及封顶线。原则上符合条件的单次自负费用超过3000元以上的，可享受救助；每人每年最高救助额度不超过5万元。</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（三）救助比例。实行分段救助政策。</w:t>
      </w: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p>
    <w:tbl>
      <w:tblPr>
        <w:tblW w:w="7450" w:type="dxa"/>
        <w:tblBorders>
          <w:top w:val="outset" w:sz="6" w:space="0" w:color="333333"/>
          <w:left w:val="outset" w:sz="6" w:space="0" w:color="333333"/>
          <w:bottom w:val="outset" w:sz="6" w:space="0" w:color="333333"/>
          <w:right w:val="outset" w:sz="6" w:space="0" w:color="333333"/>
        </w:tblBorders>
        <w:tblCellMar>
          <w:top w:w="63" w:type="dxa"/>
          <w:left w:w="125" w:type="dxa"/>
          <w:bottom w:w="63" w:type="dxa"/>
          <w:right w:w="125" w:type="dxa"/>
        </w:tblCellMar>
        <w:tblLook w:val="04A0"/>
      </w:tblPr>
      <w:tblGrid>
        <w:gridCol w:w="2474"/>
        <w:gridCol w:w="2487"/>
        <w:gridCol w:w="2489"/>
      </w:tblGrid>
      <w:tr w:rsidR="003D3DDE" w:rsidRPr="003D3DDE" w:rsidTr="003D3DDE">
        <w:trPr>
          <w:trHeight w:val="345"/>
        </w:trPr>
        <w:tc>
          <w:tcPr>
            <w:tcW w:w="2790" w:type="dxa"/>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3D3DDE" w:rsidRPr="003D3DDE" w:rsidRDefault="003D3DDE" w:rsidP="003D3DDE">
            <w:pPr>
              <w:widowControl/>
              <w:wordWrap w:val="0"/>
              <w:spacing w:line="345"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分段</w:t>
            </w:r>
          </w:p>
        </w:tc>
        <w:tc>
          <w:tcPr>
            <w:tcW w:w="2805" w:type="dxa"/>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3D3DDE" w:rsidRPr="003D3DDE" w:rsidRDefault="003D3DDE" w:rsidP="003D3DDE">
            <w:pPr>
              <w:widowControl/>
              <w:wordWrap w:val="0"/>
              <w:spacing w:line="345"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重点救助对象</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D3DDE" w:rsidRPr="003D3DDE" w:rsidRDefault="003D3DDE" w:rsidP="003D3DDE">
            <w:pPr>
              <w:widowControl/>
              <w:wordWrap w:val="0"/>
              <w:spacing w:line="345"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其他救助对象</w:t>
            </w:r>
          </w:p>
        </w:tc>
      </w:tr>
      <w:tr w:rsidR="003D3DDE" w:rsidRPr="003D3DDE" w:rsidTr="003D3DDE">
        <w:trPr>
          <w:trHeight w:val="360"/>
        </w:trPr>
        <w:tc>
          <w:tcPr>
            <w:tcW w:w="2790" w:type="dxa"/>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3D3DDE" w:rsidRPr="003D3DDE" w:rsidRDefault="003D3DDE" w:rsidP="003D3DDE">
            <w:pPr>
              <w:widowControl/>
              <w:wordWrap w:val="0"/>
              <w:spacing w:line="360"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3000-10000</w:t>
            </w:r>
          </w:p>
        </w:tc>
        <w:tc>
          <w:tcPr>
            <w:tcW w:w="2805" w:type="dxa"/>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3D3DDE" w:rsidRPr="003D3DDE" w:rsidRDefault="003D3DDE" w:rsidP="003D3DDE">
            <w:pPr>
              <w:widowControl/>
              <w:wordWrap w:val="0"/>
              <w:spacing w:line="360"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25%</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D3DDE" w:rsidRPr="003D3DDE" w:rsidRDefault="003D3DDE" w:rsidP="003D3DDE">
            <w:pPr>
              <w:widowControl/>
              <w:wordWrap w:val="0"/>
              <w:spacing w:line="360"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20%</w:t>
            </w:r>
          </w:p>
        </w:tc>
      </w:tr>
      <w:tr w:rsidR="003D3DDE" w:rsidRPr="003D3DDE" w:rsidTr="003D3DDE">
        <w:trPr>
          <w:trHeight w:val="360"/>
        </w:trPr>
        <w:tc>
          <w:tcPr>
            <w:tcW w:w="2790" w:type="dxa"/>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3D3DDE" w:rsidRPr="003D3DDE" w:rsidRDefault="003D3DDE" w:rsidP="003D3DDE">
            <w:pPr>
              <w:widowControl/>
              <w:wordWrap w:val="0"/>
              <w:spacing w:line="360"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10000-30000</w:t>
            </w:r>
          </w:p>
        </w:tc>
        <w:tc>
          <w:tcPr>
            <w:tcW w:w="2805" w:type="dxa"/>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3D3DDE" w:rsidRPr="003D3DDE" w:rsidRDefault="003D3DDE" w:rsidP="003D3DDE">
            <w:pPr>
              <w:widowControl/>
              <w:wordWrap w:val="0"/>
              <w:spacing w:line="360"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30%</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D3DDE" w:rsidRPr="003D3DDE" w:rsidRDefault="003D3DDE" w:rsidP="003D3DDE">
            <w:pPr>
              <w:widowControl/>
              <w:wordWrap w:val="0"/>
              <w:spacing w:line="360"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25%</w:t>
            </w:r>
          </w:p>
        </w:tc>
      </w:tr>
      <w:tr w:rsidR="003D3DDE" w:rsidRPr="003D3DDE" w:rsidTr="003D3DDE">
        <w:trPr>
          <w:trHeight w:val="360"/>
        </w:trPr>
        <w:tc>
          <w:tcPr>
            <w:tcW w:w="2790" w:type="dxa"/>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3D3DDE" w:rsidRPr="003D3DDE" w:rsidRDefault="003D3DDE" w:rsidP="003D3DDE">
            <w:pPr>
              <w:widowControl/>
              <w:wordWrap w:val="0"/>
              <w:spacing w:line="360"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30000-50000</w:t>
            </w:r>
          </w:p>
        </w:tc>
        <w:tc>
          <w:tcPr>
            <w:tcW w:w="2805" w:type="dxa"/>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3D3DDE" w:rsidRPr="003D3DDE" w:rsidRDefault="003D3DDE" w:rsidP="003D3DDE">
            <w:pPr>
              <w:widowControl/>
              <w:wordWrap w:val="0"/>
              <w:spacing w:line="360"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35%</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D3DDE" w:rsidRPr="003D3DDE" w:rsidRDefault="003D3DDE" w:rsidP="003D3DDE">
            <w:pPr>
              <w:widowControl/>
              <w:wordWrap w:val="0"/>
              <w:spacing w:line="360"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30%</w:t>
            </w:r>
          </w:p>
        </w:tc>
      </w:tr>
      <w:tr w:rsidR="003D3DDE" w:rsidRPr="003D3DDE" w:rsidTr="003D3DDE">
        <w:trPr>
          <w:trHeight w:val="345"/>
        </w:trPr>
        <w:tc>
          <w:tcPr>
            <w:tcW w:w="2790" w:type="dxa"/>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3D3DDE" w:rsidRPr="003D3DDE" w:rsidRDefault="003D3DDE" w:rsidP="003D3DDE">
            <w:pPr>
              <w:widowControl/>
              <w:wordWrap w:val="0"/>
              <w:spacing w:line="345"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50000及以上</w:t>
            </w:r>
          </w:p>
        </w:tc>
        <w:tc>
          <w:tcPr>
            <w:tcW w:w="2805" w:type="dxa"/>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3D3DDE" w:rsidRPr="003D3DDE" w:rsidRDefault="003D3DDE" w:rsidP="003D3DDE">
            <w:pPr>
              <w:widowControl/>
              <w:wordWrap w:val="0"/>
              <w:spacing w:line="345"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40%</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D3DDE" w:rsidRPr="003D3DDE" w:rsidRDefault="003D3DDE" w:rsidP="003D3DDE">
            <w:pPr>
              <w:widowControl/>
              <w:wordWrap w:val="0"/>
              <w:spacing w:line="345" w:lineRule="atLeast"/>
              <w:jc w:val="center"/>
              <w:rPr>
                <w:rFonts w:asciiTheme="minorEastAsia" w:hAnsiTheme="minorEastAsia" w:cs="宋体"/>
                <w:kern w:val="0"/>
                <w:sz w:val="32"/>
                <w:szCs w:val="32"/>
              </w:rPr>
            </w:pPr>
            <w:r w:rsidRPr="003D3DDE">
              <w:rPr>
                <w:rFonts w:asciiTheme="minorEastAsia" w:hAnsiTheme="minorEastAsia" w:cs="宋体" w:hint="eastAsia"/>
                <w:kern w:val="0"/>
                <w:sz w:val="32"/>
                <w:szCs w:val="32"/>
              </w:rPr>
              <w:t>35%</w:t>
            </w:r>
          </w:p>
        </w:tc>
      </w:tr>
    </w:tbl>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注：重点救助对象包括城乡低保、农村五保、城市三无和孤儿。</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上述救助政策，若遇重、特大疾病，目录外自负费用超过总费用30%的患者，可经相关部门审核认定后，结合实际情况作出适当调整。</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lastRenderedPageBreak/>
        <w:t>三、资金筹集</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1.县财政局根据救助对象总人数，按照人均100元的标准筹集资金。</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2.资金来源。首次注入基金所需资金由市和县两级政府按照1：2的比例进行筹集。其中：县级通过统筹市级扶贫、救助等转移支付进行筹集，也可在市级扶贫、救助等结余资金中补充基金池，还可多渠道筹措资金，保持基金的总体规模。</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四、办理流程</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（一）对建档立卡贫困户人口的确定由县扶贫办审核确定，将电子文档报县医保局，每季度更新一次，自然减员。</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（二）民政救助对象的确定由乡镇（街道）按要求审定后报县医保局审核确定，每季度更新一次。</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三）县医保局将所有符合扶贫济困医疗基金救助对象个人信息录入大病医疗救助系统内，当救助人员住院符合救助条件，在出院时系统将自动减免个人应减免基金救助金额。即采用“一站式”结算，方便群众办理，减轻群众负担。</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五、监督管理</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lastRenderedPageBreak/>
        <w:t>（一）管理主体。由县医保局牵头，会同县财政局、县扶贫办等部门进行管理。各部门要加强协作，确保服务群众、政策之间的良好衔接，共同推进工作。</w:t>
      </w:r>
    </w:p>
    <w:p w:rsidR="003D3DDE" w:rsidRPr="003D3DDE" w:rsidRDefault="003D3DDE" w:rsidP="003D3DDE">
      <w:pPr>
        <w:widowControl/>
        <w:spacing w:before="100" w:beforeAutospacing="1" w:after="100" w:afterAutospacing="1" w:line="562" w:lineRule="atLeast"/>
        <w:ind w:firstLine="634"/>
        <w:rPr>
          <w:rFonts w:asciiTheme="minorEastAsia" w:hAnsiTheme="minorEastAsia" w:cs="宋体"/>
          <w:kern w:val="0"/>
          <w:sz w:val="32"/>
          <w:szCs w:val="32"/>
        </w:rPr>
      </w:pPr>
      <w:r w:rsidRPr="003D3DDE">
        <w:rPr>
          <w:rFonts w:asciiTheme="minorEastAsia" w:hAnsiTheme="minorEastAsia" w:cs="宋体" w:hint="eastAsia"/>
          <w:kern w:val="0"/>
          <w:sz w:val="32"/>
          <w:szCs w:val="32"/>
        </w:rPr>
        <w:t>（二）基金监管。县财政局、县医保局、县扶贫办等部门要加强对基金使用情况的监督管理，严格把关，正确引导预期。既要让老百姓得实惠，切实减轻医疗费用负担，又要避免“福利化”倾向，特别是要坚决杜绝骗补、腐败等现象。</w:t>
      </w: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p>
    <w:p w:rsidR="003D3DDE" w:rsidRPr="003D3DDE" w:rsidRDefault="003D3DDE" w:rsidP="003D3DDE">
      <w:pPr>
        <w:widowControl/>
        <w:spacing w:before="100" w:beforeAutospacing="1" w:after="100" w:afterAutospacing="1" w:line="562" w:lineRule="atLeast"/>
        <w:rPr>
          <w:rFonts w:asciiTheme="minorEastAsia" w:hAnsiTheme="minorEastAsia" w:cs="宋体"/>
          <w:kern w:val="0"/>
          <w:sz w:val="32"/>
          <w:szCs w:val="32"/>
        </w:rPr>
      </w:pP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p>
    <w:p w:rsidR="003D3DDE" w:rsidRPr="003D3DDE" w:rsidRDefault="003D3DDE" w:rsidP="003D3DDE">
      <w:pPr>
        <w:widowControl/>
        <w:spacing w:before="100" w:beforeAutospacing="1" w:after="100" w:afterAutospacing="1" w:line="360" w:lineRule="atLeast"/>
        <w:rPr>
          <w:rFonts w:asciiTheme="minorEastAsia" w:hAnsiTheme="minorEastAsia" w:cs="宋体"/>
          <w:kern w:val="0"/>
          <w:sz w:val="32"/>
          <w:szCs w:val="32"/>
        </w:rPr>
      </w:pP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r w:rsidRPr="003D3DDE">
        <w:rPr>
          <w:rFonts w:asciiTheme="minorEastAsia" w:hAnsiTheme="minorEastAsia" w:cs="宋体"/>
          <w:kern w:val="0"/>
          <w:sz w:val="32"/>
          <w:szCs w:val="32"/>
        </w:rPr>
        <w:lastRenderedPageBreak/>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xml:space="preserve">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br/>
      </w: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p>
    <w:p w:rsidR="003D3DDE" w:rsidRPr="003D3DDE" w:rsidRDefault="003D3DDE" w:rsidP="003D3DDE">
      <w:pPr>
        <w:widowControl/>
        <w:spacing w:before="100" w:beforeAutospacing="1" w:after="100" w:afterAutospacing="1" w:line="360" w:lineRule="atLeast"/>
        <w:jc w:val="left"/>
        <w:rPr>
          <w:rFonts w:asciiTheme="minorEastAsia" w:hAnsiTheme="minorEastAsia" w:cs="宋体"/>
          <w:kern w:val="0"/>
          <w:sz w:val="32"/>
          <w:szCs w:val="32"/>
        </w:rPr>
      </w:pPr>
      <w:r w:rsidRPr="003D3DDE">
        <w:rPr>
          <w:rFonts w:asciiTheme="minorEastAsia" w:hAnsiTheme="minorEastAsia" w:cs="宋体"/>
          <w:kern w:val="0"/>
          <w:sz w:val="32"/>
          <w:szCs w:val="32"/>
        </w:rPr>
        <w:t> </w:t>
      </w:r>
      <w:r w:rsidRPr="003D3DDE">
        <w:rPr>
          <w:rFonts w:asciiTheme="minorEastAsia" w:hAnsiTheme="minorEastAsia" w:cs="宋体"/>
          <w:kern w:val="0"/>
          <w:sz w:val="32"/>
          <w:szCs w:val="32"/>
        </w:rPr>
        <w:t> </w:t>
      </w:r>
    </w:p>
    <w:p w:rsidR="00205EDD" w:rsidRPr="003D3DDE" w:rsidRDefault="00205EDD">
      <w:pPr>
        <w:rPr>
          <w:rFonts w:asciiTheme="minorEastAsia" w:hAnsiTheme="minorEastAsia"/>
          <w:sz w:val="32"/>
          <w:szCs w:val="32"/>
        </w:rPr>
      </w:pPr>
    </w:p>
    <w:sectPr w:rsidR="00205EDD" w:rsidRPr="003D3DDE" w:rsidSect="00205E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329" w:rsidRDefault="00341329" w:rsidP="00453E60">
      <w:r>
        <w:separator/>
      </w:r>
    </w:p>
  </w:endnote>
  <w:endnote w:type="continuationSeparator" w:id="0">
    <w:p w:rsidR="00341329" w:rsidRDefault="00341329" w:rsidP="00453E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329" w:rsidRDefault="00341329" w:rsidP="00453E60">
      <w:r>
        <w:separator/>
      </w:r>
    </w:p>
  </w:footnote>
  <w:footnote w:type="continuationSeparator" w:id="0">
    <w:p w:rsidR="00341329" w:rsidRDefault="00341329" w:rsidP="00453E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3DDE"/>
    <w:rsid w:val="00205EDD"/>
    <w:rsid w:val="00341329"/>
    <w:rsid w:val="003D3DDE"/>
    <w:rsid w:val="00453E60"/>
    <w:rsid w:val="00D55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D3DDE"/>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D3DD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53E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3E60"/>
    <w:rPr>
      <w:sz w:val="18"/>
      <w:szCs w:val="18"/>
    </w:rPr>
  </w:style>
  <w:style w:type="paragraph" w:styleId="a5">
    <w:name w:val="footer"/>
    <w:basedOn w:val="a"/>
    <w:link w:val="Char0"/>
    <w:uiPriority w:val="99"/>
    <w:semiHidden/>
    <w:unhideWhenUsed/>
    <w:rsid w:val="00453E6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53E60"/>
    <w:rPr>
      <w:sz w:val="18"/>
      <w:szCs w:val="18"/>
    </w:rPr>
  </w:style>
</w:styles>
</file>

<file path=word/webSettings.xml><?xml version="1.0" encoding="utf-8"?>
<w:webSettings xmlns:r="http://schemas.openxmlformats.org/officeDocument/2006/relationships" xmlns:w="http://schemas.openxmlformats.org/wordprocessingml/2006/main">
  <w:divs>
    <w:div w:id="18062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2022-11-22T08:18:00Z</dcterms:created>
  <dcterms:modified xsi:type="dcterms:W3CDTF">2022-11-22T08:18:00Z</dcterms:modified>
</cp:coreProperties>
</file>