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eastAsia="方正仿宋_GBK"/>
          <w:szCs w:val="22"/>
        </w:rPr>
      </w:pPr>
    </w:p>
    <w:p>
      <w:pPr>
        <w:pStyle w:val="2"/>
        <w:spacing w:line="540" w:lineRule="exact"/>
        <w:rPr>
          <w:rFonts w:ascii="Times New Roman" w:hAnsi="Times New Roman" w:eastAsia="方正仿宋_GBK" w:cs="Times New Roman"/>
          <w:sz w:val="32"/>
          <w:szCs w:val="22"/>
        </w:rPr>
      </w:pPr>
    </w:p>
    <w:p>
      <w:pPr>
        <w:pStyle w:val="2"/>
        <w:spacing w:line="540" w:lineRule="exact"/>
        <w:rPr>
          <w:rFonts w:ascii="Times New Roman" w:hAnsi="Times New Roman" w:eastAsia="方正仿宋_GBK" w:cs="Times New Roman"/>
          <w:sz w:val="32"/>
          <w:szCs w:val="22"/>
        </w:rPr>
      </w:pPr>
    </w:p>
    <w:p>
      <w:pPr>
        <w:pStyle w:val="2"/>
        <w:spacing w:line="540" w:lineRule="exact"/>
        <w:rPr>
          <w:rFonts w:ascii="Times New Roman" w:hAnsi="Times New Roman" w:eastAsia="方正仿宋_GBK" w:cs="Times New Roman"/>
          <w:sz w:val="32"/>
          <w:szCs w:val="22"/>
        </w:rPr>
      </w:pPr>
    </w:p>
    <w:p>
      <w:pPr>
        <w:pStyle w:val="2"/>
        <w:spacing w:line="540" w:lineRule="exact"/>
        <w:rPr>
          <w:rFonts w:ascii="Times New Roman" w:hAnsi="Times New Roman" w:eastAsia="方正仿宋_GBK" w:cs="Times New Roman"/>
          <w:sz w:val="32"/>
          <w:szCs w:val="22"/>
        </w:rPr>
      </w:pPr>
    </w:p>
    <w:p>
      <w:pPr>
        <w:pStyle w:val="2"/>
        <w:spacing w:line="540" w:lineRule="exact"/>
        <w:rPr>
          <w:rFonts w:ascii="Times New Roman" w:hAnsi="Times New Roman" w:eastAsia="方正仿宋_GBK" w:cs="Times New Roman"/>
          <w:sz w:val="32"/>
          <w:szCs w:val="22"/>
        </w:rPr>
      </w:pPr>
    </w:p>
    <w:p>
      <w:pPr>
        <w:pStyle w:val="2"/>
        <w:spacing w:line="540" w:lineRule="exact"/>
        <w:rPr>
          <w:rFonts w:hint="eastAsia" w:ascii="Times New Roman" w:hAnsi="Times New Roman" w:eastAsia="方正仿宋_GBK" w:cs="Times New Roman"/>
          <w:sz w:val="32"/>
          <w:szCs w:val="22"/>
        </w:rPr>
      </w:pPr>
    </w:p>
    <w:p>
      <w:pPr>
        <w:pStyle w:val="2"/>
        <w:spacing w:line="540" w:lineRule="exact"/>
        <w:rPr>
          <w:rFonts w:ascii="Times New Roman" w:hAnsi="Times New Roman" w:eastAsia="方正仿宋_GBK" w:cs="Times New Roman"/>
          <w:sz w:val="32"/>
          <w:szCs w:val="22"/>
        </w:rPr>
      </w:pPr>
    </w:p>
    <w:p>
      <w:pPr>
        <w:spacing w:line="540" w:lineRule="exact"/>
        <w:jc w:val="center"/>
        <w:rPr>
          <w:rFonts w:eastAsia="方正仿宋_GBK"/>
          <w:szCs w:val="22"/>
        </w:rPr>
      </w:pPr>
      <w:r>
        <w:rPr>
          <w:rFonts w:eastAsia="方正仿宋_GBK"/>
          <w:szCs w:val="22"/>
        </w:rPr>
        <w:t>彭水府发〔2021〕</w:t>
      </w:r>
      <w:r>
        <w:rPr>
          <w:rFonts w:hint="eastAsia" w:eastAsia="方正仿宋_GBK"/>
          <w:szCs w:val="22"/>
        </w:rPr>
        <w:t>17</w:t>
      </w:r>
      <w:r>
        <w:rPr>
          <w:rFonts w:eastAsia="方正仿宋_GBK"/>
          <w:szCs w:val="22"/>
        </w:rPr>
        <w:t>号</w:t>
      </w:r>
    </w:p>
    <w:p>
      <w:pPr>
        <w:spacing w:line="560" w:lineRule="exact"/>
        <w:ind w:firstLine="640" w:firstLineChars="200"/>
        <w:rPr>
          <w:rFonts w:eastAsia="方正仿宋_GBK"/>
          <w:szCs w:val="22"/>
        </w:rPr>
      </w:pPr>
    </w:p>
    <w:p>
      <w:pPr>
        <w:spacing w:line="560" w:lineRule="exact"/>
        <w:ind w:firstLine="640" w:firstLineChars="200"/>
        <w:rPr>
          <w:rFonts w:eastAsia="方正仿宋_GBK"/>
          <w:szCs w:val="22"/>
        </w:rPr>
      </w:pPr>
    </w:p>
    <w:p>
      <w:pPr>
        <w:spacing w:line="560" w:lineRule="exact"/>
        <w:jc w:val="center"/>
        <w:rPr>
          <w:rFonts w:eastAsia="方正小标宋_GBK"/>
          <w:sz w:val="44"/>
          <w:szCs w:val="44"/>
        </w:rPr>
      </w:pPr>
      <w:r>
        <w:rPr>
          <w:rFonts w:eastAsia="方正小标宋_GBK"/>
          <w:sz w:val="44"/>
          <w:szCs w:val="44"/>
        </w:rPr>
        <w:t>彭水苗族土家族自治县人民政府</w:t>
      </w:r>
    </w:p>
    <w:p>
      <w:pPr>
        <w:spacing w:line="560" w:lineRule="exact"/>
        <w:jc w:val="center"/>
        <w:rPr>
          <w:rFonts w:eastAsia="方正小标宋_GBK"/>
          <w:sz w:val="44"/>
          <w:szCs w:val="44"/>
        </w:rPr>
      </w:pPr>
      <w:r>
        <w:rPr>
          <w:rFonts w:eastAsia="方正小标宋_GBK"/>
          <w:sz w:val="44"/>
          <w:szCs w:val="44"/>
        </w:rPr>
        <w:t>关于印发彭水自治县集体土地征收</w:t>
      </w:r>
    </w:p>
    <w:p>
      <w:pPr>
        <w:spacing w:line="560" w:lineRule="exact"/>
        <w:jc w:val="center"/>
        <w:rPr>
          <w:rFonts w:eastAsia="方正小标宋_GBK"/>
          <w:sz w:val="44"/>
          <w:szCs w:val="44"/>
        </w:rPr>
      </w:pPr>
      <w:r>
        <w:rPr>
          <w:rFonts w:eastAsia="方正小标宋_GBK"/>
          <w:sz w:val="44"/>
          <w:szCs w:val="44"/>
        </w:rPr>
        <w:t>补偿安置实施办法的通知</w:t>
      </w:r>
    </w:p>
    <w:p>
      <w:pPr>
        <w:spacing w:line="560" w:lineRule="exact"/>
        <w:ind w:firstLine="640" w:firstLineChars="200"/>
        <w:rPr>
          <w:rFonts w:eastAsia="方正仿宋_GBK"/>
          <w:szCs w:val="22"/>
        </w:rPr>
      </w:pPr>
      <w:bookmarkStart w:id="0" w:name="_GoBack"/>
      <w:bookmarkEnd w:id="0"/>
    </w:p>
    <w:p>
      <w:pPr>
        <w:spacing w:line="560" w:lineRule="exact"/>
        <w:rPr>
          <w:rFonts w:eastAsia="方正仿宋_GBK"/>
          <w:szCs w:val="22"/>
        </w:rPr>
      </w:pPr>
      <w:r>
        <w:rPr>
          <w:rFonts w:eastAsia="方正仿宋_GBK"/>
          <w:szCs w:val="22"/>
        </w:rPr>
        <w:t>各乡镇人民政府，各街道办事处，县府各部门，各企事业单位：</w:t>
      </w:r>
    </w:p>
    <w:p>
      <w:pPr>
        <w:spacing w:line="560" w:lineRule="exact"/>
        <w:ind w:firstLine="616" w:firstLineChars="200"/>
        <w:rPr>
          <w:rFonts w:eastAsia="方正仿宋_GBK"/>
          <w:szCs w:val="22"/>
        </w:rPr>
      </w:pPr>
      <w:r>
        <w:rPr>
          <w:rFonts w:eastAsia="方正仿宋_GBK"/>
          <w:spacing w:val="-6"/>
          <w:szCs w:val="22"/>
        </w:rPr>
        <w:t>经</w:t>
      </w:r>
      <w:r>
        <w:rPr>
          <w:rFonts w:hint="eastAsia" w:eastAsia="方正仿宋_GBK"/>
          <w:spacing w:val="-6"/>
          <w:szCs w:val="22"/>
        </w:rPr>
        <w:t>县政府研究并与有关方面协商</w:t>
      </w:r>
      <w:r>
        <w:rPr>
          <w:rFonts w:eastAsia="方正仿宋_GBK"/>
          <w:spacing w:val="-6"/>
          <w:szCs w:val="22"/>
        </w:rPr>
        <w:t>，现</w:t>
      </w:r>
      <w:r>
        <w:rPr>
          <w:rFonts w:hint="eastAsia" w:eastAsia="方正仿宋_GBK"/>
          <w:spacing w:val="-6"/>
          <w:szCs w:val="22"/>
        </w:rPr>
        <w:t>将</w:t>
      </w:r>
      <w:r>
        <w:rPr>
          <w:rFonts w:eastAsia="方正仿宋_GBK"/>
          <w:spacing w:val="-6"/>
          <w:szCs w:val="22"/>
        </w:rPr>
        <w:t>《彭水</w:t>
      </w:r>
      <w:r>
        <w:rPr>
          <w:rFonts w:hint="eastAsia" w:eastAsia="方正仿宋_GBK"/>
          <w:spacing w:val="-6"/>
          <w:szCs w:val="22"/>
        </w:rPr>
        <w:t>自治</w:t>
      </w:r>
      <w:r>
        <w:rPr>
          <w:rFonts w:eastAsia="方正仿宋_GBK"/>
          <w:spacing w:val="-6"/>
          <w:szCs w:val="22"/>
        </w:rPr>
        <w:t>县集体土地征收补偿安置实施办法》</w:t>
      </w:r>
      <w:r>
        <w:rPr>
          <w:rFonts w:hint="eastAsia" w:eastAsia="方正仿宋_GBK"/>
          <w:spacing w:val="-6"/>
          <w:szCs w:val="22"/>
        </w:rPr>
        <w:t>印发给你们</w:t>
      </w:r>
      <w:r>
        <w:rPr>
          <w:rFonts w:eastAsia="方正仿宋_GBK"/>
          <w:spacing w:val="-6"/>
          <w:szCs w:val="22"/>
        </w:rPr>
        <w:t>，</w:t>
      </w:r>
      <w:r>
        <w:rPr>
          <w:rFonts w:hint="eastAsia" w:eastAsia="方正仿宋_GBK"/>
          <w:spacing w:val="-6"/>
          <w:szCs w:val="22"/>
        </w:rPr>
        <w:t>请认真抓好贯彻执行</w:t>
      </w:r>
      <w:r>
        <w:rPr>
          <w:rFonts w:eastAsia="方正仿宋_GBK"/>
          <w:spacing w:val="-6"/>
          <w:szCs w:val="22"/>
        </w:rPr>
        <w:t>。</w:t>
      </w:r>
    </w:p>
    <w:p>
      <w:pPr>
        <w:spacing w:line="560" w:lineRule="exact"/>
        <w:ind w:firstLine="640" w:firstLineChars="200"/>
        <w:rPr>
          <w:rFonts w:eastAsia="方正仿宋_GBK"/>
          <w:szCs w:val="22"/>
        </w:rPr>
      </w:pPr>
      <w:r>
        <w:rPr>
          <w:rFonts w:eastAsia="方正仿宋_GBK"/>
          <w:szCs w:val="22"/>
        </w:rPr>
        <w:t>特此通知</w:t>
      </w:r>
    </w:p>
    <w:p>
      <w:pPr>
        <w:pStyle w:val="2"/>
        <w:tabs>
          <w:tab w:val="left" w:pos="8222"/>
        </w:tabs>
        <w:spacing w:line="560" w:lineRule="exact"/>
        <w:rPr>
          <w:rFonts w:ascii="Times New Roman" w:hAnsi="Times New Roman" w:cs="Times New Roman"/>
        </w:rPr>
      </w:pPr>
    </w:p>
    <w:p>
      <w:pPr>
        <w:spacing w:line="560" w:lineRule="exact"/>
        <w:rPr>
          <w:rFonts w:eastAsia="方正仿宋_GBK"/>
          <w:szCs w:val="22"/>
        </w:rPr>
      </w:pPr>
      <w:r>
        <w:rPr>
          <w:rFonts w:hint="eastAsia" w:eastAsia="方正仿宋_GBK"/>
          <w:szCs w:val="22"/>
        </w:rPr>
        <w:t xml:space="preserve">                        </w:t>
      </w:r>
      <w:r>
        <w:rPr>
          <w:rFonts w:eastAsia="方正仿宋_GBK"/>
          <w:szCs w:val="22"/>
        </w:rPr>
        <w:t>彭水苗族土家</w:t>
      </w:r>
      <w:r>
        <w:rPr>
          <w:rFonts w:eastAsia="方正仿宋_GBK"/>
          <w:lang/>
        </w:rPr>
        <w:pict>
          <v:shape id="Control 15" o:spid="_x0000_s1026" o:spt="201" type="#_x0000_t201" style="position:absolute;left:0pt;margin-left:312pt;margin-top:624.75pt;height:127.5pt;width:127.5pt;mso-position-horizontal-relative:page;mso-position-vertical-relative:page;z-index:251662336;mso-width-relative:page;mso-height-relative:page;" o:ole="t" filled="f" o:preferrelative="t" stroked="f" coordsize="21600,21600">
            <v:path/>
            <v:fill on="f" alignshape="1" focussize="0,0"/>
            <v:stroke on="f"/>
            <v:imagedata r:id="rId7" o:title=""/>
            <o:lock v:ext="edit" aspectratio="t"/>
          </v:shape>
          <w:control r:id="rId6" w:name="BJCAWordSign1" w:shapeid="Control 15"/>
        </w:pict>
      </w:r>
      <w:r>
        <w:rPr>
          <w:rFonts w:eastAsia="方正仿宋_GBK"/>
          <w:szCs w:val="22"/>
        </w:rPr>
        <w:t>族自治县人民政府</w:t>
      </w:r>
    </w:p>
    <w:p>
      <w:pPr>
        <w:spacing w:line="560" w:lineRule="exact"/>
        <w:rPr>
          <w:rFonts w:eastAsia="方正仿宋_GBK"/>
          <w:szCs w:val="22"/>
        </w:rPr>
      </w:pPr>
      <w:r>
        <w:rPr>
          <w:rFonts w:hint="eastAsia" w:eastAsia="方正仿宋_GBK"/>
          <w:szCs w:val="22"/>
        </w:rPr>
        <w:t xml:space="preserve">                              </w:t>
      </w:r>
      <w:r>
        <w:rPr>
          <w:rFonts w:eastAsia="方正仿宋_GBK"/>
          <w:szCs w:val="22"/>
        </w:rPr>
        <w:t>2021年6月</w:t>
      </w:r>
      <w:r>
        <w:rPr>
          <w:rFonts w:hint="eastAsia" w:eastAsia="方正仿宋_GBK"/>
          <w:szCs w:val="22"/>
        </w:rPr>
        <w:t>28</w:t>
      </w:r>
      <w:r>
        <w:rPr>
          <w:rFonts w:eastAsia="方正仿宋_GBK"/>
          <w:szCs w:val="22"/>
        </w:rPr>
        <w:t>日</w:t>
      </w:r>
    </w:p>
    <w:p>
      <w:pPr>
        <w:spacing w:line="560" w:lineRule="exact"/>
        <w:jc w:val="center"/>
        <w:rPr>
          <w:rFonts w:eastAsia="方正小标宋_GBK"/>
          <w:sz w:val="44"/>
          <w:szCs w:val="44"/>
        </w:rPr>
      </w:pPr>
      <w:r>
        <w:rPr>
          <w:rFonts w:eastAsia="方正仿宋_GBK"/>
          <w:szCs w:val="22"/>
        </w:rPr>
        <w:br w:type="page"/>
      </w:r>
      <w:r>
        <w:rPr>
          <w:rFonts w:eastAsia="方正小标宋_GBK"/>
          <w:sz w:val="44"/>
          <w:szCs w:val="44"/>
        </w:rPr>
        <w:t>彭水自治县集体土地征收补偿安置实施办法</w:t>
      </w:r>
    </w:p>
    <w:p>
      <w:pPr>
        <w:spacing w:line="560" w:lineRule="exact"/>
        <w:ind w:firstLine="640" w:firstLineChars="200"/>
        <w:rPr>
          <w:rFonts w:eastAsia="方正仿宋_GBK"/>
          <w:szCs w:val="22"/>
        </w:rPr>
      </w:pPr>
    </w:p>
    <w:p>
      <w:pPr>
        <w:spacing w:line="560" w:lineRule="exact"/>
        <w:jc w:val="center"/>
        <w:rPr>
          <w:rFonts w:eastAsia="方正黑体_GBK"/>
          <w:szCs w:val="22"/>
        </w:rPr>
      </w:pPr>
      <w:r>
        <w:rPr>
          <w:rFonts w:eastAsia="方正黑体_GBK"/>
          <w:szCs w:val="22"/>
        </w:rPr>
        <w:t>第一章  总    则</w:t>
      </w:r>
    </w:p>
    <w:p>
      <w:pPr>
        <w:spacing w:line="560" w:lineRule="exact"/>
        <w:ind w:firstLine="640" w:firstLineChars="200"/>
        <w:rPr>
          <w:rFonts w:eastAsia="方正仿宋_GBK"/>
          <w:szCs w:val="22"/>
        </w:rPr>
      </w:pPr>
      <w:r>
        <w:rPr>
          <w:rFonts w:eastAsia="方正黑体_GBK"/>
          <w:szCs w:val="22"/>
        </w:rPr>
        <w:t>第一条</w:t>
      </w:r>
      <w:r>
        <w:rPr>
          <w:rFonts w:eastAsia="方正仿宋_GBK"/>
          <w:szCs w:val="22"/>
        </w:rPr>
        <w:t xml:space="preserve">  为了规范本县农民集体所有的土地（以下简称集体土地）征收的补偿安置工作，保障被征收土地的所有权人、使用权人的合法权益，根据《重庆市集体土地征收补偿安置办法》（重庆市人民政府令第344号）和《重庆市人民政府关于公布征地补偿安置标准有关事项的通知》（渝府发〔2021〕14号），结合本县实际，制定本实施办法。</w:t>
      </w:r>
    </w:p>
    <w:p>
      <w:pPr>
        <w:spacing w:line="560" w:lineRule="exact"/>
        <w:ind w:firstLine="640" w:firstLineChars="200"/>
        <w:rPr>
          <w:rFonts w:eastAsia="方正仿宋_GBK"/>
          <w:szCs w:val="22"/>
        </w:rPr>
      </w:pPr>
      <w:r>
        <w:rPr>
          <w:rFonts w:eastAsia="方正黑体_GBK"/>
          <w:szCs w:val="22"/>
        </w:rPr>
        <w:t>第二条</w:t>
      </w:r>
      <w:r>
        <w:rPr>
          <w:rFonts w:eastAsia="方正仿宋_GBK"/>
          <w:szCs w:val="22"/>
        </w:rPr>
        <w:t xml:space="preserve">  本县行政区域内集体土地征收的补偿、人员安置和住房安置，适用本实施办法。</w:t>
      </w:r>
    </w:p>
    <w:p>
      <w:pPr>
        <w:spacing w:line="560" w:lineRule="exact"/>
        <w:ind w:firstLine="640" w:firstLineChars="200"/>
        <w:rPr>
          <w:rFonts w:eastAsia="方正仿宋_GBK"/>
          <w:szCs w:val="22"/>
        </w:rPr>
      </w:pPr>
      <w:r>
        <w:rPr>
          <w:rFonts w:eastAsia="方正黑体_GBK"/>
          <w:szCs w:val="22"/>
        </w:rPr>
        <w:t>第三条</w:t>
      </w:r>
      <w:r>
        <w:rPr>
          <w:rFonts w:eastAsia="方正仿宋_GBK"/>
          <w:szCs w:val="22"/>
        </w:rPr>
        <w:t xml:space="preserve">  县人民政府负责本行政区域内集体土地征收补偿安置的组织实施工作。</w:t>
      </w:r>
    </w:p>
    <w:p>
      <w:pPr>
        <w:spacing w:line="560" w:lineRule="exact"/>
        <w:ind w:firstLine="640" w:firstLineChars="200"/>
        <w:rPr>
          <w:rFonts w:eastAsia="方正仿宋_GBK"/>
          <w:szCs w:val="22"/>
        </w:rPr>
      </w:pPr>
      <w:r>
        <w:rPr>
          <w:rFonts w:eastAsia="方正仿宋_GBK"/>
          <w:szCs w:val="22"/>
        </w:rPr>
        <w:t>县规划自然资源部门负责对集体土地征收补偿安置具体实施的事务性工作进行管理和监督。县征地事务机构承担本行政区域内集体土地征收补偿安置具体实施的事务性工作，负责指导乡镇人民政府（街道办事处）开展辖区内的集体土地征收补偿安置工作。</w:t>
      </w:r>
    </w:p>
    <w:p>
      <w:pPr>
        <w:spacing w:line="560" w:lineRule="exact"/>
        <w:ind w:firstLine="640" w:firstLineChars="200"/>
        <w:rPr>
          <w:rFonts w:eastAsia="方正仿宋_GBK"/>
          <w:szCs w:val="22"/>
        </w:rPr>
      </w:pPr>
      <w:r>
        <w:rPr>
          <w:rFonts w:eastAsia="方正仿宋_GBK"/>
          <w:szCs w:val="22"/>
        </w:rPr>
        <w:t>县人力社保部门负责征地安置人员的基本养老保险和促进就业工作。</w:t>
      </w:r>
    </w:p>
    <w:p>
      <w:pPr>
        <w:spacing w:line="560" w:lineRule="exact"/>
        <w:ind w:firstLine="640" w:firstLineChars="200"/>
        <w:rPr>
          <w:rFonts w:eastAsia="方正仿宋_GBK"/>
          <w:szCs w:val="22"/>
        </w:rPr>
      </w:pPr>
      <w:r>
        <w:rPr>
          <w:rFonts w:eastAsia="方正仿宋_GBK"/>
          <w:szCs w:val="22"/>
        </w:rPr>
        <w:t>县公安部门负责被征地农村集体经济组织所在地居民户口信息提供和审核工作。</w:t>
      </w:r>
    </w:p>
    <w:p>
      <w:pPr>
        <w:spacing w:line="560" w:lineRule="exact"/>
        <w:ind w:firstLine="640" w:firstLineChars="200"/>
        <w:rPr>
          <w:rFonts w:eastAsia="方正仿宋_GBK"/>
          <w:szCs w:val="22"/>
        </w:rPr>
      </w:pPr>
      <w:r>
        <w:rPr>
          <w:rFonts w:eastAsia="方正仿宋_GBK"/>
          <w:szCs w:val="22"/>
        </w:rPr>
        <w:t>县农业农村部门负责征地涉及的农村土地承包经营及承包经营合同管理，农村集体资产管理的指导、协调和监督及农村宅基地管理工作。</w:t>
      </w:r>
    </w:p>
    <w:p>
      <w:pPr>
        <w:spacing w:line="560" w:lineRule="exact"/>
        <w:ind w:firstLine="640" w:firstLineChars="200"/>
        <w:rPr>
          <w:rFonts w:eastAsia="方正仿宋_GBK"/>
          <w:szCs w:val="22"/>
        </w:rPr>
      </w:pPr>
      <w:r>
        <w:rPr>
          <w:rFonts w:eastAsia="方正仿宋_GBK"/>
          <w:szCs w:val="22"/>
        </w:rPr>
        <w:t>县财政、住房城乡建设、发展改革、民政、林业、信访等部门，按照各自职责做好集体土地征收补偿安置的相关工作。</w:t>
      </w:r>
    </w:p>
    <w:p>
      <w:pPr>
        <w:spacing w:line="560" w:lineRule="exact"/>
        <w:ind w:firstLine="640" w:firstLineChars="200"/>
        <w:rPr>
          <w:rFonts w:eastAsia="方正仿宋_GBK"/>
          <w:szCs w:val="22"/>
        </w:rPr>
      </w:pPr>
      <w:r>
        <w:rPr>
          <w:rFonts w:eastAsia="方正仿宋_GBK"/>
          <w:szCs w:val="22"/>
        </w:rPr>
        <w:t>乡镇人民政府（街道办事处）负责征地涉及的农村土地承包经营及承包经营合同管理，农村宅基地审核批准，并做好辖区内集体土地征收补偿安置的相关工作。</w:t>
      </w:r>
    </w:p>
    <w:p>
      <w:pPr>
        <w:spacing w:line="560" w:lineRule="exact"/>
        <w:jc w:val="center"/>
        <w:rPr>
          <w:rFonts w:eastAsia="方正黑体_GBK"/>
          <w:szCs w:val="22"/>
        </w:rPr>
      </w:pPr>
      <w:r>
        <w:rPr>
          <w:rFonts w:eastAsia="方正黑体_GBK"/>
          <w:szCs w:val="22"/>
        </w:rPr>
        <w:t>第二章  征地补偿</w:t>
      </w:r>
    </w:p>
    <w:p>
      <w:pPr>
        <w:spacing w:line="560" w:lineRule="exact"/>
        <w:ind w:firstLine="640" w:firstLineChars="200"/>
        <w:rPr>
          <w:rFonts w:eastAsia="方正仿宋_GBK"/>
          <w:szCs w:val="22"/>
        </w:rPr>
      </w:pPr>
      <w:r>
        <w:rPr>
          <w:rFonts w:eastAsia="方正黑体_GBK"/>
          <w:szCs w:val="22"/>
        </w:rPr>
        <w:t>第四条</w:t>
      </w:r>
      <w:r>
        <w:rPr>
          <w:rFonts w:eastAsia="方正仿宋_GBK"/>
          <w:szCs w:val="22"/>
        </w:rPr>
        <w:t xml:space="preserve">  征收集体土地应当依法及时足额支付土地补偿费、安置补助费以及农村房屋、其他地上附着物和青苗等的补偿费用。</w:t>
      </w:r>
    </w:p>
    <w:p>
      <w:pPr>
        <w:spacing w:line="560" w:lineRule="exact"/>
        <w:ind w:firstLine="640" w:firstLineChars="200"/>
        <w:rPr>
          <w:rFonts w:eastAsia="方正仿宋_GBK"/>
          <w:szCs w:val="22"/>
        </w:rPr>
      </w:pPr>
      <w:r>
        <w:rPr>
          <w:rFonts w:eastAsia="方正黑体_GBK"/>
          <w:szCs w:val="22"/>
        </w:rPr>
        <w:t>第五条</w:t>
      </w:r>
      <w:r>
        <w:rPr>
          <w:rFonts w:eastAsia="方正仿宋_GBK"/>
          <w:szCs w:val="22"/>
        </w:rPr>
        <w:t xml:space="preserve">  征收农用地、建设用地和未利用地的土地补偿费和安置补助费，不分地类，按照市人民政府制定公布的区片综合地价标准乘以被征收土地面积计算。区片综合地价中，土地补偿费占30%，安置补助费占70%。</w:t>
      </w:r>
    </w:p>
    <w:p>
      <w:pPr>
        <w:spacing w:line="560" w:lineRule="exact"/>
        <w:ind w:firstLine="640" w:firstLineChars="200"/>
        <w:rPr>
          <w:rFonts w:eastAsia="方正仿宋_GBK"/>
          <w:szCs w:val="22"/>
        </w:rPr>
      </w:pPr>
      <w:r>
        <w:rPr>
          <w:rFonts w:eastAsia="方正仿宋_GBK"/>
          <w:szCs w:val="22"/>
        </w:rPr>
        <w:t>本县行政区域范围内，区片综合地价标准按照附件1执行。</w:t>
      </w:r>
    </w:p>
    <w:p>
      <w:pPr>
        <w:spacing w:line="560" w:lineRule="exact"/>
        <w:ind w:firstLine="640" w:firstLineChars="200"/>
        <w:rPr>
          <w:rFonts w:eastAsia="方正仿宋_GBK"/>
          <w:szCs w:val="22"/>
        </w:rPr>
      </w:pPr>
      <w:r>
        <w:rPr>
          <w:rFonts w:eastAsia="方正黑体_GBK"/>
          <w:szCs w:val="22"/>
        </w:rPr>
        <w:t>第六条</w:t>
      </w:r>
      <w:r>
        <w:rPr>
          <w:rFonts w:eastAsia="方正仿宋_GBK"/>
          <w:szCs w:val="22"/>
        </w:rPr>
        <w:t xml:space="preserve">  被征收土地的土地补偿费，按照市人民政府制定公布的土地补偿费标准（区片综合地价的30%）乘以集体经济组织被征收土地面积计算。</w:t>
      </w:r>
    </w:p>
    <w:p>
      <w:pPr>
        <w:spacing w:line="560" w:lineRule="exact"/>
        <w:ind w:firstLine="640" w:firstLineChars="200"/>
        <w:rPr>
          <w:rFonts w:eastAsia="方正仿宋_GBK"/>
          <w:szCs w:val="22"/>
        </w:rPr>
      </w:pPr>
      <w:r>
        <w:rPr>
          <w:rFonts w:eastAsia="方正仿宋_GBK"/>
          <w:szCs w:val="22"/>
        </w:rPr>
        <w:t>土地补偿费由县征地事务机构支付给被征地农村集体经济组织。其中，被征收土地为家庭承包土地的，土地补偿费的80%由农村集体经济组织按照被征收土地面积发放给承包经营户，土地补偿费的20%由农村集体经济组织依法管理和使用；被征收土地为未发包土地或者其他方式承包土地的，土地补偿费由农村集体经济组织依法管理和使用。</w:t>
      </w:r>
    </w:p>
    <w:p>
      <w:pPr>
        <w:spacing w:line="560" w:lineRule="exact"/>
        <w:ind w:firstLine="640" w:firstLineChars="200"/>
        <w:rPr>
          <w:rFonts w:eastAsia="方正仿宋_GBK"/>
          <w:szCs w:val="22"/>
        </w:rPr>
      </w:pPr>
      <w:r>
        <w:rPr>
          <w:rFonts w:eastAsia="方正黑体_GBK"/>
          <w:szCs w:val="22"/>
        </w:rPr>
        <w:t>第七条</w:t>
      </w:r>
      <w:r>
        <w:rPr>
          <w:rFonts w:eastAsia="方正仿宋_GBK"/>
          <w:szCs w:val="22"/>
        </w:rPr>
        <w:t xml:space="preserve">  被征收土地的安置补助费，按照市人民政府制定公布的安置补助费标准（区片综合地价的70%）乘以集体经济组织被征收土地面积计算。</w:t>
      </w:r>
    </w:p>
    <w:p>
      <w:pPr>
        <w:spacing w:line="560" w:lineRule="exact"/>
        <w:ind w:firstLine="640" w:firstLineChars="200"/>
        <w:rPr>
          <w:rFonts w:eastAsia="方正仿宋_GBK"/>
          <w:szCs w:val="22"/>
        </w:rPr>
      </w:pPr>
      <w:r>
        <w:rPr>
          <w:rFonts w:eastAsia="方正仿宋_GBK"/>
          <w:szCs w:val="22"/>
        </w:rPr>
        <w:t>安置补助费由县征地事务机构按照36000元/人的发放标准支付给人员安置对象。前款计算的安置补助费支付后有结余的，结余部分交由农村集体经济组织依法管理和使用；安置补助费不足的，由县人民政府安排资金予以补足，计入征地成本。</w:t>
      </w:r>
    </w:p>
    <w:p>
      <w:pPr>
        <w:spacing w:line="560" w:lineRule="exact"/>
        <w:ind w:firstLine="640" w:firstLineChars="200"/>
        <w:rPr>
          <w:rFonts w:eastAsia="方正仿宋_GBK"/>
          <w:szCs w:val="22"/>
        </w:rPr>
      </w:pPr>
      <w:r>
        <w:rPr>
          <w:rFonts w:eastAsia="方正仿宋_GBK"/>
          <w:szCs w:val="22"/>
        </w:rPr>
        <w:t>农村房屋以不动产权属证书记载的合法建筑面积为准，实际面积与记载面积不一致的，以实际调查的合法建筑面积为准。农村房屋按照重置价格标准补偿，具体补偿标准按照附件2执行。</w:t>
      </w:r>
    </w:p>
    <w:p>
      <w:pPr>
        <w:spacing w:line="560" w:lineRule="exact"/>
        <w:ind w:firstLine="640" w:firstLineChars="200"/>
        <w:rPr>
          <w:rFonts w:eastAsia="方正仿宋_GBK"/>
          <w:szCs w:val="22"/>
        </w:rPr>
      </w:pPr>
      <w:r>
        <w:rPr>
          <w:rFonts w:hint="eastAsia" w:eastAsia="方正仿宋_GBK"/>
          <w:szCs w:val="22"/>
        </w:rPr>
        <w:t>对未取得不动产权属证书的房屋，由县人民政府组织县规划自然资源部门、县农业农村部门、乡镇人民政府（街道办事处）依法予以认定。具体由县规划自然资源部门牵头，县农业农村部门、乡镇人民政府（街道办事处）配合进行调查后报县人民政府认定。</w:t>
      </w:r>
    </w:p>
    <w:p>
      <w:pPr>
        <w:spacing w:line="560" w:lineRule="exact"/>
        <w:ind w:firstLine="640" w:firstLineChars="200"/>
        <w:rPr>
          <w:rFonts w:eastAsia="方正仿宋_GBK"/>
          <w:szCs w:val="22"/>
        </w:rPr>
      </w:pPr>
      <w:r>
        <w:rPr>
          <w:rFonts w:eastAsia="方正黑体_GBK"/>
          <w:szCs w:val="22"/>
        </w:rPr>
        <w:t>第九条</w:t>
      </w:r>
      <w:r>
        <w:rPr>
          <w:rFonts w:eastAsia="方正仿宋_GBK"/>
          <w:szCs w:val="22"/>
        </w:rPr>
        <w:t xml:space="preserve">  对搬迁房屋的装饰装修给予补助；对房屋附属设施给予补偿。具体补助补偿标准按照附件3、附件4执行。</w:t>
      </w:r>
    </w:p>
    <w:p>
      <w:pPr>
        <w:spacing w:line="560" w:lineRule="exact"/>
        <w:ind w:firstLine="640" w:firstLineChars="200"/>
        <w:rPr>
          <w:rFonts w:eastAsia="方正仿宋_GBK"/>
          <w:szCs w:val="22"/>
        </w:rPr>
      </w:pPr>
      <w:r>
        <w:rPr>
          <w:rFonts w:eastAsia="方正黑体_GBK"/>
          <w:szCs w:val="22"/>
        </w:rPr>
        <w:t>第十条</w:t>
      </w:r>
      <w:r>
        <w:rPr>
          <w:rFonts w:eastAsia="方正仿宋_GBK"/>
          <w:szCs w:val="22"/>
        </w:rPr>
        <w:t xml:space="preserve">  本实施办法所称其他地上附着物，是指除房屋外的其他地上附着物。青苗，是指土地上生长的农作物。</w:t>
      </w:r>
    </w:p>
    <w:p>
      <w:pPr>
        <w:spacing w:line="560" w:lineRule="exact"/>
        <w:ind w:firstLine="640" w:firstLineChars="200"/>
        <w:rPr>
          <w:rFonts w:eastAsia="方正仿宋_GBK"/>
          <w:szCs w:val="22"/>
        </w:rPr>
      </w:pPr>
      <w:r>
        <w:rPr>
          <w:rFonts w:eastAsia="方正仿宋_GBK"/>
          <w:szCs w:val="22"/>
        </w:rPr>
        <w:t>其他地上附着物和青苗实行综合定额补偿，以被征收土地面积扣除宅基地后的面积为准，每亩定额补偿8000元；因规划需要保留林木的，对林地征收而对林木不予砍伐的木材蓄积每亩补助1800元。果园挂果期和苗圃以及经济作物类每亩定额补偿15000元。</w:t>
      </w:r>
    </w:p>
    <w:p>
      <w:pPr>
        <w:spacing w:line="560" w:lineRule="exact"/>
        <w:ind w:firstLine="640" w:firstLineChars="200"/>
        <w:rPr>
          <w:rFonts w:eastAsia="方正仿宋_GBK"/>
          <w:szCs w:val="22"/>
        </w:rPr>
      </w:pPr>
      <w:r>
        <w:rPr>
          <w:rFonts w:eastAsia="方正仿宋_GBK"/>
          <w:szCs w:val="22"/>
        </w:rPr>
        <w:t>坟墓搬迁补偿按照无碑坟3500元/座、有碑坟4500元/座、五厢碑6000元/座、九厢碑及以上按12000元/座标准予以补偿，由坟主的近亲属自行搬迁处理，在发布坟墓搬迁公告之日起30日内搬迁的，每座坟墓奖励800元，逾期未搬迁处理的，不予补偿，按无主坟处理。</w:t>
      </w:r>
    </w:p>
    <w:p>
      <w:pPr>
        <w:spacing w:line="560" w:lineRule="exact"/>
        <w:ind w:firstLine="640" w:firstLineChars="200"/>
        <w:rPr>
          <w:rFonts w:eastAsia="方正仿宋_GBK"/>
          <w:szCs w:val="22"/>
        </w:rPr>
      </w:pPr>
      <w:r>
        <w:rPr>
          <w:rFonts w:eastAsia="方正仿宋_GBK"/>
          <w:szCs w:val="22"/>
        </w:rPr>
        <w:t>其他地上附着物和青苗补偿费由县</w:t>
      </w:r>
      <w:r>
        <w:rPr>
          <w:rFonts w:hint="eastAsia" w:eastAsia="方正仿宋_GBK"/>
          <w:szCs w:val="22"/>
        </w:rPr>
        <w:t>征地</w:t>
      </w:r>
      <w:r>
        <w:rPr>
          <w:rFonts w:eastAsia="方正仿宋_GBK"/>
          <w:szCs w:val="22"/>
        </w:rPr>
        <w:t>事务机构直接支付给地上附着物和青苗所有权人。</w:t>
      </w:r>
    </w:p>
    <w:p>
      <w:pPr>
        <w:spacing w:line="560" w:lineRule="exact"/>
        <w:ind w:firstLine="640" w:firstLineChars="200"/>
        <w:rPr>
          <w:rFonts w:eastAsia="方正仿宋_GBK"/>
          <w:szCs w:val="22"/>
        </w:rPr>
      </w:pPr>
      <w:r>
        <w:rPr>
          <w:rFonts w:eastAsia="方正黑体_GBK"/>
          <w:szCs w:val="22"/>
        </w:rPr>
        <w:t>第十一条</w:t>
      </w:r>
      <w:r>
        <w:rPr>
          <w:rFonts w:eastAsia="方正仿宋_GBK"/>
          <w:szCs w:val="22"/>
        </w:rPr>
        <w:t xml:space="preserve">  有下列情形之一的，不予补偿：</w:t>
      </w:r>
    </w:p>
    <w:p>
      <w:pPr>
        <w:spacing w:line="560" w:lineRule="exact"/>
        <w:ind w:firstLine="640" w:firstLineChars="200"/>
        <w:rPr>
          <w:rFonts w:eastAsia="方正仿宋_GBK"/>
          <w:szCs w:val="22"/>
        </w:rPr>
      </w:pPr>
      <w:r>
        <w:rPr>
          <w:rFonts w:eastAsia="方正仿宋_GBK"/>
          <w:szCs w:val="22"/>
        </w:rPr>
        <w:t>（一）违法建（构）筑物；</w:t>
      </w:r>
    </w:p>
    <w:p>
      <w:pPr>
        <w:spacing w:line="560" w:lineRule="exact"/>
        <w:ind w:firstLine="640" w:firstLineChars="200"/>
        <w:rPr>
          <w:rFonts w:eastAsia="方正仿宋_GBK"/>
          <w:szCs w:val="22"/>
        </w:rPr>
      </w:pPr>
      <w:r>
        <w:rPr>
          <w:rFonts w:eastAsia="方正仿宋_GBK"/>
          <w:szCs w:val="22"/>
        </w:rPr>
        <w:t>（二）已拆除的房屋、房屋已垮塌的部分；</w:t>
      </w:r>
    </w:p>
    <w:p>
      <w:pPr>
        <w:spacing w:line="560" w:lineRule="exact"/>
        <w:ind w:firstLine="640" w:firstLineChars="200"/>
        <w:rPr>
          <w:rFonts w:eastAsia="方正仿宋_GBK"/>
          <w:szCs w:val="22"/>
        </w:rPr>
      </w:pPr>
      <w:r>
        <w:rPr>
          <w:rFonts w:eastAsia="方正仿宋_GBK"/>
          <w:szCs w:val="22"/>
        </w:rPr>
        <w:t>（三）县人民政府发布征收土地预公告后栽种的青苗及花草、树木等附着物；</w:t>
      </w:r>
    </w:p>
    <w:p>
      <w:pPr>
        <w:spacing w:line="560" w:lineRule="exact"/>
        <w:ind w:firstLine="640" w:firstLineChars="200"/>
        <w:rPr>
          <w:rFonts w:eastAsia="方正仿宋_GBK"/>
          <w:szCs w:val="22"/>
        </w:rPr>
      </w:pPr>
      <w:r>
        <w:rPr>
          <w:rFonts w:eastAsia="方正仿宋_GBK"/>
          <w:szCs w:val="22"/>
        </w:rPr>
        <w:t>（四）其他不当增加补偿费用的情形。</w:t>
      </w:r>
    </w:p>
    <w:p>
      <w:pPr>
        <w:spacing w:line="560" w:lineRule="exact"/>
        <w:ind w:firstLine="640" w:firstLineChars="200"/>
        <w:rPr>
          <w:rFonts w:eastAsia="方正仿宋_GBK"/>
          <w:szCs w:val="22"/>
        </w:rPr>
      </w:pPr>
      <w:r>
        <w:rPr>
          <w:rFonts w:eastAsia="方正黑体_GBK"/>
          <w:szCs w:val="22"/>
        </w:rPr>
        <w:t>第十二条</w:t>
      </w:r>
      <w:r>
        <w:rPr>
          <w:rFonts w:eastAsia="方正仿宋_GBK"/>
          <w:szCs w:val="22"/>
        </w:rPr>
        <w:t xml:space="preserve">  征收土地预公告发布之日，持有合法证照且从事生产经营活动的，应当综合考虑生产经营年限、规模、类别、搬迁损失、搬迁难易度等因素，对生产经营者一次性给予搬迁补助费，因特殊原因不能实施搬迁的，由征地事务机构提出意见报县人民政府审定后，进行收购补偿。</w:t>
      </w:r>
    </w:p>
    <w:p>
      <w:pPr>
        <w:spacing w:line="560" w:lineRule="exact"/>
        <w:ind w:firstLine="640" w:firstLineChars="200"/>
        <w:rPr>
          <w:rFonts w:eastAsia="方正仿宋_GBK"/>
          <w:szCs w:val="22"/>
        </w:rPr>
      </w:pPr>
      <w:r>
        <w:rPr>
          <w:rFonts w:eastAsia="方正楷体_GBK"/>
          <w:szCs w:val="22"/>
        </w:rPr>
        <w:t>（一）农业类。</w:t>
      </w:r>
      <w:r>
        <w:rPr>
          <w:rFonts w:eastAsia="方正仿宋_GBK"/>
          <w:szCs w:val="22"/>
        </w:rPr>
        <w:t>规模畜禽养殖场（户）存栏量（牛≧5头，猪≧20头，羊≧50只，鸡鸭鹅兔等小家畜禽≧200只（羽），蜜蜂≧20群），其搬迁补助费按实际需转场的畜禽数量计算。标准为牛每头500元，猪每头100元，羊每只50元，鸡鸭鹅兔等小家畜禽每只（羽）5元，蜜蜂每群50元，幼畜雏禽的搬迁补助费折半计算。规模化水产养殖，其搬迁补助费按照养殖水面积15000元/亩进行补助。</w:t>
      </w:r>
    </w:p>
    <w:p>
      <w:pPr>
        <w:spacing w:line="560" w:lineRule="exact"/>
        <w:ind w:firstLine="640" w:firstLineChars="200"/>
        <w:rPr>
          <w:rFonts w:eastAsia="方正仿宋_GBK"/>
          <w:szCs w:val="22"/>
        </w:rPr>
      </w:pPr>
      <w:r>
        <w:rPr>
          <w:rFonts w:eastAsia="方正楷体_GBK"/>
          <w:szCs w:val="22"/>
        </w:rPr>
        <w:t>（二）工业类。</w:t>
      </w:r>
      <w:r>
        <w:rPr>
          <w:rFonts w:eastAsia="方正仿宋_GBK"/>
          <w:szCs w:val="22"/>
        </w:rPr>
        <w:t>一次性搬迁补助费按所搬迁设施设备评估净值的20%计算，搬迁后丧失使用价值的，按照设施设备评估净值计算。</w:t>
      </w:r>
    </w:p>
    <w:p>
      <w:pPr>
        <w:spacing w:line="560" w:lineRule="exact"/>
        <w:ind w:firstLine="640" w:firstLineChars="200"/>
        <w:rPr>
          <w:rFonts w:eastAsia="方正仿宋_GBK"/>
          <w:szCs w:val="22"/>
        </w:rPr>
      </w:pPr>
      <w:r>
        <w:rPr>
          <w:rFonts w:eastAsia="方正楷体_GBK"/>
          <w:szCs w:val="22"/>
        </w:rPr>
        <w:t>（三）商业服务类。</w:t>
      </w:r>
      <w:r>
        <w:rPr>
          <w:rFonts w:eastAsia="方正仿宋_GBK"/>
          <w:szCs w:val="22"/>
        </w:rPr>
        <w:t>一次性搬迁补助费按照实际用于商业服务面积200元/平方米的标准进行补助。</w:t>
      </w:r>
    </w:p>
    <w:p>
      <w:pPr>
        <w:spacing w:line="560" w:lineRule="exact"/>
        <w:ind w:firstLine="640" w:firstLineChars="200"/>
        <w:rPr>
          <w:rFonts w:eastAsia="方正仿宋_GBK"/>
          <w:szCs w:val="22"/>
        </w:rPr>
      </w:pPr>
      <w:r>
        <w:rPr>
          <w:rFonts w:eastAsia="方正仿宋_GBK"/>
          <w:szCs w:val="22"/>
        </w:rPr>
        <w:t>为生产经营安装的水、电、气、管网等设施按实际安装费用补偿，无法提供实际安装发票的，按搬迁时相应行业主管部门的安装价格补偿。</w:t>
      </w:r>
    </w:p>
    <w:p>
      <w:pPr>
        <w:spacing w:line="560" w:lineRule="exact"/>
        <w:jc w:val="center"/>
        <w:rPr>
          <w:rFonts w:eastAsia="方正黑体_GBK"/>
          <w:szCs w:val="22"/>
        </w:rPr>
      </w:pPr>
      <w:r>
        <w:rPr>
          <w:rFonts w:eastAsia="方正黑体_GBK"/>
          <w:szCs w:val="22"/>
        </w:rPr>
        <w:t>第三章  人员安置</w:t>
      </w:r>
    </w:p>
    <w:p>
      <w:pPr>
        <w:spacing w:line="560" w:lineRule="exact"/>
        <w:ind w:firstLine="640" w:firstLineChars="200"/>
        <w:rPr>
          <w:rFonts w:eastAsia="方正仿宋_GBK"/>
          <w:szCs w:val="22"/>
        </w:rPr>
      </w:pPr>
      <w:r>
        <w:rPr>
          <w:rFonts w:eastAsia="方正黑体_GBK"/>
          <w:szCs w:val="22"/>
        </w:rPr>
        <w:t>第十三条</w:t>
      </w:r>
      <w:r>
        <w:rPr>
          <w:rFonts w:eastAsia="方正仿宋_GBK"/>
          <w:szCs w:val="22"/>
        </w:rPr>
        <w:t xml:space="preserve">  本实施办法所称人员安置对象应当从征收土地预公告之日计入被征地农村集体经济组织总人口的人员中产生。下列人员计入被征地农村集体经济组织总人口：</w:t>
      </w:r>
    </w:p>
    <w:p>
      <w:pPr>
        <w:spacing w:line="560" w:lineRule="exact"/>
        <w:ind w:firstLine="640" w:firstLineChars="200"/>
        <w:rPr>
          <w:rFonts w:eastAsia="方正仿宋_GBK"/>
          <w:szCs w:val="22"/>
        </w:rPr>
      </w:pPr>
      <w:r>
        <w:rPr>
          <w:rFonts w:eastAsia="方正仿宋_GBK"/>
          <w:szCs w:val="22"/>
        </w:rPr>
        <w:t>（一）户口登记在被征地农村集体经济组织所在地，且取得该农村集体经济组织土地承包经营权的人员；</w:t>
      </w:r>
    </w:p>
    <w:p>
      <w:pPr>
        <w:spacing w:line="560" w:lineRule="exact"/>
        <w:ind w:firstLine="640" w:firstLineChars="200"/>
        <w:rPr>
          <w:rFonts w:eastAsia="方正仿宋_GBK"/>
          <w:szCs w:val="22"/>
        </w:rPr>
      </w:pPr>
      <w:r>
        <w:rPr>
          <w:rFonts w:eastAsia="方正仿宋_GBK"/>
          <w:szCs w:val="22"/>
        </w:rPr>
        <w:t>（二）因出生、政策性移民将户口登记在被征地农村集体经济组织所在地，且依法享有该农村集体经济组织土地承包经营权的人员；</w:t>
      </w:r>
    </w:p>
    <w:p>
      <w:pPr>
        <w:spacing w:line="560" w:lineRule="exact"/>
        <w:ind w:firstLine="640" w:firstLineChars="200"/>
        <w:rPr>
          <w:rFonts w:eastAsia="方正仿宋_GBK"/>
          <w:szCs w:val="22"/>
        </w:rPr>
      </w:pPr>
      <w:r>
        <w:rPr>
          <w:rFonts w:eastAsia="方正仿宋_GBK"/>
          <w:szCs w:val="22"/>
        </w:rPr>
        <w:t>（三）因合法收养、合法婚姻将户口从其他农村集体经济组织迁入并长期在被征地农村集体经济组织生产生活，且依法享有被征地农村集体经济组织土地承包经营权的人员；</w:t>
      </w:r>
    </w:p>
    <w:p>
      <w:pPr>
        <w:spacing w:line="560" w:lineRule="exact"/>
        <w:ind w:firstLine="640" w:firstLineChars="200"/>
        <w:rPr>
          <w:rFonts w:eastAsia="方正仿宋_GBK"/>
          <w:szCs w:val="22"/>
        </w:rPr>
      </w:pPr>
      <w:r>
        <w:rPr>
          <w:rFonts w:eastAsia="方正仿宋_GBK"/>
          <w:szCs w:val="22"/>
        </w:rPr>
        <w:t>（四）依法享有被征地农村集体经济组织土地承包经营权的在校大中专学生（含硕士、博士研究生）、现役军士和义务兵、儿童福利机构孤儿、服刑人员；</w:t>
      </w:r>
    </w:p>
    <w:p>
      <w:pPr>
        <w:spacing w:line="560" w:lineRule="exact"/>
        <w:ind w:firstLine="640" w:firstLineChars="200"/>
        <w:rPr>
          <w:rFonts w:eastAsia="方正仿宋_GBK"/>
          <w:szCs w:val="22"/>
        </w:rPr>
      </w:pPr>
      <w:r>
        <w:rPr>
          <w:rFonts w:eastAsia="方正仿宋_GBK"/>
          <w:szCs w:val="22"/>
        </w:rPr>
        <w:t>（五）按照本市统筹城乡户籍制度改革有关规定保留征地补偿安置权利的人员；</w:t>
      </w:r>
    </w:p>
    <w:p>
      <w:pPr>
        <w:spacing w:line="560" w:lineRule="exact"/>
        <w:ind w:firstLine="640" w:firstLineChars="200"/>
        <w:rPr>
          <w:rFonts w:eastAsia="方正仿宋_GBK"/>
          <w:szCs w:val="22"/>
        </w:rPr>
      </w:pPr>
      <w:r>
        <w:rPr>
          <w:rFonts w:eastAsia="方正仿宋_GBK"/>
          <w:szCs w:val="22"/>
        </w:rPr>
        <w:t>（六）因其他原因，户口从被征地农村集体经济组织所在地迁出进城落户，但长期在被征地农村集体经济组织生产生活，且取得该农村集体经济组织土地承包经营权的人员。</w:t>
      </w:r>
    </w:p>
    <w:p>
      <w:pPr>
        <w:spacing w:line="560" w:lineRule="exact"/>
        <w:ind w:firstLine="640" w:firstLineChars="200"/>
        <w:rPr>
          <w:rFonts w:eastAsia="方正仿宋_GBK"/>
          <w:szCs w:val="22"/>
        </w:rPr>
      </w:pPr>
      <w:r>
        <w:rPr>
          <w:rFonts w:eastAsia="方正仿宋_GBK"/>
          <w:szCs w:val="22"/>
        </w:rPr>
        <w:t>前款所称“长期”，是指县人民政府发布征收土地预公告之日，在被征地农村集体经济组织连续生产生活1年以上（离婚后再婚配偶及随迁子女在被征地农村集体经济组织连续生产生活3年以上）。</w:t>
      </w:r>
    </w:p>
    <w:p>
      <w:pPr>
        <w:spacing w:line="560" w:lineRule="exact"/>
        <w:ind w:firstLine="640" w:firstLineChars="200"/>
        <w:rPr>
          <w:rFonts w:eastAsia="方正仿宋_GBK"/>
          <w:szCs w:val="22"/>
        </w:rPr>
      </w:pPr>
      <w:r>
        <w:rPr>
          <w:rFonts w:eastAsia="方正黑体_GBK"/>
          <w:szCs w:val="22"/>
        </w:rPr>
        <w:t>第十四条</w:t>
      </w:r>
      <w:r>
        <w:rPr>
          <w:rFonts w:eastAsia="方正仿宋_GBK"/>
          <w:szCs w:val="22"/>
        </w:rPr>
        <w:t xml:space="preserve">  符合本</w:t>
      </w:r>
      <w:r>
        <w:rPr>
          <w:rFonts w:hint="eastAsia" w:eastAsia="方正仿宋_GBK"/>
          <w:szCs w:val="22"/>
        </w:rPr>
        <w:t>实施</w:t>
      </w:r>
      <w:r>
        <w:rPr>
          <w:rFonts w:eastAsia="方正仿宋_GBK"/>
          <w:szCs w:val="22"/>
        </w:rPr>
        <w:t>办法第十</w:t>
      </w:r>
      <w:r>
        <w:rPr>
          <w:rFonts w:hint="eastAsia" w:eastAsia="方正仿宋_GBK"/>
          <w:szCs w:val="22"/>
        </w:rPr>
        <w:t>三</w:t>
      </w:r>
      <w:r>
        <w:rPr>
          <w:rFonts w:eastAsia="方正仿宋_GBK"/>
          <w:szCs w:val="22"/>
        </w:rPr>
        <w:t>条规定但有下列情形之一的人员，不计入被征地农村集体经济组织总人口：</w:t>
      </w:r>
    </w:p>
    <w:p>
      <w:pPr>
        <w:spacing w:line="560" w:lineRule="exact"/>
        <w:ind w:firstLine="640" w:firstLineChars="200"/>
        <w:rPr>
          <w:rFonts w:eastAsia="方正仿宋_GBK"/>
          <w:szCs w:val="22"/>
        </w:rPr>
      </w:pPr>
      <w:r>
        <w:rPr>
          <w:rFonts w:eastAsia="方正仿宋_GBK"/>
          <w:szCs w:val="22"/>
        </w:rPr>
        <w:t>（一）征地前已实行征地人员安置的人员；</w:t>
      </w:r>
    </w:p>
    <w:p>
      <w:pPr>
        <w:spacing w:line="560" w:lineRule="exact"/>
        <w:ind w:firstLine="640" w:firstLineChars="200"/>
        <w:rPr>
          <w:rFonts w:eastAsia="方正仿宋_GBK"/>
          <w:szCs w:val="22"/>
        </w:rPr>
      </w:pPr>
      <w:r>
        <w:rPr>
          <w:rFonts w:eastAsia="方正仿宋_GBK"/>
          <w:szCs w:val="22"/>
        </w:rPr>
        <w:t>（二）国家机关、人民团体、事业单位等在编在职和退休人员。</w:t>
      </w:r>
    </w:p>
    <w:p>
      <w:pPr>
        <w:spacing w:line="560" w:lineRule="exact"/>
        <w:ind w:firstLine="640" w:firstLineChars="200"/>
        <w:rPr>
          <w:rFonts w:eastAsia="方正仿宋_GBK"/>
          <w:szCs w:val="22"/>
        </w:rPr>
      </w:pPr>
      <w:r>
        <w:rPr>
          <w:rFonts w:eastAsia="方正黑体_GBK"/>
          <w:szCs w:val="22"/>
        </w:rPr>
        <w:t>第十五条</w:t>
      </w:r>
      <w:r>
        <w:rPr>
          <w:rFonts w:eastAsia="方正仿宋_GBK"/>
          <w:szCs w:val="22"/>
        </w:rPr>
        <w:t xml:space="preserve">  农村集体经济组织的土地被全部征收的，按照本</w:t>
      </w:r>
      <w:r>
        <w:rPr>
          <w:rFonts w:hint="eastAsia" w:eastAsia="方正仿宋_GBK"/>
          <w:szCs w:val="22"/>
        </w:rPr>
        <w:t>实施</w:t>
      </w:r>
      <w:r>
        <w:rPr>
          <w:rFonts w:eastAsia="方正仿宋_GBK"/>
          <w:szCs w:val="22"/>
        </w:rPr>
        <w:t>办法计入被征地农村集体经济组织总人口的人员全部为人员安置对象。</w:t>
      </w:r>
    </w:p>
    <w:p>
      <w:pPr>
        <w:spacing w:line="560" w:lineRule="exact"/>
        <w:ind w:firstLine="640" w:firstLineChars="200"/>
        <w:rPr>
          <w:rFonts w:eastAsia="方正仿宋_GBK"/>
          <w:szCs w:val="22"/>
        </w:rPr>
      </w:pPr>
      <w:r>
        <w:rPr>
          <w:rFonts w:eastAsia="方正仿宋_GBK"/>
          <w:szCs w:val="22"/>
        </w:rPr>
        <w:t>农村集体经济组织的土地被部分征收的，人员安置对象的人数按照被征收土地面积除以被征地农村集体经济组织人均土地面积计算。其中，被征收土地中耕地占比超过农村集体经济组织耕地占比的，人员安置对象人数为按照本款前述方法计算的人数乘以被征收土地中耕地占比再除以农村集体经济组织耕地占比。</w:t>
      </w:r>
    </w:p>
    <w:p>
      <w:pPr>
        <w:spacing w:line="560" w:lineRule="exact"/>
        <w:ind w:firstLine="640" w:firstLineChars="200"/>
        <w:rPr>
          <w:rFonts w:eastAsia="方正仿宋_GBK"/>
          <w:szCs w:val="22"/>
        </w:rPr>
      </w:pPr>
      <w:r>
        <w:rPr>
          <w:rFonts w:eastAsia="方正仿宋_GBK"/>
          <w:szCs w:val="22"/>
        </w:rPr>
        <w:t>前款所称人均土地面积为集体土地所有权证登记的土地总面积（不含已被征收的面积）除以按照本</w:t>
      </w:r>
      <w:r>
        <w:rPr>
          <w:rFonts w:hint="eastAsia" w:eastAsia="方正仿宋_GBK"/>
          <w:szCs w:val="22"/>
        </w:rPr>
        <w:t>实施</w:t>
      </w:r>
      <w:r>
        <w:rPr>
          <w:rFonts w:eastAsia="方正仿宋_GBK"/>
          <w:szCs w:val="22"/>
        </w:rPr>
        <w:t>办法计入被征地农村集体经济组织总人口数。前款所称农村集体经济组织耕地占比为集体土地所有权证登记的耕地面积（不含已被征收的面积）占土地总面积（不含已被征收的面积）的比例。</w:t>
      </w:r>
    </w:p>
    <w:p>
      <w:pPr>
        <w:spacing w:line="560" w:lineRule="exact"/>
        <w:ind w:firstLine="640" w:firstLineChars="200"/>
        <w:rPr>
          <w:rFonts w:eastAsia="方正仿宋_GBK"/>
          <w:szCs w:val="22"/>
        </w:rPr>
      </w:pPr>
      <w:r>
        <w:rPr>
          <w:rFonts w:eastAsia="方正黑体_GBK"/>
          <w:szCs w:val="22"/>
        </w:rPr>
        <w:t>第十六条</w:t>
      </w:r>
      <w:r>
        <w:rPr>
          <w:rFonts w:eastAsia="方正仿宋_GBK"/>
          <w:szCs w:val="22"/>
        </w:rPr>
        <w:t xml:space="preserve">  具体的人员安置对象由被征地农村集体经济组织按照农户被征地多少和剩余耕地情况在农村集体经济组织总人口中确定。乡镇人民政府（街道办事处）应按以下原则指导农村集体经济组织确定人员安置对象，按照本实施办法第十五条规定计算的人员安置对象人数，全部落实到具体人员：征收家庭承包土地产生的人员安置对象人数，按照被征收耕地数量在被征地农户中从高到低依次确定；征收未发包土地或者其他方式承包土地产生的人员安置对象人数，按照征地后农户剩余人平耕地数量在被征地农户中从低到高依次确定；只征收未发包土地的，由村民会议讨论确定具体人员。</w:t>
      </w:r>
    </w:p>
    <w:p>
      <w:pPr>
        <w:spacing w:line="560" w:lineRule="exact"/>
        <w:ind w:firstLine="640" w:firstLineChars="200"/>
        <w:rPr>
          <w:rFonts w:eastAsia="方正仿宋_GBK"/>
          <w:szCs w:val="22"/>
        </w:rPr>
      </w:pPr>
      <w:r>
        <w:rPr>
          <w:rFonts w:eastAsia="方正仿宋_GBK"/>
          <w:szCs w:val="22"/>
        </w:rPr>
        <w:t>具体的人员安置对象经农村集体经济组织公示7日无异议后，报乡镇人民政府（街道办事处）初审，县征地事务机构会同县规划自然资源、人力社保、公安、农业农村等部门复核，县人民政府核准。</w:t>
      </w:r>
    </w:p>
    <w:p>
      <w:pPr>
        <w:spacing w:line="560" w:lineRule="exact"/>
        <w:ind w:firstLine="640" w:firstLineChars="200"/>
        <w:rPr>
          <w:rFonts w:eastAsia="方正仿宋_GBK"/>
          <w:szCs w:val="22"/>
        </w:rPr>
      </w:pPr>
      <w:r>
        <w:rPr>
          <w:rFonts w:eastAsia="方正黑体_GBK"/>
          <w:szCs w:val="22"/>
        </w:rPr>
        <w:t xml:space="preserve">第十七条 </w:t>
      </w:r>
      <w:r>
        <w:rPr>
          <w:rFonts w:eastAsia="方正仿宋_GBK"/>
          <w:szCs w:val="22"/>
        </w:rPr>
        <w:t>将符合条件的人员安置对象纳入相应的养老等社会保障体系，并安排人员安置对象的社会保障费用，主要用于人员安置对象的养老保险等社会保险缴费补贴。</w:t>
      </w:r>
    </w:p>
    <w:p>
      <w:pPr>
        <w:spacing w:line="560" w:lineRule="exact"/>
        <w:ind w:firstLine="640" w:firstLineChars="200"/>
        <w:rPr>
          <w:rFonts w:eastAsia="方正仿宋_GBK"/>
          <w:szCs w:val="22"/>
        </w:rPr>
      </w:pPr>
      <w:r>
        <w:rPr>
          <w:rFonts w:eastAsia="方正仿宋_GBK"/>
          <w:szCs w:val="22"/>
        </w:rPr>
        <w:t>人员安置对象的基本养老保险缴费补贴办法及标准，按照市人民政府有关规定执行。</w:t>
      </w:r>
    </w:p>
    <w:p>
      <w:pPr>
        <w:spacing w:line="560" w:lineRule="exact"/>
        <w:ind w:firstLine="640" w:firstLineChars="200"/>
        <w:rPr>
          <w:rFonts w:eastAsia="方正仿宋_GBK"/>
          <w:szCs w:val="22"/>
        </w:rPr>
      </w:pPr>
      <w:r>
        <w:rPr>
          <w:rFonts w:eastAsia="方正黑体_GBK"/>
          <w:szCs w:val="22"/>
        </w:rPr>
        <w:t>第十八条</w:t>
      </w:r>
      <w:r>
        <w:rPr>
          <w:rFonts w:eastAsia="方正仿宋_GBK"/>
          <w:szCs w:val="22"/>
        </w:rPr>
        <w:t xml:space="preserve">  县人力社保部门应当将劳动力年龄段内有劳动能力、有就业需求的人员安置对象纳入公共就业服务范围，组织开展就业创业服务活动，促进其就业创业。</w:t>
      </w:r>
    </w:p>
    <w:p>
      <w:pPr>
        <w:spacing w:line="560" w:lineRule="exact"/>
        <w:jc w:val="center"/>
        <w:rPr>
          <w:rFonts w:eastAsia="方正黑体_GBK"/>
          <w:szCs w:val="22"/>
        </w:rPr>
      </w:pPr>
      <w:r>
        <w:rPr>
          <w:rFonts w:eastAsia="方正黑体_GBK"/>
          <w:szCs w:val="22"/>
        </w:rPr>
        <w:t>第四章  住房安置</w:t>
      </w:r>
    </w:p>
    <w:p>
      <w:pPr>
        <w:spacing w:line="560" w:lineRule="exact"/>
        <w:ind w:firstLine="640" w:firstLineChars="200"/>
        <w:rPr>
          <w:rFonts w:eastAsia="方正仿宋_GBK"/>
          <w:szCs w:val="22"/>
        </w:rPr>
      </w:pPr>
      <w:r>
        <w:rPr>
          <w:rFonts w:eastAsia="方正黑体_GBK"/>
          <w:szCs w:val="22"/>
        </w:rPr>
        <w:t>第十九条</w:t>
      </w:r>
      <w:r>
        <w:rPr>
          <w:rFonts w:eastAsia="方正仿宋_GBK"/>
          <w:szCs w:val="22"/>
        </w:rPr>
        <w:t xml:space="preserve">  农村集体经济组织的土地被全部征收的，按照本</w:t>
      </w:r>
      <w:r>
        <w:rPr>
          <w:rFonts w:hint="eastAsia" w:eastAsia="方正仿宋_GBK"/>
          <w:szCs w:val="22"/>
        </w:rPr>
        <w:t>实施</w:t>
      </w:r>
      <w:r>
        <w:rPr>
          <w:rFonts w:eastAsia="方正仿宋_GBK"/>
          <w:szCs w:val="22"/>
        </w:rPr>
        <w:t>办法计入被征地农村集体经济组织总人口且享有被征地农村集体经济组织宅基地权利的人员全部为住房安置对象。</w:t>
      </w:r>
    </w:p>
    <w:p>
      <w:pPr>
        <w:spacing w:line="560" w:lineRule="exact"/>
        <w:ind w:firstLine="640" w:firstLineChars="200"/>
        <w:rPr>
          <w:rFonts w:eastAsia="方正仿宋_GBK"/>
          <w:szCs w:val="22"/>
        </w:rPr>
      </w:pPr>
      <w:r>
        <w:rPr>
          <w:rFonts w:eastAsia="方正仿宋_GBK"/>
          <w:szCs w:val="22"/>
        </w:rPr>
        <w:t>农村集体经济组织的土地被部分征收的，征收土地预公告之日，持有征地范围内被搬迁住房的不动产权属证书，且按照本</w:t>
      </w:r>
      <w:r>
        <w:rPr>
          <w:rFonts w:hint="eastAsia" w:eastAsia="方正仿宋_GBK"/>
          <w:szCs w:val="22"/>
        </w:rPr>
        <w:t>实施</w:t>
      </w:r>
      <w:r>
        <w:rPr>
          <w:rFonts w:eastAsia="方正仿宋_GBK"/>
          <w:szCs w:val="22"/>
        </w:rPr>
        <w:t>办法计入被征地农村集体经济组织总人口的人员为住房安置对象。</w:t>
      </w:r>
    </w:p>
    <w:p>
      <w:pPr>
        <w:spacing w:line="560" w:lineRule="exact"/>
        <w:ind w:firstLine="640" w:firstLineChars="200"/>
        <w:rPr>
          <w:rFonts w:eastAsia="方正仿宋_GBK"/>
          <w:szCs w:val="22"/>
        </w:rPr>
      </w:pPr>
      <w:r>
        <w:rPr>
          <w:rFonts w:eastAsia="方正仿宋_GBK"/>
          <w:szCs w:val="22"/>
        </w:rPr>
        <w:t>征地前已实行征地人员安置但住房未被搬迁的人员，在其住房搬迁时纳入住房安置对象范围。</w:t>
      </w:r>
    </w:p>
    <w:p>
      <w:pPr>
        <w:spacing w:line="560" w:lineRule="exact"/>
        <w:ind w:firstLine="640" w:firstLineChars="200"/>
        <w:rPr>
          <w:rFonts w:eastAsia="方正仿宋_GBK"/>
          <w:szCs w:val="22"/>
        </w:rPr>
      </w:pPr>
      <w:r>
        <w:rPr>
          <w:rFonts w:eastAsia="方正黑体_GBK"/>
          <w:szCs w:val="22"/>
        </w:rPr>
        <w:t>第二十条</w:t>
      </w:r>
      <w:r>
        <w:rPr>
          <w:rFonts w:eastAsia="方正仿宋_GBK"/>
          <w:szCs w:val="22"/>
        </w:rPr>
        <w:t xml:space="preserve">  符合本</w:t>
      </w:r>
      <w:r>
        <w:rPr>
          <w:rFonts w:hint="eastAsia" w:eastAsia="方正仿宋_GBK"/>
          <w:szCs w:val="22"/>
        </w:rPr>
        <w:t>实施</w:t>
      </w:r>
      <w:r>
        <w:rPr>
          <w:rFonts w:eastAsia="方正仿宋_GBK"/>
          <w:szCs w:val="22"/>
        </w:rPr>
        <w:t>办法第十</w:t>
      </w:r>
      <w:r>
        <w:rPr>
          <w:rFonts w:hint="eastAsia" w:eastAsia="方正仿宋_GBK"/>
          <w:szCs w:val="22"/>
        </w:rPr>
        <w:t>九</w:t>
      </w:r>
      <w:r>
        <w:rPr>
          <w:rFonts w:eastAsia="方正仿宋_GBK"/>
          <w:szCs w:val="22"/>
        </w:rPr>
        <w:t>条规定但有下列情形之一的人员，不属于住房安置对象：</w:t>
      </w:r>
    </w:p>
    <w:p>
      <w:pPr>
        <w:spacing w:line="560" w:lineRule="exact"/>
        <w:ind w:firstLine="640" w:firstLineChars="200"/>
        <w:rPr>
          <w:rFonts w:eastAsia="方正仿宋_GBK"/>
          <w:szCs w:val="22"/>
        </w:rPr>
      </w:pPr>
      <w:r>
        <w:rPr>
          <w:rFonts w:eastAsia="方正仿宋_GBK"/>
          <w:szCs w:val="22"/>
        </w:rPr>
        <w:t>（一）本</w:t>
      </w:r>
      <w:r>
        <w:rPr>
          <w:rFonts w:hint="eastAsia" w:eastAsia="方正仿宋_GBK"/>
          <w:szCs w:val="22"/>
        </w:rPr>
        <w:t>实施</w:t>
      </w:r>
      <w:r>
        <w:rPr>
          <w:rFonts w:eastAsia="方正仿宋_GBK"/>
          <w:szCs w:val="22"/>
        </w:rPr>
        <w:t>办法施行前已实行征地住房安置的人员；</w:t>
      </w:r>
    </w:p>
    <w:p>
      <w:pPr>
        <w:spacing w:line="560" w:lineRule="exact"/>
        <w:ind w:firstLine="640" w:firstLineChars="200"/>
        <w:rPr>
          <w:rFonts w:eastAsia="方正仿宋_GBK"/>
          <w:szCs w:val="22"/>
        </w:rPr>
      </w:pPr>
      <w:r>
        <w:rPr>
          <w:rFonts w:eastAsia="方正仿宋_GBK"/>
          <w:szCs w:val="22"/>
        </w:rPr>
        <w:t>（二）已享受福利分房、划拨国有土地上自建房、经济适用房等政策性实物住房的人员（不包括享受住房补贴、住房公积金的人员）。</w:t>
      </w:r>
    </w:p>
    <w:p>
      <w:pPr>
        <w:spacing w:line="560" w:lineRule="exact"/>
        <w:ind w:firstLine="640" w:firstLineChars="200"/>
        <w:rPr>
          <w:rFonts w:eastAsia="方正仿宋_GBK"/>
          <w:szCs w:val="22"/>
        </w:rPr>
      </w:pPr>
      <w:r>
        <w:rPr>
          <w:rFonts w:eastAsia="方正黑体_GBK"/>
          <w:szCs w:val="22"/>
        </w:rPr>
        <w:t>第二十一条</w:t>
      </w:r>
      <w:r>
        <w:rPr>
          <w:rFonts w:eastAsia="方正仿宋_GBK"/>
          <w:szCs w:val="22"/>
        </w:rPr>
        <w:t xml:space="preserve">  住房安置可以采取农村宅基地自建安置、安置房安置或者货币安置等方式。住房安置对象应当以户为单位统一选择一种安置方式，一处宅基地上的住房计为一户，即以不动产首次登记或合法建房手续批准的房屋作为计户依据。</w:t>
      </w:r>
    </w:p>
    <w:p>
      <w:pPr>
        <w:spacing w:line="560" w:lineRule="exact"/>
        <w:ind w:firstLine="640" w:firstLineChars="200"/>
        <w:rPr>
          <w:rFonts w:eastAsia="方正仿宋_GBK"/>
          <w:szCs w:val="22"/>
        </w:rPr>
      </w:pPr>
      <w:r>
        <w:rPr>
          <w:rFonts w:eastAsia="方正仿宋_GBK"/>
          <w:szCs w:val="22"/>
        </w:rPr>
        <w:t>选择农村宅基地自建安置的，应当符合乡（镇）土地利用总体规划、村庄规划，以及国家和本市关于宅基地建房的有关规定，城市规划区范围内不实行农村宅基地自建安置。</w:t>
      </w:r>
    </w:p>
    <w:p>
      <w:pPr>
        <w:spacing w:line="560" w:lineRule="exact"/>
        <w:ind w:firstLine="640" w:firstLineChars="200"/>
        <w:rPr>
          <w:rFonts w:eastAsia="方正仿宋_GBK"/>
          <w:szCs w:val="22"/>
        </w:rPr>
      </w:pPr>
      <w:r>
        <w:rPr>
          <w:rFonts w:eastAsia="方正仿宋_GBK"/>
          <w:szCs w:val="22"/>
        </w:rPr>
        <w:t>住房安置对象采取安置房安置或者货币安置后，该户家庭成员不得再申请农村宅基地新建住房。</w:t>
      </w:r>
    </w:p>
    <w:p>
      <w:pPr>
        <w:spacing w:line="560" w:lineRule="exact"/>
        <w:ind w:firstLine="640" w:firstLineChars="200"/>
        <w:rPr>
          <w:rFonts w:eastAsia="方正仿宋_GBK"/>
          <w:szCs w:val="22"/>
        </w:rPr>
      </w:pPr>
      <w:r>
        <w:rPr>
          <w:rFonts w:eastAsia="方正黑体_GBK"/>
          <w:szCs w:val="22"/>
        </w:rPr>
        <w:t>第二十二条</w:t>
      </w:r>
      <w:r>
        <w:rPr>
          <w:rFonts w:eastAsia="方正仿宋_GBK"/>
          <w:szCs w:val="22"/>
        </w:rPr>
        <w:t xml:space="preserve">  农村宅基地自建安置的，应当按照房屋重置价格标准的50%给予自建住房补助，对自行选择宅基地的安置对象应当按照应批准宅基地面积给予补助，标准为300元/平方米。</w:t>
      </w:r>
    </w:p>
    <w:p>
      <w:pPr>
        <w:spacing w:line="560" w:lineRule="exact"/>
        <w:ind w:firstLine="640" w:firstLineChars="200"/>
        <w:rPr>
          <w:rFonts w:eastAsia="方正仿宋_GBK"/>
          <w:szCs w:val="22"/>
        </w:rPr>
      </w:pPr>
      <w:r>
        <w:rPr>
          <w:rFonts w:eastAsia="方正黑体_GBK"/>
          <w:szCs w:val="22"/>
        </w:rPr>
        <w:t>第二十三条</w:t>
      </w:r>
      <w:r>
        <w:rPr>
          <w:rFonts w:eastAsia="方正仿宋_GBK"/>
          <w:szCs w:val="22"/>
        </w:rPr>
        <w:t xml:space="preserve">  安置房安置或者货币安置的，住房安置对象的住房安置建筑面积标准为30平方米/人。</w:t>
      </w:r>
    </w:p>
    <w:p>
      <w:pPr>
        <w:spacing w:line="560" w:lineRule="exact"/>
        <w:ind w:firstLine="640" w:firstLineChars="200"/>
        <w:rPr>
          <w:rFonts w:eastAsia="方正仿宋_GBK"/>
          <w:szCs w:val="22"/>
        </w:rPr>
      </w:pPr>
      <w:r>
        <w:rPr>
          <w:rFonts w:eastAsia="方正黑体_GBK"/>
          <w:szCs w:val="22"/>
        </w:rPr>
        <w:t>第二十四条</w:t>
      </w:r>
      <w:r>
        <w:rPr>
          <w:rFonts w:eastAsia="方正仿宋_GBK"/>
          <w:szCs w:val="22"/>
        </w:rPr>
        <w:t xml:space="preserve">  住房安置对象夫妻双方均无子女的，实行安置房安置或者货币安置时，可以申请增加15平方米建筑面积的住房。</w:t>
      </w:r>
    </w:p>
    <w:p>
      <w:pPr>
        <w:spacing w:line="560" w:lineRule="exact"/>
        <w:ind w:firstLine="640" w:firstLineChars="200"/>
        <w:rPr>
          <w:rFonts w:eastAsia="方正仿宋_GBK"/>
          <w:szCs w:val="22"/>
        </w:rPr>
      </w:pPr>
      <w:r>
        <w:rPr>
          <w:rFonts w:eastAsia="方正仿宋_GBK"/>
          <w:szCs w:val="22"/>
        </w:rPr>
        <w:t>住房安置对象的配偶或者未成年子女，不属于被征地农村集体经济组织总人口范围，但同时符合下列条件的，实行安置房安置或者货币安置时，可以申请15平方米建筑面积的住房，与住房安置对象合并安置：</w:t>
      </w:r>
    </w:p>
    <w:p>
      <w:pPr>
        <w:spacing w:line="560" w:lineRule="exact"/>
        <w:ind w:firstLine="640" w:firstLineChars="200"/>
        <w:rPr>
          <w:rFonts w:eastAsia="方正仿宋_GBK"/>
          <w:szCs w:val="22"/>
        </w:rPr>
      </w:pPr>
      <w:r>
        <w:rPr>
          <w:rFonts w:eastAsia="方正仿宋_GBK"/>
          <w:szCs w:val="22"/>
        </w:rPr>
        <w:t>（一）县人民政府发布征收土地预公告之日，在被征地农村集体经济组织连续居住1年以上（离婚后再婚配偶及随迁子女在被征地农村集体经济组织连续居住3年以上）；</w:t>
      </w:r>
    </w:p>
    <w:p>
      <w:pPr>
        <w:spacing w:line="560" w:lineRule="exact"/>
        <w:ind w:firstLine="640" w:firstLineChars="200"/>
        <w:rPr>
          <w:rFonts w:eastAsia="方正仿宋_GBK"/>
          <w:szCs w:val="22"/>
        </w:rPr>
      </w:pPr>
      <w:r>
        <w:rPr>
          <w:rFonts w:eastAsia="方正仿宋_GBK"/>
          <w:szCs w:val="22"/>
        </w:rPr>
        <w:t>（二）征地前未实行征地住房安置；</w:t>
      </w:r>
    </w:p>
    <w:p>
      <w:pPr>
        <w:spacing w:line="560" w:lineRule="exact"/>
        <w:ind w:firstLine="640" w:firstLineChars="200"/>
        <w:rPr>
          <w:rFonts w:eastAsia="方正仿宋_GBK"/>
          <w:szCs w:val="22"/>
        </w:rPr>
      </w:pPr>
      <w:r>
        <w:rPr>
          <w:rFonts w:eastAsia="方正仿宋_GBK"/>
          <w:szCs w:val="22"/>
        </w:rPr>
        <w:t>（三）住房安置对象及其配偶、未成年子女均无商品房、农村住房和</w:t>
      </w:r>
      <w:r>
        <w:rPr>
          <w:rFonts w:hint="eastAsia" w:eastAsia="方正仿宋_GBK"/>
          <w:szCs w:val="22"/>
        </w:rPr>
        <w:t>未</w:t>
      </w:r>
      <w:r>
        <w:rPr>
          <w:rFonts w:eastAsia="方正仿宋_GBK"/>
          <w:szCs w:val="22"/>
        </w:rPr>
        <w:t>享受过福利房、经济适用房、安置房等住房；</w:t>
      </w:r>
    </w:p>
    <w:p>
      <w:pPr>
        <w:spacing w:line="560" w:lineRule="exact"/>
        <w:ind w:firstLine="640" w:firstLineChars="200"/>
        <w:rPr>
          <w:rFonts w:eastAsia="方正仿宋_GBK"/>
          <w:szCs w:val="22"/>
        </w:rPr>
      </w:pPr>
      <w:r>
        <w:rPr>
          <w:rFonts w:eastAsia="方正仿宋_GBK"/>
          <w:szCs w:val="22"/>
        </w:rPr>
        <w:t>（四）不享有其他农村集体经济组织宅基地权利。</w:t>
      </w:r>
    </w:p>
    <w:p>
      <w:pPr>
        <w:spacing w:line="560" w:lineRule="exact"/>
        <w:ind w:firstLine="640" w:firstLineChars="200"/>
        <w:rPr>
          <w:rFonts w:eastAsia="方正仿宋_GBK"/>
          <w:szCs w:val="22"/>
        </w:rPr>
      </w:pPr>
      <w:r>
        <w:rPr>
          <w:rFonts w:eastAsia="方正黑体_GBK"/>
          <w:szCs w:val="22"/>
        </w:rPr>
        <w:t>第二十五条</w:t>
      </w:r>
      <w:r>
        <w:rPr>
          <w:rFonts w:eastAsia="方正仿宋_GBK"/>
          <w:szCs w:val="22"/>
        </w:rPr>
        <w:t xml:space="preserve">  安置房安置的，应安置建筑面积的部分，按照砖混结构房屋的重置价格标准购买。</w:t>
      </w:r>
    </w:p>
    <w:p>
      <w:pPr>
        <w:spacing w:line="560" w:lineRule="exact"/>
        <w:ind w:firstLine="640" w:firstLineChars="200"/>
        <w:rPr>
          <w:rFonts w:eastAsia="方正仿宋_GBK"/>
          <w:szCs w:val="22"/>
        </w:rPr>
      </w:pPr>
      <w:r>
        <w:rPr>
          <w:rFonts w:eastAsia="方正仿宋_GBK"/>
          <w:szCs w:val="22"/>
        </w:rPr>
        <w:t>因户型设计等原因，以户为单位，安置房超过应安置建筑面积不满5平方米的部分，按照安置房建安造价的50%购买；超过应安置建筑面积5平方米以上不满10平方米的部分，按照安置房建安造价购买；超过应安置建筑面积10平方米以上的部分，按照住房货币安置价格标准购买。安置房建安造价由县住房城乡建设部门会同规划自然资源部门核定并于公布。</w:t>
      </w:r>
    </w:p>
    <w:p>
      <w:pPr>
        <w:spacing w:line="560" w:lineRule="exact"/>
        <w:ind w:firstLine="640" w:firstLineChars="200"/>
        <w:rPr>
          <w:rFonts w:eastAsia="方正仿宋_GBK"/>
          <w:szCs w:val="22"/>
        </w:rPr>
      </w:pPr>
      <w:r>
        <w:rPr>
          <w:rFonts w:eastAsia="方正仿宋_GBK"/>
          <w:szCs w:val="22"/>
        </w:rPr>
        <w:t>因户型设计、住房安置对象意愿等原因，购买安置房未达到应安置建筑面积的，不足部分按照本实施办法第二十七条规定的住房货币安置价格标准支付给住房安置对象。</w:t>
      </w:r>
    </w:p>
    <w:p>
      <w:pPr>
        <w:spacing w:line="560" w:lineRule="exact"/>
        <w:ind w:firstLine="640" w:firstLineChars="200"/>
        <w:rPr>
          <w:rFonts w:eastAsia="方正仿宋_GBK"/>
          <w:szCs w:val="22"/>
        </w:rPr>
      </w:pPr>
      <w:r>
        <w:rPr>
          <w:rFonts w:eastAsia="方正黑体_GBK"/>
          <w:szCs w:val="22"/>
        </w:rPr>
        <w:t>第二十六条</w:t>
      </w:r>
      <w:r>
        <w:rPr>
          <w:rFonts w:eastAsia="方正仿宋_GBK"/>
          <w:szCs w:val="22"/>
        </w:rPr>
        <w:t xml:space="preserve">  安置房应当在国有土地上建设。</w:t>
      </w:r>
    </w:p>
    <w:p>
      <w:pPr>
        <w:spacing w:line="560" w:lineRule="exact"/>
        <w:ind w:firstLine="640" w:firstLineChars="200"/>
        <w:rPr>
          <w:rFonts w:eastAsia="方正仿宋_GBK"/>
          <w:szCs w:val="22"/>
        </w:rPr>
      </w:pPr>
      <w:r>
        <w:rPr>
          <w:rFonts w:eastAsia="方正仿宋_GBK"/>
          <w:szCs w:val="22"/>
        </w:rPr>
        <w:t>安置房建设单位应当安排安置房的建设资金、首期物业专项维修资金以及居民用电、自来水、天然气、有线电视的安装费用。</w:t>
      </w:r>
    </w:p>
    <w:p>
      <w:pPr>
        <w:spacing w:line="560" w:lineRule="exact"/>
        <w:ind w:firstLine="640" w:firstLineChars="200"/>
        <w:rPr>
          <w:rFonts w:eastAsia="方正仿宋_GBK"/>
          <w:szCs w:val="22"/>
        </w:rPr>
      </w:pPr>
      <w:r>
        <w:rPr>
          <w:rFonts w:eastAsia="方正黑体_GBK"/>
          <w:szCs w:val="22"/>
        </w:rPr>
        <w:t>第二十七条</w:t>
      </w:r>
      <w:r>
        <w:rPr>
          <w:rFonts w:eastAsia="方正仿宋_GBK"/>
          <w:szCs w:val="22"/>
        </w:rPr>
        <w:t xml:space="preserve">  住房货币安置的，货币安置款额等于住房货币安置价格标准乘以应安置建筑面积。住房货币安置价格标准按征地范围周边普通商品住房平均价格与砖混结构房屋重置价格标准之差确定，城市规划区内普通商品住房平均价格核准为4800元/平方米，城市规划区外普通商品住房平均价格核准为2300元/平方米。</w:t>
      </w:r>
    </w:p>
    <w:p>
      <w:pPr>
        <w:spacing w:line="560" w:lineRule="exact"/>
        <w:ind w:firstLine="640" w:firstLineChars="200"/>
        <w:rPr>
          <w:rFonts w:eastAsia="方正仿宋_GBK"/>
          <w:szCs w:val="22"/>
        </w:rPr>
      </w:pPr>
      <w:r>
        <w:rPr>
          <w:rFonts w:eastAsia="方正黑体_GBK"/>
          <w:szCs w:val="22"/>
        </w:rPr>
        <w:t>第二十八条</w:t>
      </w:r>
      <w:r>
        <w:rPr>
          <w:rFonts w:eastAsia="方正仿宋_GBK"/>
          <w:szCs w:val="22"/>
        </w:rPr>
        <w:t xml:space="preserve">  住房安置对象合法拥有两处以上（含两处）农村住房的，只在其享有宅基地权利的住房被搬迁时安置1次住房，不得重复安置住房。</w:t>
      </w:r>
    </w:p>
    <w:p>
      <w:pPr>
        <w:spacing w:line="560" w:lineRule="exact"/>
        <w:ind w:firstLine="640" w:firstLineChars="200"/>
        <w:rPr>
          <w:rFonts w:eastAsia="方正仿宋_GBK"/>
          <w:szCs w:val="22"/>
        </w:rPr>
      </w:pPr>
      <w:r>
        <w:rPr>
          <w:rFonts w:eastAsia="方正黑体_GBK"/>
          <w:szCs w:val="22"/>
        </w:rPr>
        <w:t>第二十九条</w:t>
      </w:r>
      <w:r>
        <w:rPr>
          <w:rFonts w:eastAsia="方正仿宋_GBK"/>
          <w:szCs w:val="22"/>
        </w:rPr>
        <w:t xml:space="preserve">  符合下列情形之一的，其被搬迁房屋按农村房屋重置价格标准上浮50%予以补助：</w:t>
      </w:r>
    </w:p>
    <w:p>
      <w:pPr>
        <w:spacing w:line="560" w:lineRule="exact"/>
        <w:ind w:firstLine="640" w:firstLineChars="200"/>
        <w:rPr>
          <w:rFonts w:eastAsia="方正仿宋_GBK"/>
          <w:szCs w:val="22"/>
        </w:rPr>
      </w:pPr>
      <w:r>
        <w:rPr>
          <w:rFonts w:eastAsia="方正仿宋_GBK"/>
          <w:szCs w:val="22"/>
        </w:rPr>
        <w:t>（一）被搬迁住房所有权人均不属于住房安置对象的；</w:t>
      </w:r>
    </w:p>
    <w:p>
      <w:pPr>
        <w:spacing w:line="560" w:lineRule="exact"/>
        <w:ind w:firstLine="640" w:firstLineChars="200"/>
        <w:rPr>
          <w:rFonts w:eastAsia="方正仿宋_GBK"/>
          <w:szCs w:val="22"/>
        </w:rPr>
      </w:pPr>
      <w:r>
        <w:rPr>
          <w:rFonts w:eastAsia="方正仿宋_GBK"/>
          <w:szCs w:val="22"/>
        </w:rPr>
        <w:t>（二）被搬迁住房属于住房安置对象合法拥有两处以上（含两处）农村住房，且按本</w:t>
      </w:r>
      <w:r>
        <w:rPr>
          <w:rFonts w:hint="eastAsia" w:eastAsia="方正仿宋_GBK"/>
          <w:szCs w:val="22"/>
        </w:rPr>
        <w:t>实施</w:t>
      </w:r>
      <w:r>
        <w:rPr>
          <w:rFonts w:eastAsia="方正仿宋_GBK"/>
          <w:szCs w:val="22"/>
        </w:rPr>
        <w:t>办法第二十八条规定不予住房安置的；</w:t>
      </w:r>
    </w:p>
    <w:p>
      <w:pPr>
        <w:spacing w:line="560" w:lineRule="exact"/>
        <w:ind w:firstLine="640" w:firstLineChars="200"/>
        <w:rPr>
          <w:rFonts w:eastAsia="方正仿宋_GBK"/>
          <w:szCs w:val="22"/>
        </w:rPr>
      </w:pPr>
      <w:r>
        <w:rPr>
          <w:rFonts w:eastAsia="方正仿宋_GBK"/>
          <w:szCs w:val="22"/>
        </w:rPr>
        <w:t>（三）乡镇企业、乡（镇）村公共设施、公益事业用房等登记为非住宅的房屋。</w:t>
      </w:r>
    </w:p>
    <w:p>
      <w:pPr>
        <w:spacing w:line="560" w:lineRule="exact"/>
        <w:ind w:firstLine="640" w:firstLineChars="200"/>
        <w:rPr>
          <w:rFonts w:eastAsia="方正仿宋_GBK"/>
          <w:szCs w:val="22"/>
        </w:rPr>
      </w:pPr>
      <w:r>
        <w:rPr>
          <w:rFonts w:eastAsia="方正黑体_GBK"/>
          <w:szCs w:val="22"/>
        </w:rPr>
        <w:t>第三十条</w:t>
      </w:r>
      <w:r>
        <w:rPr>
          <w:rFonts w:eastAsia="方正仿宋_GBK"/>
          <w:szCs w:val="22"/>
        </w:rPr>
        <w:t xml:space="preserve">  征地搬迁农村住房，按照3人</w:t>
      </w:r>
      <w:r>
        <w:rPr>
          <w:rFonts w:hint="eastAsia" w:eastAsia="方正仿宋_GBK"/>
          <w:szCs w:val="22"/>
        </w:rPr>
        <w:t>（</w:t>
      </w:r>
      <w:r>
        <w:rPr>
          <w:rFonts w:eastAsia="方正仿宋_GBK"/>
          <w:szCs w:val="22"/>
        </w:rPr>
        <w:t>含3人</w:t>
      </w:r>
      <w:r>
        <w:rPr>
          <w:rFonts w:hint="eastAsia" w:eastAsia="方正仿宋_GBK"/>
          <w:szCs w:val="22"/>
        </w:rPr>
        <w:t>）</w:t>
      </w:r>
      <w:r>
        <w:rPr>
          <w:rFonts w:eastAsia="方正仿宋_GBK"/>
          <w:szCs w:val="22"/>
        </w:rPr>
        <w:t>以下1000元/户/次，3人以上1500元/户/次的标准支付搬迁费，用于被搬迁户搬家及生产生活设施迁移，按两次计发。</w:t>
      </w:r>
    </w:p>
    <w:p>
      <w:pPr>
        <w:spacing w:line="560" w:lineRule="exact"/>
        <w:ind w:firstLine="640" w:firstLineChars="200"/>
        <w:rPr>
          <w:rFonts w:eastAsia="方正仿宋_GBK"/>
          <w:szCs w:val="22"/>
        </w:rPr>
      </w:pPr>
      <w:r>
        <w:rPr>
          <w:rFonts w:eastAsia="方正仿宋_GBK"/>
          <w:szCs w:val="22"/>
        </w:rPr>
        <w:t>农村宅基地自建安置的，符合宅基地申请条件的人员按照200元/人/月的标准计算并一次性支付18个月的临时安置费。</w:t>
      </w:r>
    </w:p>
    <w:p>
      <w:pPr>
        <w:spacing w:line="560" w:lineRule="exact"/>
        <w:ind w:firstLine="640" w:firstLineChars="200"/>
        <w:rPr>
          <w:rFonts w:eastAsia="方正仿宋_GBK"/>
          <w:szCs w:val="22"/>
        </w:rPr>
      </w:pPr>
      <w:r>
        <w:rPr>
          <w:rFonts w:eastAsia="方正仿宋_GBK"/>
          <w:szCs w:val="22"/>
        </w:rPr>
        <w:t>安置房安置的，按照应安置建筑面积每平方米每月10元计算并支付自搬迁之月起至安置房交付后6个月止期间的临时安置费。</w:t>
      </w:r>
    </w:p>
    <w:p>
      <w:pPr>
        <w:spacing w:line="560" w:lineRule="exact"/>
        <w:ind w:firstLine="640" w:firstLineChars="200"/>
        <w:rPr>
          <w:rFonts w:eastAsia="方正仿宋_GBK"/>
          <w:szCs w:val="22"/>
        </w:rPr>
      </w:pPr>
      <w:r>
        <w:rPr>
          <w:rFonts w:eastAsia="方正仿宋_GBK"/>
          <w:szCs w:val="22"/>
        </w:rPr>
        <w:t>住房货币安置的，按照应安置建筑面积计算并一次性支付12个月的临时安置费，每个住房安置对象的临时安置费标准为300元/月/人。</w:t>
      </w:r>
    </w:p>
    <w:p>
      <w:pPr>
        <w:spacing w:line="560" w:lineRule="exact"/>
        <w:ind w:firstLine="640" w:firstLineChars="200"/>
        <w:rPr>
          <w:rFonts w:eastAsia="方正仿宋_GBK"/>
          <w:szCs w:val="22"/>
        </w:rPr>
      </w:pPr>
      <w:r>
        <w:rPr>
          <w:rFonts w:eastAsia="方正黑体_GBK"/>
          <w:szCs w:val="22"/>
        </w:rPr>
        <w:t>第三十一条</w:t>
      </w:r>
      <w:r>
        <w:rPr>
          <w:rFonts w:eastAsia="方正仿宋_GBK"/>
          <w:szCs w:val="22"/>
        </w:rPr>
        <w:t xml:space="preserve">  在房屋搬迁通知发布之日起，房屋搬迁户在30日内签定房屋搬迁补偿安置协议的，按被搬迁住房（简易结构、农业生产用的圈、棚除外）200元/平方米标准给予搬迁奖励；30日后签定房屋搬迁补偿安置协议的不予奖励。</w:t>
      </w:r>
    </w:p>
    <w:p>
      <w:pPr>
        <w:spacing w:line="560" w:lineRule="exact"/>
        <w:ind w:firstLine="640" w:firstLineChars="200"/>
        <w:rPr>
          <w:rFonts w:eastAsia="方正仿宋_GBK"/>
          <w:szCs w:val="22"/>
        </w:rPr>
      </w:pPr>
      <w:r>
        <w:rPr>
          <w:rFonts w:eastAsia="方正黑体_GBK"/>
          <w:szCs w:val="22"/>
        </w:rPr>
        <w:t>第三十二条</w:t>
      </w:r>
      <w:r>
        <w:rPr>
          <w:rFonts w:eastAsia="方正仿宋_GBK"/>
          <w:szCs w:val="22"/>
        </w:rPr>
        <w:t xml:space="preserve">  对住房安置对象选择住房货币安置的，</w:t>
      </w:r>
      <w:r>
        <w:rPr>
          <w:rFonts w:hint="eastAsia" w:eastAsia="方正仿宋_GBK"/>
          <w:szCs w:val="22"/>
        </w:rPr>
        <w:t>实行</w:t>
      </w:r>
      <w:r>
        <w:rPr>
          <w:rFonts w:eastAsia="方正仿宋_GBK"/>
          <w:szCs w:val="22"/>
        </w:rPr>
        <w:t>住房货币安置奖励</w:t>
      </w:r>
      <w:r>
        <w:rPr>
          <w:rFonts w:hint="eastAsia" w:eastAsia="方正仿宋_GBK"/>
          <w:szCs w:val="22"/>
        </w:rPr>
        <w:t>，</w:t>
      </w:r>
      <w:r>
        <w:rPr>
          <w:rFonts w:eastAsia="方正仿宋_GBK"/>
          <w:szCs w:val="22"/>
        </w:rPr>
        <w:t>按照应安置面积100元/平方米</w:t>
      </w:r>
      <w:r>
        <w:rPr>
          <w:rFonts w:hint="eastAsia" w:eastAsia="方正仿宋_GBK"/>
          <w:szCs w:val="22"/>
        </w:rPr>
        <w:t>的标准</w:t>
      </w:r>
      <w:r>
        <w:rPr>
          <w:rFonts w:eastAsia="方正仿宋_GBK"/>
          <w:szCs w:val="22"/>
        </w:rPr>
        <w:t>执行。</w:t>
      </w:r>
    </w:p>
    <w:p>
      <w:pPr>
        <w:spacing w:line="560" w:lineRule="exact"/>
        <w:jc w:val="center"/>
        <w:rPr>
          <w:rFonts w:eastAsia="方正黑体_GBK"/>
          <w:szCs w:val="22"/>
        </w:rPr>
      </w:pPr>
      <w:r>
        <w:rPr>
          <w:rFonts w:eastAsia="方正黑体_GBK"/>
          <w:szCs w:val="22"/>
        </w:rPr>
        <w:t>第五章  附  则</w:t>
      </w:r>
    </w:p>
    <w:p>
      <w:pPr>
        <w:spacing w:line="560" w:lineRule="exact"/>
        <w:ind w:firstLine="640" w:firstLineChars="200"/>
        <w:rPr>
          <w:rFonts w:eastAsia="方正仿宋_GBK"/>
          <w:szCs w:val="22"/>
        </w:rPr>
      </w:pPr>
      <w:r>
        <w:rPr>
          <w:rFonts w:eastAsia="方正黑体_GBK"/>
          <w:szCs w:val="22"/>
        </w:rPr>
        <w:t>第三十三条</w:t>
      </w:r>
      <w:r>
        <w:rPr>
          <w:rFonts w:eastAsia="方正仿宋_GBK"/>
          <w:szCs w:val="22"/>
        </w:rPr>
        <w:t xml:space="preserve">  无民事行为能力人或者限制民事行为能力人，获得的征地补偿安置费用，按照有关规定一次性支付给其法定监护人。</w:t>
      </w:r>
    </w:p>
    <w:p>
      <w:pPr>
        <w:spacing w:line="560" w:lineRule="exact"/>
        <w:ind w:firstLine="640" w:firstLineChars="200"/>
        <w:rPr>
          <w:rFonts w:eastAsia="方正仿宋_GBK"/>
          <w:szCs w:val="22"/>
        </w:rPr>
      </w:pPr>
      <w:r>
        <w:rPr>
          <w:rFonts w:eastAsia="方正黑体_GBK"/>
          <w:szCs w:val="22"/>
        </w:rPr>
        <w:t>第三十四条</w:t>
      </w:r>
      <w:r>
        <w:rPr>
          <w:rFonts w:eastAsia="方正仿宋_GBK"/>
          <w:szCs w:val="22"/>
        </w:rPr>
        <w:t xml:space="preserve">  按照本</w:t>
      </w:r>
      <w:r>
        <w:rPr>
          <w:rFonts w:hint="eastAsia" w:eastAsia="方正仿宋_GBK"/>
          <w:szCs w:val="22"/>
        </w:rPr>
        <w:t>实施</w:t>
      </w:r>
      <w:r>
        <w:rPr>
          <w:rFonts w:eastAsia="方正仿宋_GBK"/>
          <w:szCs w:val="22"/>
        </w:rPr>
        <w:t>办法规定，需要评估的，评估机构由被评估对象的所有权人和征地事务机构在规定时间内共同选择；无正当理由，被评估对象的所有权人在规定时间内不选择的，由征地事务机构按程序确定。</w:t>
      </w:r>
    </w:p>
    <w:p>
      <w:pPr>
        <w:spacing w:line="560" w:lineRule="exact"/>
        <w:ind w:firstLine="640" w:firstLineChars="200"/>
        <w:rPr>
          <w:rFonts w:eastAsia="方正仿宋_GBK"/>
          <w:szCs w:val="22"/>
        </w:rPr>
      </w:pPr>
      <w:r>
        <w:rPr>
          <w:rFonts w:eastAsia="方正黑体_GBK"/>
          <w:szCs w:val="22"/>
        </w:rPr>
        <w:t>第三十五条</w:t>
      </w:r>
      <w:r>
        <w:rPr>
          <w:rFonts w:eastAsia="方正仿宋_GBK"/>
          <w:szCs w:val="22"/>
        </w:rPr>
        <w:t xml:space="preserve">  大中型水利水电工程建设征地补偿和移民安置，按照国家和本市的有关规定执行。</w:t>
      </w:r>
    </w:p>
    <w:p>
      <w:pPr>
        <w:spacing w:line="560" w:lineRule="exact"/>
        <w:ind w:firstLine="640" w:firstLineChars="200"/>
        <w:rPr>
          <w:rFonts w:eastAsia="方正仿宋_GBK"/>
          <w:szCs w:val="22"/>
        </w:rPr>
      </w:pPr>
      <w:r>
        <w:rPr>
          <w:rFonts w:hint="eastAsia" w:ascii="方正黑体_GBK" w:hAnsi="方正黑体_GBK" w:eastAsia="方正黑体_GBK" w:cs="方正黑体_GBK"/>
          <w:szCs w:val="22"/>
        </w:rPr>
        <w:t>第三十六条</w:t>
      </w:r>
      <w:r>
        <w:rPr>
          <w:rFonts w:eastAsia="方正仿宋_GBK"/>
          <w:szCs w:val="22"/>
        </w:rPr>
        <w:t xml:space="preserve">  《彭水苗族土家族自治县人民政府关于调整征地补偿安置政策有关事项的通知》（彭水府发〔2008〕44号）和《彭水苗族土家族自治县人民政府关于进一步调整征地补偿安置标准有关事项的通知》（彭水府发〔2013〕73号）同时废止。</w:t>
      </w:r>
    </w:p>
    <w:p>
      <w:pPr>
        <w:spacing w:line="560" w:lineRule="exact"/>
        <w:ind w:firstLine="640" w:firstLineChars="200"/>
        <w:rPr>
          <w:rFonts w:eastAsia="方正仿宋_GBK"/>
          <w:szCs w:val="22"/>
        </w:rPr>
      </w:pPr>
      <w:r>
        <w:rPr>
          <w:rFonts w:eastAsia="方正仿宋_GBK"/>
          <w:szCs w:val="22"/>
        </w:rPr>
        <w:t>本</w:t>
      </w:r>
      <w:r>
        <w:rPr>
          <w:rFonts w:hint="eastAsia" w:eastAsia="方正仿宋_GBK"/>
          <w:szCs w:val="22"/>
        </w:rPr>
        <w:t>实施</w:t>
      </w:r>
      <w:r>
        <w:rPr>
          <w:rFonts w:eastAsia="方正仿宋_GBK"/>
          <w:szCs w:val="22"/>
        </w:rPr>
        <w:t>办法自2021年7月1日起施行。本</w:t>
      </w:r>
      <w:r>
        <w:rPr>
          <w:rFonts w:hint="eastAsia" w:eastAsia="方正仿宋_GBK"/>
          <w:szCs w:val="22"/>
        </w:rPr>
        <w:t>实施</w:t>
      </w:r>
      <w:r>
        <w:rPr>
          <w:rFonts w:eastAsia="方正仿宋_GBK"/>
          <w:szCs w:val="22"/>
        </w:rPr>
        <w:t>办法施行前已经确定征地补偿安置方案的项目，按照原政策执行。</w:t>
      </w:r>
    </w:p>
    <w:p>
      <w:pPr>
        <w:pStyle w:val="2"/>
        <w:rPr>
          <w:rFonts w:ascii="Times New Roman" w:hAnsi="Times New Roman" w:eastAsia="方正仿宋_GBK" w:cs="Times New Roman"/>
          <w:sz w:val="32"/>
          <w:szCs w:val="22"/>
        </w:rPr>
      </w:pPr>
    </w:p>
    <w:p>
      <w:pPr>
        <w:pStyle w:val="2"/>
        <w:ind w:firstLine="631"/>
        <w:rPr>
          <w:rFonts w:ascii="Times New Roman" w:hAnsi="Times New Roman" w:eastAsia="方正仿宋_GBK" w:cs="Times New Roman"/>
          <w:sz w:val="32"/>
          <w:szCs w:val="22"/>
        </w:rPr>
      </w:pPr>
      <w:r>
        <w:rPr>
          <w:rFonts w:ascii="Times New Roman" w:hAnsi="Times New Roman" w:eastAsia="方正仿宋_GBK" w:cs="Times New Roman"/>
          <w:sz w:val="32"/>
          <w:szCs w:val="22"/>
        </w:rPr>
        <w:t>附件：1. 彭水自治县区片综合地价标准</w:t>
      </w:r>
    </w:p>
    <w:p>
      <w:pPr>
        <w:pStyle w:val="2"/>
        <w:ind w:firstLine="1590" w:firstLineChars="497"/>
        <w:rPr>
          <w:rFonts w:ascii="Times New Roman" w:hAnsi="Times New Roman" w:eastAsia="方正仿宋_GBK" w:cs="Times New Roman"/>
          <w:sz w:val="32"/>
          <w:szCs w:val="22"/>
        </w:rPr>
      </w:pPr>
      <w:r>
        <w:rPr>
          <w:rFonts w:ascii="Times New Roman" w:hAnsi="Times New Roman" w:eastAsia="方正仿宋_GBK" w:cs="Times New Roman"/>
          <w:sz w:val="32"/>
          <w:szCs w:val="22"/>
        </w:rPr>
        <w:t>2. 彭水自治县农村房屋重置价格补偿标准</w:t>
      </w:r>
    </w:p>
    <w:p>
      <w:pPr>
        <w:pStyle w:val="2"/>
        <w:ind w:firstLine="1590" w:firstLineChars="497"/>
        <w:rPr>
          <w:rFonts w:ascii="Times New Roman" w:hAnsi="Times New Roman" w:eastAsia="方正仿宋_GBK" w:cs="Times New Roman"/>
          <w:sz w:val="32"/>
          <w:szCs w:val="22"/>
        </w:rPr>
      </w:pPr>
      <w:r>
        <w:rPr>
          <w:rFonts w:ascii="Times New Roman" w:hAnsi="Times New Roman" w:eastAsia="方正仿宋_GBK" w:cs="Times New Roman"/>
          <w:sz w:val="32"/>
          <w:szCs w:val="22"/>
        </w:rPr>
        <w:t>3. 彭水自治县农村房屋装饰装修补助标准</w:t>
      </w:r>
    </w:p>
    <w:p>
      <w:pPr>
        <w:pStyle w:val="2"/>
        <w:ind w:firstLine="1590" w:firstLineChars="497"/>
        <w:rPr>
          <w:rFonts w:ascii="Times New Roman" w:hAnsi="Times New Roman" w:eastAsia="方正仿宋_GBK" w:cs="Times New Roman"/>
          <w:sz w:val="32"/>
          <w:szCs w:val="22"/>
        </w:rPr>
      </w:pPr>
      <w:r>
        <w:rPr>
          <w:rFonts w:ascii="Times New Roman" w:hAnsi="Times New Roman" w:eastAsia="方正仿宋_GBK" w:cs="Times New Roman"/>
          <w:sz w:val="32"/>
          <w:szCs w:val="22"/>
        </w:rPr>
        <w:t>4. 彭水自治县农村房屋附属设施补偿标准</w:t>
      </w:r>
    </w:p>
    <w:p>
      <w:pPr>
        <w:pStyle w:val="2"/>
        <w:widowControl w:val="0"/>
        <w:adjustRightInd/>
        <w:spacing w:line="560" w:lineRule="exact"/>
        <w:rPr>
          <w:rFonts w:ascii="Times New Roman" w:hAnsi="Times New Roman" w:eastAsia="方正黑体_GBK" w:cs="Times New Roman"/>
          <w:sz w:val="32"/>
          <w:szCs w:val="32"/>
        </w:rPr>
      </w:pPr>
      <w:r>
        <w:rPr>
          <w:rFonts w:ascii="Times New Roman" w:hAnsi="Times New Roman" w:eastAsia="方正仿宋_GBK" w:cs="Times New Roman"/>
          <w:sz w:val="32"/>
          <w:szCs w:val="22"/>
        </w:rPr>
        <w:br w:type="page"/>
      </w:r>
      <w:r>
        <w:rPr>
          <w:rFonts w:ascii="Times New Roman" w:hAnsi="Times New Roman" w:eastAsia="方正黑体_GBK" w:cs="Times New Roman"/>
          <w:sz w:val="32"/>
          <w:szCs w:val="32"/>
        </w:rPr>
        <w:t>附件1</w:t>
      </w:r>
    </w:p>
    <w:p>
      <w:pPr>
        <w:pStyle w:val="2"/>
        <w:widowControl w:val="0"/>
        <w:adjustRightInd/>
        <w:spacing w:line="560" w:lineRule="exact"/>
        <w:rPr>
          <w:rFonts w:ascii="Times New Roman" w:hAnsi="Times New Roman" w:eastAsia="方正黑体_GBK" w:cs="Times New Roman"/>
          <w:sz w:val="32"/>
          <w:szCs w:val="32"/>
        </w:rPr>
      </w:pPr>
    </w:p>
    <w:p>
      <w:pPr>
        <w:widowControl/>
        <w:spacing w:line="560" w:lineRule="exact"/>
        <w:jc w:val="center"/>
        <w:rPr>
          <w:rFonts w:eastAsia="方正小标宋_GBK"/>
          <w:color w:val="000000"/>
          <w:sz w:val="44"/>
          <w:szCs w:val="44"/>
        </w:rPr>
      </w:pPr>
      <w:r>
        <w:rPr>
          <w:rFonts w:eastAsia="方正小标宋_GBK"/>
          <w:color w:val="000000"/>
          <w:sz w:val="44"/>
          <w:szCs w:val="44"/>
        </w:rPr>
        <w:t>彭水自治县区片综合地价标准</w:t>
      </w:r>
    </w:p>
    <w:p>
      <w:pPr>
        <w:widowControl/>
        <w:spacing w:line="560" w:lineRule="exact"/>
        <w:jc w:val="right"/>
        <w:rPr>
          <w:rFonts w:eastAsia="方正楷体_GBK"/>
          <w:color w:val="000000"/>
          <w:sz w:val="28"/>
          <w:szCs w:val="28"/>
        </w:rPr>
      </w:pPr>
      <w:r>
        <w:rPr>
          <w:rFonts w:eastAsia="方正楷体_GBK"/>
          <w:color w:val="000000"/>
          <w:sz w:val="28"/>
          <w:szCs w:val="28"/>
        </w:rPr>
        <w:t>单位：万元/亩</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890"/>
        <w:gridCol w:w="5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674" w:type="dxa"/>
            <w:vMerge w:val="restart"/>
            <w:noWrap w:val="0"/>
            <w:vAlign w:val="center"/>
          </w:tcPr>
          <w:p>
            <w:pPr>
              <w:widowControl/>
              <w:spacing w:line="360" w:lineRule="exact"/>
              <w:jc w:val="center"/>
              <w:rPr>
                <w:rFonts w:eastAsia="方正黑体_GBK"/>
                <w:color w:val="000000"/>
                <w:kern w:val="0"/>
                <w:sz w:val="28"/>
                <w:szCs w:val="28"/>
              </w:rPr>
            </w:pPr>
            <w:r>
              <w:rPr>
                <w:rFonts w:eastAsia="方正黑体_GBK"/>
                <w:color w:val="000000"/>
                <w:kern w:val="0"/>
                <w:sz w:val="28"/>
                <w:szCs w:val="28"/>
              </w:rPr>
              <w:t>区  片</w:t>
            </w:r>
          </w:p>
        </w:tc>
        <w:tc>
          <w:tcPr>
            <w:tcW w:w="1890" w:type="dxa"/>
            <w:vMerge w:val="restart"/>
            <w:noWrap w:val="0"/>
            <w:vAlign w:val="center"/>
          </w:tcPr>
          <w:p>
            <w:pPr>
              <w:widowControl/>
              <w:spacing w:line="360" w:lineRule="exact"/>
              <w:jc w:val="center"/>
              <w:rPr>
                <w:rFonts w:eastAsia="方正黑体_GBK"/>
                <w:color w:val="000000"/>
                <w:kern w:val="0"/>
                <w:sz w:val="28"/>
                <w:szCs w:val="28"/>
              </w:rPr>
            </w:pPr>
            <w:r>
              <w:rPr>
                <w:rFonts w:eastAsia="方正黑体_GBK"/>
                <w:color w:val="000000"/>
                <w:kern w:val="0"/>
                <w:sz w:val="28"/>
                <w:szCs w:val="28"/>
              </w:rPr>
              <w:t>区片综合地价标准</w:t>
            </w:r>
          </w:p>
        </w:tc>
        <w:tc>
          <w:tcPr>
            <w:tcW w:w="5489" w:type="dxa"/>
            <w:vMerge w:val="restart"/>
            <w:noWrap w:val="0"/>
            <w:vAlign w:val="center"/>
          </w:tcPr>
          <w:p>
            <w:pPr>
              <w:widowControl/>
              <w:tabs>
                <w:tab w:val="center" w:pos="2496"/>
              </w:tabs>
              <w:spacing w:line="360" w:lineRule="exact"/>
              <w:jc w:val="center"/>
              <w:rPr>
                <w:rFonts w:eastAsia="方正黑体_GBK"/>
                <w:color w:val="000000"/>
                <w:kern w:val="0"/>
                <w:sz w:val="28"/>
                <w:szCs w:val="28"/>
              </w:rPr>
            </w:pPr>
            <w:r>
              <w:rPr>
                <w:rFonts w:eastAsia="方正黑体_GBK"/>
                <w:color w:val="000000"/>
                <w:kern w:val="0"/>
                <w:sz w:val="28"/>
                <w:szCs w:val="28"/>
              </w:rPr>
              <w:t>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674" w:type="dxa"/>
            <w:vMerge w:val="continue"/>
            <w:noWrap w:val="0"/>
            <w:vAlign w:val="center"/>
          </w:tcPr>
          <w:p>
            <w:pPr>
              <w:widowControl/>
              <w:spacing w:line="360" w:lineRule="exact"/>
              <w:jc w:val="center"/>
              <w:rPr>
                <w:color w:val="000000"/>
                <w:kern w:val="0"/>
                <w:sz w:val="28"/>
                <w:szCs w:val="28"/>
              </w:rPr>
            </w:pPr>
          </w:p>
        </w:tc>
        <w:tc>
          <w:tcPr>
            <w:tcW w:w="1890" w:type="dxa"/>
            <w:vMerge w:val="continue"/>
            <w:noWrap w:val="0"/>
            <w:vAlign w:val="center"/>
          </w:tcPr>
          <w:p>
            <w:pPr>
              <w:widowControl/>
              <w:spacing w:line="360" w:lineRule="exact"/>
              <w:jc w:val="center"/>
              <w:rPr>
                <w:color w:val="000000"/>
                <w:kern w:val="0"/>
                <w:sz w:val="28"/>
                <w:szCs w:val="28"/>
              </w:rPr>
            </w:pPr>
          </w:p>
        </w:tc>
        <w:tc>
          <w:tcPr>
            <w:tcW w:w="5489" w:type="dxa"/>
            <w:vMerge w:val="continue"/>
            <w:noWrap w:val="0"/>
            <w:vAlign w:val="top"/>
          </w:tcPr>
          <w:p>
            <w:pPr>
              <w:widowControl/>
              <w:tabs>
                <w:tab w:val="center" w:pos="2496"/>
              </w:tabs>
              <w:spacing w:line="360" w:lineRule="exact"/>
              <w:rPr>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674" w:type="dxa"/>
            <w:noWrap w:val="0"/>
            <w:vAlign w:val="center"/>
          </w:tcPr>
          <w:p>
            <w:pPr>
              <w:widowControl/>
              <w:spacing w:line="360" w:lineRule="exact"/>
              <w:jc w:val="center"/>
              <w:rPr>
                <w:rFonts w:eastAsia="方正仿宋_GBK"/>
                <w:color w:val="000000"/>
                <w:kern w:val="0"/>
                <w:sz w:val="28"/>
                <w:szCs w:val="28"/>
              </w:rPr>
            </w:pPr>
            <w:r>
              <w:rPr>
                <w:rFonts w:eastAsia="方正仿宋_GBK"/>
                <w:color w:val="000000"/>
                <w:kern w:val="0"/>
                <w:sz w:val="28"/>
                <w:szCs w:val="28"/>
              </w:rPr>
              <w:t>一类片区</w:t>
            </w:r>
          </w:p>
        </w:tc>
        <w:tc>
          <w:tcPr>
            <w:tcW w:w="1890" w:type="dxa"/>
            <w:noWrap w:val="0"/>
            <w:vAlign w:val="center"/>
          </w:tcPr>
          <w:p>
            <w:pPr>
              <w:widowControl/>
              <w:spacing w:line="360" w:lineRule="exact"/>
              <w:jc w:val="center"/>
              <w:rPr>
                <w:rFonts w:eastAsia="方正仿宋_GBK"/>
                <w:color w:val="000000"/>
                <w:kern w:val="0"/>
                <w:sz w:val="28"/>
                <w:szCs w:val="28"/>
              </w:rPr>
            </w:pPr>
            <w:r>
              <w:rPr>
                <w:rFonts w:eastAsia="方正仿宋_GBK"/>
                <w:color w:val="000000"/>
                <w:kern w:val="0"/>
                <w:sz w:val="28"/>
                <w:szCs w:val="28"/>
              </w:rPr>
              <w:t>4.79</w:t>
            </w:r>
          </w:p>
        </w:tc>
        <w:tc>
          <w:tcPr>
            <w:tcW w:w="5489" w:type="dxa"/>
            <w:noWrap w:val="0"/>
            <w:vAlign w:val="center"/>
          </w:tcPr>
          <w:p>
            <w:pPr>
              <w:widowControl/>
              <w:spacing w:line="360" w:lineRule="exact"/>
              <w:rPr>
                <w:rFonts w:eastAsia="方正仿宋_GBK"/>
                <w:color w:val="000000"/>
                <w:kern w:val="0"/>
                <w:sz w:val="28"/>
                <w:szCs w:val="28"/>
              </w:rPr>
            </w:pPr>
            <w:r>
              <w:rPr>
                <w:rFonts w:eastAsia="方正仿宋_GBK"/>
                <w:color w:val="000000"/>
                <w:sz w:val="28"/>
                <w:szCs w:val="28"/>
              </w:rPr>
              <w:t>汉葭街道、绍庆街道、靛水街道。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674" w:type="dxa"/>
            <w:noWrap w:val="0"/>
            <w:vAlign w:val="center"/>
          </w:tcPr>
          <w:p>
            <w:pPr>
              <w:widowControl/>
              <w:spacing w:line="360" w:lineRule="exact"/>
              <w:jc w:val="center"/>
              <w:rPr>
                <w:rFonts w:eastAsia="方正仿宋_GBK"/>
                <w:color w:val="000000"/>
                <w:kern w:val="0"/>
                <w:sz w:val="28"/>
                <w:szCs w:val="28"/>
              </w:rPr>
            </w:pPr>
            <w:r>
              <w:rPr>
                <w:rFonts w:eastAsia="方正仿宋_GBK"/>
                <w:color w:val="000000"/>
                <w:kern w:val="0"/>
                <w:sz w:val="28"/>
                <w:szCs w:val="28"/>
              </w:rPr>
              <w:t>二类片区</w:t>
            </w:r>
          </w:p>
        </w:tc>
        <w:tc>
          <w:tcPr>
            <w:tcW w:w="1890" w:type="dxa"/>
            <w:noWrap w:val="0"/>
            <w:vAlign w:val="center"/>
          </w:tcPr>
          <w:p>
            <w:pPr>
              <w:widowControl/>
              <w:spacing w:line="360" w:lineRule="exact"/>
              <w:jc w:val="center"/>
              <w:rPr>
                <w:rFonts w:eastAsia="方正仿宋_GBK"/>
                <w:color w:val="000000"/>
                <w:kern w:val="0"/>
                <w:sz w:val="28"/>
                <w:szCs w:val="28"/>
              </w:rPr>
            </w:pPr>
            <w:r>
              <w:rPr>
                <w:rFonts w:eastAsia="方正仿宋_GBK"/>
                <w:color w:val="000000"/>
                <w:kern w:val="0"/>
                <w:sz w:val="28"/>
                <w:szCs w:val="28"/>
              </w:rPr>
              <w:t>4.53</w:t>
            </w:r>
          </w:p>
        </w:tc>
        <w:tc>
          <w:tcPr>
            <w:tcW w:w="5489" w:type="dxa"/>
            <w:noWrap w:val="0"/>
            <w:vAlign w:val="top"/>
          </w:tcPr>
          <w:p>
            <w:pPr>
              <w:widowControl/>
              <w:spacing w:line="360" w:lineRule="exact"/>
              <w:jc w:val="left"/>
              <w:rPr>
                <w:rFonts w:eastAsia="方正仿宋_GBK"/>
                <w:color w:val="000000"/>
                <w:kern w:val="0"/>
                <w:sz w:val="28"/>
                <w:szCs w:val="28"/>
              </w:rPr>
            </w:pPr>
            <w:r>
              <w:rPr>
                <w:rFonts w:eastAsia="方正仿宋_GBK"/>
                <w:color w:val="000000"/>
                <w:sz w:val="28"/>
                <w:szCs w:val="28"/>
              </w:rPr>
              <w:t>保家镇、高谷镇、郁山镇、平安镇、龙射镇、  黄家镇、万足镇、新田镇、鹿角镇、连湖镇、  鞍子镇、普子镇、桑柘镇、润溪乡。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1674" w:type="dxa"/>
            <w:noWrap w:val="0"/>
            <w:vAlign w:val="center"/>
          </w:tcPr>
          <w:p>
            <w:pPr>
              <w:widowControl/>
              <w:spacing w:line="360" w:lineRule="exact"/>
              <w:jc w:val="center"/>
              <w:rPr>
                <w:rFonts w:eastAsia="方正仿宋_GBK"/>
                <w:kern w:val="0"/>
                <w:sz w:val="28"/>
                <w:szCs w:val="28"/>
              </w:rPr>
            </w:pPr>
            <w:r>
              <w:rPr>
                <w:rFonts w:eastAsia="方正仿宋_GBK"/>
                <w:kern w:val="0"/>
                <w:sz w:val="28"/>
                <w:szCs w:val="28"/>
              </w:rPr>
              <w:t>三类片区</w:t>
            </w:r>
          </w:p>
        </w:tc>
        <w:tc>
          <w:tcPr>
            <w:tcW w:w="1890" w:type="dxa"/>
            <w:noWrap w:val="0"/>
            <w:vAlign w:val="center"/>
          </w:tcPr>
          <w:p>
            <w:pPr>
              <w:widowControl/>
              <w:spacing w:line="360" w:lineRule="exact"/>
              <w:jc w:val="center"/>
              <w:rPr>
                <w:rFonts w:eastAsia="方正仿宋_GBK"/>
                <w:kern w:val="0"/>
                <w:sz w:val="28"/>
                <w:szCs w:val="28"/>
              </w:rPr>
            </w:pPr>
            <w:r>
              <w:rPr>
                <w:rFonts w:eastAsia="方正仿宋_GBK"/>
                <w:kern w:val="0"/>
                <w:sz w:val="28"/>
                <w:szCs w:val="28"/>
              </w:rPr>
              <w:t>4.25</w:t>
            </w:r>
          </w:p>
        </w:tc>
        <w:tc>
          <w:tcPr>
            <w:tcW w:w="5489" w:type="dxa"/>
            <w:noWrap w:val="0"/>
            <w:vAlign w:val="top"/>
          </w:tcPr>
          <w:p>
            <w:pPr>
              <w:widowControl/>
              <w:spacing w:line="360" w:lineRule="exact"/>
              <w:jc w:val="left"/>
              <w:rPr>
                <w:rFonts w:eastAsia="方正仿宋_GBK"/>
                <w:color w:val="000000"/>
                <w:sz w:val="28"/>
                <w:szCs w:val="28"/>
              </w:rPr>
            </w:pPr>
            <w:r>
              <w:rPr>
                <w:rFonts w:eastAsia="方正仿宋_GBK"/>
                <w:color w:val="000000"/>
                <w:sz w:val="28"/>
                <w:szCs w:val="28"/>
              </w:rPr>
              <w:t>三义乡、太原镇、棣棠乡、鹿鸣乡、芦塘乡、</w:t>
            </w:r>
          </w:p>
          <w:p>
            <w:pPr>
              <w:widowControl/>
              <w:spacing w:line="360" w:lineRule="exact"/>
              <w:jc w:val="left"/>
              <w:rPr>
                <w:rFonts w:eastAsia="方正仿宋_GBK"/>
                <w:color w:val="000000"/>
                <w:sz w:val="28"/>
                <w:szCs w:val="28"/>
              </w:rPr>
            </w:pPr>
            <w:r>
              <w:rPr>
                <w:rFonts w:eastAsia="方正仿宋_GBK"/>
                <w:color w:val="000000"/>
                <w:sz w:val="28"/>
                <w:szCs w:val="28"/>
              </w:rPr>
              <w:t>联合乡、石柳乡、龙溪镇、走马乡、长生镇、  大垭乡、龙塘乡、双龙乡、善感乡、乔梓乡、  诸佛乡、桐楼乡、大同镇、岩东乡、石盘乡、</w:t>
            </w:r>
          </w:p>
          <w:p>
            <w:pPr>
              <w:widowControl/>
              <w:spacing w:line="360" w:lineRule="exact"/>
              <w:jc w:val="left"/>
              <w:rPr>
                <w:rFonts w:eastAsia="方正仿宋_GBK"/>
                <w:kern w:val="0"/>
                <w:sz w:val="28"/>
                <w:szCs w:val="28"/>
              </w:rPr>
            </w:pPr>
            <w:r>
              <w:rPr>
                <w:rFonts w:eastAsia="方正仿宋_GBK"/>
                <w:color w:val="000000"/>
                <w:sz w:val="28"/>
                <w:szCs w:val="28"/>
              </w:rPr>
              <w:t>朗溪乡、梅子垭镇。</w:t>
            </w:r>
          </w:p>
        </w:tc>
      </w:tr>
    </w:tbl>
    <w:p/>
    <w:p>
      <w:pPr>
        <w:pStyle w:val="2"/>
        <w:widowControl w:val="0"/>
        <w:adjustRightInd/>
        <w:spacing w:line="56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r>
        <w:rPr>
          <w:rFonts w:ascii="Times New Roman" w:hAnsi="Times New Roman" w:eastAsia="方正黑体_GBK" w:cs="Times New Roman"/>
          <w:sz w:val="32"/>
          <w:szCs w:val="32"/>
        </w:rPr>
        <w:t>附件2</w:t>
      </w:r>
    </w:p>
    <w:p>
      <w:pPr>
        <w:pStyle w:val="2"/>
        <w:widowControl w:val="0"/>
        <w:adjustRightInd/>
        <w:spacing w:line="560" w:lineRule="exact"/>
        <w:rPr>
          <w:rFonts w:ascii="Times New Roman" w:hAnsi="Times New Roman" w:eastAsia="方正黑体_GBK" w:cs="Times New Roman"/>
          <w:sz w:val="32"/>
          <w:szCs w:val="32"/>
        </w:rPr>
      </w:pPr>
    </w:p>
    <w:p>
      <w:pPr>
        <w:widowControl/>
        <w:spacing w:line="560" w:lineRule="exact"/>
        <w:jc w:val="center"/>
        <w:rPr>
          <w:rFonts w:eastAsia="方正小标宋_GBK"/>
          <w:color w:val="000000"/>
          <w:sz w:val="44"/>
          <w:szCs w:val="44"/>
        </w:rPr>
      </w:pPr>
      <w:r>
        <w:rPr>
          <w:rFonts w:eastAsia="方正小标宋_GBK"/>
          <w:color w:val="000000"/>
          <w:sz w:val="44"/>
          <w:szCs w:val="44"/>
        </w:rPr>
        <w:t>彭水自治县农村房屋重置价格补偿标准</w:t>
      </w:r>
    </w:p>
    <w:p>
      <w:pPr>
        <w:widowControl/>
        <w:spacing w:line="560" w:lineRule="exact"/>
        <w:jc w:val="right"/>
        <w:rPr>
          <w:rFonts w:eastAsia="方正楷体_GBK"/>
          <w:color w:val="000000"/>
          <w:sz w:val="28"/>
          <w:szCs w:val="28"/>
        </w:rPr>
      </w:pPr>
      <w:r>
        <w:rPr>
          <w:rFonts w:eastAsia="方正楷体_GBK"/>
          <w:color w:val="000000"/>
          <w:sz w:val="28"/>
          <w:szCs w:val="28"/>
        </w:rPr>
        <w:t>单位：元/平方米</w:t>
      </w:r>
    </w:p>
    <w:tbl>
      <w:tblPr>
        <w:tblStyle w:val="11"/>
        <w:tblW w:w="0" w:type="auto"/>
        <w:tblInd w:w="0" w:type="dxa"/>
        <w:tblLayout w:type="fixed"/>
        <w:tblCellMar>
          <w:top w:w="0" w:type="dxa"/>
          <w:left w:w="0" w:type="dxa"/>
          <w:bottom w:w="0" w:type="dxa"/>
          <w:right w:w="0" w:type="dxa"/>
        </w:tblCellMar>
      </w:tblPr>
      <w:tblGrid>
        <w:gridCol w:w="2102"/>
        <w:gridCol w:w="4445"/>
        <w:gridCol w:w="2503"/>
      </w:tblGrid>
      <w:tr>
        <w:tblPrEx>
          <w:tblCellMar>
            <w:top w:w="0" w:type="dxa"/>
            <w:left w:w="0" w:type="dxa"/>
            <w:bottom w:w="0" w:type="dxa"/>
            <w:right w:w="0" w:type="dxa"/>
          </w:tblCellMar>
        </w:tblPrEx>
        <w:trPr>
          <w:cantSplit/>
          <w:trHeight w:val="740" w:hRule="atLeast"/>
        </w:trPr>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640" w:firstLineChars="200"/>
              <w:rPr>
                <w:rFonts w:eastAsia="方正黑体_GBK"/>
                <w:color w:val="000000"/>
                <w:szCs w:val="32"/>
              </w:rPr>
            </w:pPr>
            <w:r>
              <w:rPr>
                <w:rFonts w:eastAsia="方正黑体_GBK"/>
                <w:color w:val="000000"/>
                <w:szCs w:val="32"/>
              </w:rPr>
              <w:t>结构类别</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黑体_GBK"/>
                <w:color w:val="000000"/>
                <w:szCs w:val="32"/>
              </w:rPr>
            </w:pPr>
            <w:r>
              <w:rPr>
                <w:rFonts w:eastAsia="方正黑体_GBK"/>
                <w:color w:val="000000"/>
                <w:szCs w:val="32"/>
              </w:rPr>
              <w:t>房屋结构</w:t>
            </w:r>
          </w:p>
        </w:tc>
        <w:tc>
          <w:tcPr>
            <w:tcW w:w="2503" w:type="dxa"/>
            <w:tcBorders>
              <w:top w:val="single" w:color="auto" w:sz="4" w:space="0"/>
              <w:left w:val="nil"/>
              <w:bottom w:val="single" w:color="auto" w:sz="4" w:space="0"/>
              <w:right w:val="single" w:color="auto" w:sz="4" w:space="0"/>
            </w:tcBorders>
            <w:noWrap w:val="0"/>
            <w:vAlign w:val="center"/>
          </w:tcPr>
          <w:p>
            <w:pPr>
              <w:spacing w:line="400" w:lineRule="exact"/>
              <w:ind w:firstLine="960" w:firstLineChars="300"/>
              <w:rPr>
                <w:rFonts w:eastAsia="方正黑体_GBK"/>
                <w:szCs w:val="32"/>
              </w:rPr>
            </w:pPr>
            <w:r>
              <w:rPr>
                <w:rFonts w:eastAsia="方正黑体_GBK"/>
                <w:szCs w:val="32"/>
              </w:rPr>
              <w:t>标 准</w:t>
            </w:r>
          </w:p>
        </w:tc>
      </w:tr>
      <w:tr>
        <w:tblPrEx>
          <w:tblCellMar>
            <w:top w:w="0" w:type="dxa"/>
            <w:left w:w="0" w:type="dxa"/>
            <w:bottom w:w="0" w:type="dxa"/>
            <w:right w:w="0" w:type="dxa"/>
          </w:tblCellMar>
        </w:tblPrEx>
        <w:trPr>
          <w:trHeight w:val="567" w:hRule="atLeast"/>
        </w:trPr>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钢砼结构</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框架（剪力墙）现浇盖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1050</w:t>
            </w:r>
          </w:p>
        </w:tc>
      </w:tr>
      <w:tr>
        <w:tblPrEx>
          <w:tblCellMar>
            <w:top w:w="0" w:type="dxa"/>
            <w:left w:w="0" w:type="dxa"/>
            <w:bottom w:w="0" w:type="dxa"/>
            <w:right w:w="0" w:type="dxa"/>
          </w:tblCellMar>
        </w:tblPrEx>
        <w:trPr>
          <w:trHeight w:val="567" w:hRule="atLeast"/>
        </w:trPr>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砖混结构</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砖墙（条石）预制盖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850</w:t>
            </w:r>
          </w:p>
        </w:tc>
      </w:tr>
      <w:tr>
        <w:tblPrEx>
          <w:tblCellMar>
            <w:top w:w="0" w:type="dxa"/>
            <w:left w:w="0" w:type="dxa"/>
            <w:bottom w:w="0" w:type="dxa"/>
            <w:right w:w="0" w:type="dxa"/>
          </w:tblCellMar>
        </w:tblPrEx>
        <w:trPr>
          <w:trHeight w:val="567" w:hRule="atLeast"/>
        </w:trPr>
        <w:tc>
          <w:tcPr>
            <w:tcW w:w="2102"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砖木结构</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砖墙（木板）穿逗瓦盖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700</w:t>
            </w:r>
          </w:p>
        </w:tc>
      </w:tr>
      <w:tr>
        <w:tblPrEx>
          <w:tblCellMar>
            <w:top w:w="0" w:type="dxa"/>
            <w:left w:w="0" w:type="dxa"/>
            <w:bottom w:w="0" w:type="dxa"/>
            <w:right w:w="0" w:type="dxa"/>
          </w:tblCellMar>
        </w:tblPrEx>
        <w:trPr>
          <w:trHeight w:val="567" w:hRule="atLeast"/>
        </w:trPr>
        <w:tc>
          <w:tcPr>
            <w:tcW w:w="210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eastAsia="方正仿宋_GBK"/>
                <w:color w:val="000000"/>
                <w:sz w:val="28"/>
                <w:szCs w:val="28"/>
              </w:rPr>
            </w:pP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砖墙（片石）瓦盖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680</w:t>
            </w:r>
          </w:p>
        </w:tc>
      </w:tr>
      <w:tr>
        <w:tblPrEx>
          <w:tblCellMar>
            <w:top w:w="0" w:type="dxa"/>
            <w:left w:w="0" w:type="dxa"/>
            <w:bottom w:w="0" w:type="dxa"/>
            <w:right w:w="0" w:type="dxa"/>
          </w:tblCellMar>
        </w:tblPrEx>
        <w:trPr>
          <w:trHeight w:val="567" w:hRule="atLeast"/>
        </w:trPr>
        <w:tc>
          <w:tcPr>
            <w:tcW w:w="210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eastAsia="方正仿宋_GBK"/>
                <w:color w:val="000000"/>
                <w:sz w:val="28"/>
                <w:szCs w:val="28"/>
              </w:rPr>
            </w:pP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砖墙石棉瓦盖</w:t>
            </w:r>
          </w:p>
          <w:p>
            <w:pPr>
              <w:widowControl/>
              <w:spacing w:line="400" w:lineRule="exact"/>
              <w:jc w:val="center"/>
              <w:rPr>
                <w:rFonts w:eastAsia="方正仿宋_GBK"/>
                <w:color w:val="000000"/>
                <w:sz w:val="28"/>
                <w:szCs w:val="28"/>
              </w:rPr>
            </w:pPr>
            <w:r>
              <w:rPr>
                <w:rFonts w:eastAsia="方正仿宋_GBK"/>
                <w:color w:val="000000"/>
                <w:sz w:val="28"/>
                <w:szCs w:val="28"/>
              </w:rPr>
              <w:t>（含油毡、玻纤瓦、彩钢瓦）</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580</w:t>
            </w:r>
          </w:p>
        </w:tc>
      </w:tr>
      <w:tr>
        <w:tblPrEx>
          <w:tblCellMar>
            <w:top w:w="0" w:type="dxa"/>
            <w:left w:w="0" w:type="dxa"/>
            <w:bottom w:w="0" w:type="dxa"/>
            <w:right w:w="0" w:type="dxa"/>
          </w:tblCellMar>
        </w:tblPrEx>
        <w:trPr>
          <w:trHeight w:val="567" w:hRule="atLeast"/>
        </w:trPr>
        <w:tc>
          <w:tcPr>
            <w:tcW w:w="2102"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土墙结构</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土墙瓦盖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420</w:t>
            </w:r>
          </w:p>
        </w:tc>
      </w:tr>
      <w:tr>
        <w:tblPrEx>
          <w:tblCellMar>
            <w:top w:w="0" w:type="dxa"/>
            <w:left w:w="0" w:type="dxa"/>
            <w:bottom w:w="0" w:type="dxa"/>
            <w:right w:w="0" w:type="dxa"/>
          </w:tblCellMar>
        </w:tblPrEx>
        <w:trPr>
          <w:trHeight w:val="567" w:hRule="atLeast"/>
        </w:trPr>
        <w:tc>
          <w:tcPr>
            <w:tcW w:w="210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eastAsia="方正仿宋_GBK"/>
                <w:color w:val="000000"/>
                <w:sz w:val="28"/>
                <w:szCs w:val="28"/>
              </w:rPr>
            </w:pP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石棉瓦、玻纤瓦盖</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350</w:t>
            </w:r>
          </w:p>
        </w:tc>
      </w:tr>
      <w:tr>
        <w:tblPrEx>
          <w:tblCellMar>
            <w:top w:w="0" w:type="dxa"/>
            <w:left w:w="0" w:type="dxa"/>
            <w:bottom w:w="0" w:type="dxa"/>
            <w:right w:w="0" w:type="dxa"/>
          </w:tblCellMar>
        </w:tblPrEx>
        <w:trPr>
          <w:trHeight w:val="840" w:hRule="atLeast"/>
        </w:trPr>
        <w:tc>
          <w:tcPr>
            <w:tcW w:w="2102"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简易结构</w:t>
            </w: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砖柱（石柱、木柱、钢柱）</w:t>
            </w:r>
          </w:p>
          <w:p>
            <w:pPr>
              <w:widowControl/>
              <w:spacing w:line="400" w:lineRule="exact"/>
              <w:jc w:val="center"/>
              <w:rPr>
                <w:rFonts w:eastAsia="方正仿宋_GBK"/>
                <w:color w:val="000000"/>
                <w:sz w:val="28"/>
                <w:szCs w:val="28"/>
              </w:rPr>
            </w:pPr>
            <w:r>
              <w:rPr>
                <w:rFonts w:eastAsia="方正仿宋_GBK"/>
                <w:color w:val="000000"/>
                <w:sz w:val="28"/>
                <w:szCs w:val="28"/>
              </w:rPr>
              <w:t>石棉瓦盖（油毡、玻纤瓦、彩钢瓦）</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200</w:t>
            </w:r>
          </w:p>
        </w:tc>
      </w:tr>
      <w:tr>
        <w:tblPrEx>
          <w:tblCellMar>
            <w:top w:w="0" w:type="dxa"/>
            <w:left w:w="0" w:type="dxa"/>
            <w:bottom w:w="0" w:type="dxa"/>
            <w:right w:w="0" w:type="dxa"/>
          </w:tblCellMar>
        </w:tblPrEx>
        <w:trPr>
          <w:trHeight w:val="567" w:hRule="atLeast"/>
        </w:trPr>
        <w:tc>
          <w:tcPr>
            <w:tcW w:w="2102"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eastAsia="方正仿宋_GBK"/>
                <w:color w:val="000000"/>
                <w:sz w:val="28"/>
                <w:szCs w:val="28"/>
              </w:rPr>
            </w:pPr>
          </w:p>
        </w:tc>
        <w:tc>
          <w:tcPr>
            <w:tcW w:w="444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简易棚房</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eastAsia="方正仿宋_GBK"/>
                <w:color w:val="000000"/>
                <w:sz w:val="28"/>
                <w:szCs w:val="28"/>
              </w:rPr>
            </w:pPr>
            <w:r>
              <w:rPr>
                <w:rFonts w:eastAsia="方正仿宋_GBK"/>
                <w:color w:val="000000"/>
                <w:sz w:val="28"/>
                <w:szCs w:val="28"/>
              </w:rPr>
              <w:t>160</w:t>
            </w:r>
          </w:p>
        </w:tc>
      </w:tr>
    </w:tbl>
    <w:p>
      <w:pPr>
        <w:widowControl/>
        <w:spacing w:line="400" w:lineRule="exact"/>
        <w:rPr>
          <w:rFonts w:eastAsia="方正仿宋_GBK"/>
          <w:color w:val="000000"/>
          <w:kern w:val="0"/>
          <w:sz w:val="28"/>
          <w:szCs w:val="28"/>
        </w:rPr>
      </w:pPr>
      <w:r>
        <w:rPr>
          <w:rFonts w:hint="eastAsia" w:ascii="方正黑体_GBK" w:hAnsi="方正黑体_GBK" w:eastAsia="方正黑体_GBK" w:cs="方正黑体_GBK"/>
          <w:color w:val="000000"/>
          <w:kern w:val="0"/>
          <w:sz w:val="28"/>
          <w:szCs w:val="28"/>
        </w:rPr>
        <w:t>说明</w:t>
      </w:r>
      <w:r>
        <w:rPr>
          <w:rFonts w:eastAsia="方正仿宋_GBK"/>
          <w:color w:val="000000"/>
          <w:kern w:val="0"/>
          <w:sz w:val="28"/>
          <w:szCs w:val="28"/>
        </w:rPr>
        <w:t>：1</w:t>
      </w:r>
      <w:r>
        <w:rPr>
          <w:rFonts w:eastAsia="方正仿宋_GBK"/>
          <w:kern w:val="0"/>
          <w:sz w:val="28"/>
          <w:szCs w:val="28"/>
        </w:rPr>
        <w:t xml:space="preserve">. </w:t>
      </w:r>
      <w:r>
        <w:rPr>
          <w:rFonts w:eastAsia="方正仿宋_GBK"/>
          <w:color w:val="000000"/>
          <w:kern w:val="0"/>
          <w:sz w:val="28"/>
          <w:szCs w:val="28"/>
        </w:rPr>
        <w:t>房屋层高在2.2米以下（不含2.2米），1.5米以上（含1.5米）</w:t>
      </w:r>
    </w:p>
    <w:p>
      <w:pPr>
        <w:widowControl/>
        <w:spacing w:line="400" w:lineRule="exact"/>
        <w:ind w:firstLine="1120" w:firstLineChars="400"/>
        <w:rPr>
          <w:rFonts w:eastAsia="方正仿宋_GBK"/>
          <w:color w:val="000000"/>
          <w:kern w:val="0"/>
          <w:sz w:val="28"/>
          <w:szCs w:val="28"/>
        </w:rPr>
      </w:pPr>
      <w:r>
        <w:rPr>
          <w:rFonts w:eastAsia="方正仿宋_GBK"/>
          <w:color w:val="000000"/>
          <w:kern w:val="0"/>
          <w:sz w:val="28"/>
          <w:szCs w:val="28"/>
        </w:rPr>
        <w:t>的，按同类房屋面积的70%计算补偿。</w:t>
      </w:r>
    </w:p>
    <w:p>
      <w:pPr>
        <w:widowControl/>
        <w:spacing w:line="400" w:lineRule="exact"/>
        <w:ind w:firstLine="840" w:firstLineChars="300"/>
        <w:jc w:val="left"/>
        <w:rPr>
          <w:rFonts w:eastAsia="方正仿宋_GBK"/>
          <w:color w:val="000000"/>
          <w:kern w:val="0"/>
          <w:sz w:val="28"/>
          <w:szCs w:val="28"/>
        </w:rPr>
      </w:pPr>
      <w:r>
        <w:rPr>
          <w:rFonts w:eastAsia="方正仿宋_GBK"/>
          <w:color w:val="000000"/>
          <w:kern w:val="0"/>
          <w:sz w:val="28"/>
          <w:szCs w:val="28"/>
        </w:rPr>
        <w:t>2</w:t>
      </w:r>
      <w:r>
        <w:rPr>
          <w:rFonts w:eastAsia="方正仿宋_GBK"/>
          <w:kern w:val="0"/>
          <w:sz w:val="28"/>
          <w:szCs w:val="28"/>
        </w:rPr>
        <w:t xml:space="preserve">. </w:t>
      </w:r>
      <w:r>
        <w:rPr>
          <w:rFonts w:eastAsia="方正仿宋_GBK"/>
          <w:color w:val="000000"/>
          <w:kern w:val="0"/>
          <w:sz w:val="28"/>
          <w:szCs w:val="28"/>
        </w:rPr>
        <w:t>房屋层高在1.5米以下（不含1.5米），1米以上（含1米）的，</w:t>
      </w:r>
    </w:p>
    <w:p>
      <w:pPr>
        <w:widowControl/>
        <w:spacing w:line="400" w:lineRule="exact"/>
        <w:ind w:firstLine="1120" w:firstLineChars="400"/>
        <w:jc w:val="left"/>
        <w:rPr>
          <w:rFonts w:eastAsia="方正仿宋_GBK"/>
          <w:color w:val="000000"/>
          <w:kern w:val="0"/>
          <w:sz w:val="28"/>
          <w:szCs w:val="28"/>
        </w:rPr>
      </w:pPr>
      <w:r>
        <w:rPr>
          <w:rFonts w:eastAsia="方正仿宋_GBK"/>
          <w:color w:val="000000"/>
          <w:kern w:val="0"/>
          <w:sz w:val="28"/>
          <w:szCs w:val="28"/>
        </w:rPr>
        <w:t>按同类房屋面积的50%计算补偿。</w:t>
      </w:r>
    </w:p>
    <w:p>
      <w:pPr>
        <w:spacing w:line="400" w:lineRule="exact"/>
        <w:ind w:firstLine="840" w:firstLineChars="300"/>
        <w:jc w:val="left"/>
        <w:rPr>
          <w:rFonts w:eastAsia="方正仿宋_GBK"/>
          <w:color w:val="000000"/>
          <w:kern w:val="0"/>
          <w:sz w:val="28"/>
          <w:szCs w:val="28"/>
        </w:rPr>
      </w:pPr>
      <w:r>
        <w:rPr>
          <w:rFonts w:eastAsia="方正仿宋_GBK"/>
          <w:color w:val="000000"/>
          <w:kern w:val="0"/>
          <w:sz w:val="28"/>
          <w:szCs w:val="28"/>
        </w:rPr>
        <w:t>3</w:t>
      </w:r>
      <w:r>
        <w:rPr>
          <w:rFonts w:eastAsia="方正仿宋_GBK"/>
          <w:kern w:val="0"/>
          <w:sz w:val="28"/>
          <w:szCs w:val="28"/>
        </w:rPr>
        <w:t xml:space="preserve">. </w:t>
      </w:r>
      <w:r>
        <w:rPr>
          <w:rFonts w:eastAsia="方正仿宋_GBK"/>
          <w:color w:val="000000"/>
          <w:kern w:val="0"/>
          <w:sz w:val="28"/>
          <w:szCs w:val="28"/>
        </w:rPr>
        <w:t>房屋层高在1米以下（不含1米）的，按同类房屋面积的20%</w:t>
      </w:r>
    </w:p>
    <w:p>
      <w:pPr>
        <w:spacing w:line="400" w:lineRule="exact"/>
        <w:ind w:firstLine="1120" w:firstLineChars="400"/>
        <w:jc w:val="left"/>
        <w:rPr>
          <w:rFonts w:eastAsia="方正仿宋_GBK"/>
          <w:color w:val="000000"/>
          <w:kern w:val="0"/>
          <w:sz w:val="28"/>
          <w:szCs w:val="28"/>
        </w:rPr>
      </w:pPr>
      <w:r>
        <w:rPr>
          <w:rFonts w:eastAsia="方正仿宋_GBK"/>
          <w:color w:val="000000"/>
          <w:kern w:val="0"/>
          <w:sz w:val="28"/>
          <w:szCs w:val="28"/>
        </w:rPr>
        <w:t>计算补偿。</w:t>
      </w:r>
    </w:p>
    <w:p>
      <w:pPr>
        <w:spacing w:line="400" w:lineRule="exact"/>
        <w:ind w:firstLine="840" w:firstLineChars="300"/>
        <w:jc w:val="left"/>
        <w:rPr>
          <w:rFonts w:eastAsia="方正仿宋_GBK"/>
          <w:color w:val="000000"/>
          <w:kern w:val="0"/>
          <w:sz w:val="28"/>
          <w:szCs w:val="28"/>
        </w:rPr>
      </w:pPr>
      <w:r>
        <w:rPr>
          <w:rFonts w:eastAsia="方正仿宋_GBK"/>
          <w:color w:val="000000"/>
          <w:kern w:val="0"/>
          <w:sz w:val="28"/>
          <w:szCs w:val="28"/>
        </w:rPr>
        <w:t>4</w:t>
      </w:r>
      <w:r>
        <w:rPr>
          <w:rFonts w:eastAsia="方正仿宋_GBK"/>
          <w:kern w:val="0"/>
          <w:sz w:val="28"/>
          <w:szCs w:val="28"/>
        </w:rPr>
        <w:t xml:space="preserve">. </w:t>
      </w:r>
      <w:r>
        <w:rPr>
          <w:rFonts w:eastAsia="方正仿宋_GBK"/>
          <w:color w:val="000000"/>
          <w:kern w:val="0"/>
          <w:sz w:val="28"/>
          <w:szCs w:val="28"/>
        </w:rPr>
        <w:t>外阳台、屋檐按同类房屋的50%计算。</w:t>
      </w:r>
    </w:p>
    <w:p>
      <w:pPr>
        <w:spacing w:line="400" w:lineRule="exact"/>
        <w:ind w:firstLine="840" w:firstLineChars="300"/>
        <w:jc w:val="left"/>
        <w:rPr>
          <w:rFonts w:eastAsia="方正仿宋_GBK"/>
          <w:color w:val="000000"/>
          <w:kern w:val="0"/>
          <w:sz w:val="28"/>
          <w:szCs w:val="28"/>
        </w:rPr>
      </w:pPr>
      <w:r>
        <w:rPr>
          <w:rFonts w:eastAsia="方正仿宋_GBK"/>
          <w:color w:val="000000"/>
          <w:kern w:val="0"/>
          <w:sz w:val="28"/>
          <w:szCs w:val="28"/>
        </w:rPr>
        <w:t>5</w:t>
      </w:r>
      <w:r>
        <w:rPr>
          <w:rFonts w:eastAsia="方正仿宋_GBK"/>
          <w:kern w:val="0"/>
          <w:sz w:val="28"/>
          <w:szCs w:val="28"/>
        </w:rPr>
        <w:t xml:space="preserve">. </w:t>
      </w:r>
      <w:r>
        <w:rPr>
          <w:rFonts w:eastAsia="方正仿宋_GBK"/>
          <w:color w:val="000000"/>
          <w:kern w:val="0"/>
          <w:sz w:val="28"/>
          <w:szCs w:val="28"/>
        </w:rPr>
        <w:t>房屋面积以外墙尺寸计算。</w:t>
      </w:r>
    </w:p>
    <w:p>
      <w:pPr>
        <w:spacing w:line="600" w:lineRule="exact"/>
        <w:jc w:val="left"/>
        <w:rPr>
          <w:rFonts w:eastAsia="方正黑体_GBK"/>
          <w:szCs w:val="32"/>
        </w:rPr>
      </w:pPr>
      <w:r>
        <w:rPr>
          <w:rFonts w:eastAsia="方正仿宋_GBK"/>
          <w:color w:val="000000"/>
          <w:sz w:val="28"/>
          <w:szCs w:val="28"/>
        </w:rPr>
        <w:br w:type="page"/>
      </w:r>
      <w:r>
        <w:rPr>
          <w:rFonts w:eastAsia="方正黑体_GBK"/>
          <w:szCs w:val="32"/>
        </w:rPr>
        <w:t>附件3</w:t>
      </w:r>
    </w:p>
    <w:p>
      <w:pPr>
        <w:pStyle w:val="2"/>
        <w:adjustRightInd/>
        <w:spacing w:line="600" w:lineRule="exact"/>
        <w:rPr>
          <w:rFonts w:ascii="Times New Roman" w:hAnsi="Times New Roman" w:cs="Times New Roman"/>
        </w:rPr>
      </w:pPr>
    </w:p>
    <w:p>
      <w:pPr>
        <w:spacing w:line="60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彭水自治县农村房屋装饰装修补助标准</w:t>
      </w:r>
    </w:p>
    <w:p>
      <w:pPr>
        <w:pStyle w:val="2"/>
        <w:jc w:val="right"/>
        <w:rPr>
          <w:rFonts w:ascii="Times New Roman" w:hAnsi="Times New Roman" w:eastAsia="方正楷体_GBK" w:cs="Times New Roman"/>
          <w:sz w:val="28"/>
          <w:szCs w:val="28"/>
        </w:rPr>
      </w:pPr>
      <w:r>
        <w:rPr>
          <w:rFonts w:ascii="Times New Roman" w:hAnsi="Times New Roman" w:eastAsia="方正楷体_GBK" w:cs="Times New Roman"/>
          <w:snapToGrid w:val="0"/>
          <w:sz w:val="28"/>
          <w:szCs w:val="28"/>
        </w:rPr>
        <w:t>单位：元</w:t>
      </w:r>
    </w:p>
    <w:tbl>
      <w:tblPr>
        <w:tblStyle w:val="1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2782"/>
        <w:gridCol w:w="928"/>
        <w:gridCol w:w="1104"/>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rPr>
            </w:pPr>
            <w:r>
              <w:rPr>
                <w:rFonts w:eastAsia="方正黑体_GBK"/>
                <w:color w:val="000000"/>
                <w:kern w:val="0"/>
                <w:sz w:val="24"/>
                <w:szCs w:val="24"/>
                <w:lang w:bidi="ar"/>
              </w:rPr>
              <w:t>名   称</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rPr>
            </w:pPr>
            <w:r>
              <w:rPr>
                <w:rFonts w:eastAsia="方正黑体_GBK"/>
                <w:color w:val="000000"/>
                <w:kern w:val="0"/>
                <w:sz w:val="24"/>
                <w:szCs w:val="24"/>
                <w:lang w:bidi="ar"/>
              </w:rPr>
              <w:t>结构及规格</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rPr>
            </w:pPr>
            <w:r>
              <w:rPr>
                <w:rFonts w:eastAsia="方正黑体_GBK"/>
                <w:color w:val="000000"/>
                <w:kern w:val="0"/>
                <w:sz w:val="24"/>
                <w:szCs w:val="24"/>
                <w:lang w:bidi="ar"/>
              </w:rPr>
              <w:t>单位</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rPr>
            </w:pPr>
            <w:r>
              <w:rPr>
                <w:rFonts w:eastAsia="方正黑体_GBK"/>
                <w:color w:val="000000"/>
                <w:kern w:val="0"/>
                <w:sz w:val="24"/>
                <w:szCs w:val="24"/>
                <w:lang w:bidi="ar"/>
              </w:rPr>
              <w:t>单价(元)</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rPr>
            </w:pPr>
            <w:r>
              <w:rPr>
                <w:rFonts w:eastAsia="方正黑体_GBK"/>
                <w:color w:val="000000"/>
                <w:kern w:val="0"/>
                <w:sz w:val="24"/>
                <w:szCs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房屋屋基平整费</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钢砼、砖混</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320</w:t>
            </w:r>
          </w:p>
        </w:tc>
        <w:tc>
          <w:tcPr>
            <w:tcW w:w="21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砖木、土墙</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200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简易</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130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残值堆放</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25</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以建筑面积为准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墙面装饰</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水涂料（干粉、钢化）</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10</w:t>
            </w:r>
          </w:p>
        </w:tc>
        <w:tc>
          <w:tcPr>
            <w:tcW w:w="21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乳胶漆</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贴板、墙纸（布）</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硅藻泥、艺术漆</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内粉</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25</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外粉</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内、外墙砖</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外墙漆</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70</w:t>
            </w:r>
          </w:p>
        </w:tc>
        <w:tc>
          <w:tcPr>
            <w:tcW w:w="216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门    窗</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套装门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890</w:t>
            </w:r>
          </w:p>
        </w:tc>
        <w:tc>
          <w:tcPr>
            <w:tcW w:w="2162"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rPr>
            </w:pPr>
            <w:r>
              <w:rPr>
                <w:rFonts w:eastAsia="方正仿宋_GBK"/>
                <w:color w:val="000000"/>
                <w:kern w:val="0"/>
                <w:sz w:val="24"/>
                <w:szCs w:val="24"/>
                <w:lang w:bidi="ar"/>
              </w:rPr>
              <w:t>简易木门、木窗不予补偿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防盗门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1020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塑钢门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380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木  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扇</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400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钛（镁）合金门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800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不锈钢门（玻璃滑门）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190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钢管铁门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150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铝合金窗（塑钢窗）</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230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卷帘门</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180</w:t>
            </w:r>
          </w:p>
        </w:tc>
        <w:tc>
          <w:tcPr>
            <w:tcW w:w="2162"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48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木条窗、钢条窗</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100</w:t>
            </w:r>
          </w:p>
        </w:tc>
        <w:tc>
          <w:tcPr>
            <w:tcW w:w="2162"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栏杆</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不锈钢</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130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木结构</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墙体吊柜、橱柜</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木质、瓷砖</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580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硫璃瓦</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嵌入式衣柜</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580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马桶</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陶瓷</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便盆（面盒）</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陶瓷</w:t>
            </w:r>
          </w:p>
        </w:tc>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煮酒灶</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2600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废弃的不予补偿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r>
              <w:rPr>
                <w:rFonts w:eastAsia="方正仿宋_GBK"/>
                <w:color w:val="000000"/>
                <w:kern w:val="0"/>
                <w:sz w:val="24"/>
                <w:szCs w:val="24"/>
              </w:rPr>
              <w:t>组合灶</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瓷砖、大理石</w:t>
            </w:r>
          </w:p>
        </w:tc>
        <w:tc>
          <w:tcPr>
            <w:tcW w:w="928" w:type="dxa"/>
            <w:tcBorders>
              <w:left w:val="single" w:color="auto" w:sz="4" w:space="0"/>
              <w:right w:val="single" w:color="auto" w:sz="4" w:space="0"/>
            </w:tcBorders>
            <w:noWrap w:val="0"/>
            <w:vAlign w:val="center"/>
          </w:tcPr>
          <w:p>
            <w:pPr>
              <w:spacing w:line="400" w:lineRule="exact"/>
              <w:ind w:firstLine="240" w:firstLineChars="100"/>
              <w:jc w:val="center"/>
              <w:rPr>
                <w:rFonts w:eastAsia="方正仿宋_GBK"/>
                <w:color w:val="000000"/>
                <w:kern w:val="0"/>
                <w:sz w:val="24"/>
                <w:szCs w:val="24"/>
              </w:rPr>
            </w:pPr>
            <w:r>
              <w:rPr>
                <w:rFonts w:eastAsia="方正仿宋_GBK"/>
                <w:color w:val="000000"/>
                <w:kern w:val="0"/>
                <w:sz w:val="24"/>
                <w:szCs w:val="24"/>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600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r>
              <w:rPr>
                <w:rFonts w:eastAsia="方正仿宋_GBK"/>
                <w:color w:val="000000"/>
                <w:kern w:val="0"/>
                <w:sz w:val="24"/>
                <w:szCs w:val="24"/>
              </w:rPr>
              <w:t>灶 台</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单眼灶</w:t>
            </w:r>
          </w:p>
        </w:tc>
        <w:tc>
          <w:tcPr>
            <w:tcW w:w="928" w:type="dxa"/>
            <w:vMerge w:val="restart"/>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580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双眼灶</w:t>
            </w:r>
          </w:p>
        </w:tc>
        <w:tc>
          <w:tcPr>
            <w:tcW w:w="928"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960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rPr>
              <w:t>室内地面装饰</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水磨地板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强化木地板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实木木地板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100×100地砖</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80×80地砖</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130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60×60地砖</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70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锣马柱</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水泥、木质</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室内装饰吊顶</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木层板或石膏板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铝扣板、塑料扣板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130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石膏线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15</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石沙、片石</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立方米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25</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（未使用）搬迁费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水泥砖、砂砖</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rPr>
              <w:t>匹</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0.4</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（未使用成品砖）搬迁费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钢管（高压管）</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18</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排污管</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塑料、水泥</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洗衣台</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水泥、瓷砖</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380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大理石</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640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水缸</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水泥（石板）</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瓷砖</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个</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450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防盗网（窗）</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不锈钢</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spacing w:line="400" w:lineRule="exact"/>
              <w:jc w:val="center"/>
              <w:rPr>
                <w:rFonts w:eastAsia="方正仿宋_GBK"/>
                <w:color w:val="000000"/>
                <w:kern w:val="0"/>
                <w:sz w:val="24"/>
                <w:szCs w:val="24"/>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rPr>
              <w:t>铝合金</w:t>
            </w: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120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闭路电视</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r>
              <w:rPr>
                <w:rFonts w:eastAsia="方正仿宋_GBK"/>
                <w:color w:val="000000"/>
                <w:kern w:val="0"/>
                <w:sz w:val="24"/>
                <w:szCs w:val="24"/>
                <w:lang w:bidi="ar"/>
              </w:rPr>
              <w:t>电话（含宽带）</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260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座机电话搬迁费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r>
              <w:rPr>
                <w:rFonts w:eastAsia="方正仿宋_GBK"/>
                <w:color w:val="000000"/>
                <w:kern w:val="0"/>
                <w:sz w:val="24"/>
                <w:szCs w:val="24"/>
                <w:lang w:bidi="ar"/>
              </w:rPr>
              <w:t>水户头</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510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天然气</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120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r>
              <w:rPr>
                <w:rFonts w:eastAsia="方正仿宋_GBK"/>
                <w:color w:val="000000"/>
                <w:kern w:val="0"/>
                <w:sz w:val="24"/>
                <w:szCs w:val="24"/>
                <w:lang w:bidi="ar"/>
              </w:rPr>
              <w:t>动力电户头</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3200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r>
              <w:rPr>
                <w:rFonts w:eastAsia="方正仿宋_GBK"/>
                <w:color w:val="000000"/>
                <w:kern w:val="0"/>
                <w:sz w:val="24"/>
                <w:szCs w:val="24"/>
                <w:lang w:bidi="ar"/>
              </w:rPr>
              <w:t>民用电户头</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户</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850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柜式空调</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firstLine="240" w:firstLineChars="100"/>
              <w:jc w:val="center"/>
              <w:rPr>
                <w:rFonts w:eastAsia="方正仿宋_GBK"/>
                <w:color w:val="000000"/>
                <w:kern w:val="0"/>
                <w:sz w:val="24"/>
                <w:szCs w:val="24"/>
                <w:lang w:bidi="ar"/>
              </w:rPr>
            </w:pPr>
            <w:r>
              <w:rPr>
                <w:rFonts w:eastAsia="方正仿宋_GBK"/>
                <w:color w:val="000000"/>
                <w:kern w:val="0"/>
                <w:sz w:val="24"/>
                <w:szCs w:val="24"/>
                <w:lang w:bidi="ar"/>
              </w:rPr>
              <w:t>400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挂式空调</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台</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sz w:val="24"/>
                <w:szCs w:val="24"/>
              </w:rPr>
            </w:pPr>
            <w:r>
              <w:rPr>
                <w:rFonts w:eastAsia="方正仿宋_GBK"/>
                <w:color w:val="000000"/>
                <w:kern w:val="0"/>
                <w:sz w:val="24"/>
                <w:szCs w:val="24"/>
                <w:lang w:bidi="ar"/>
              </w:rPr>
              <w:t>太阳能热水器</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p>
        </w:tc>
        <w:tc>
          <w:tcPr>
            <w:tcW w:w="92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套</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250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rPr>
            </w:pPr>
            <w:r>
              <w:rPr>
                <w:rFonts w:eastAsia="方正仿宋_GBK"/>
                <w:color w:val="000000"/>
                <w:kern w:val="0"/>
                <w:sz w:val="24"/>
                <w:szCs w:val="24"/>
                <w:lang w:bidi="ar"/>
              </w:rPr>
              <w:t>搬迁费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电视墙</w:t>
            </w: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石膏</w:t>
            </w:r>
          </w:p>
        </w:tc>
        <w:tc>
          <w:tcPr>
            <w:tcW w:w="92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平方米</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300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木质</w:t>
            </w:r>
          </w:p>
        </w:tc>
        <w:tc>
          <w:tcPr>
            <w:tcW w:w="92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350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瓷砖</w:t>
            </w:r>
          </w:p>
        </w:tc>
        <w:tc>
          <w:tcPr>
            <w:tcW w:w="92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600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483"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27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大理石</w:t>
            </w:r>
          </w:p>
        </w:tc>
        <w:tc>
          <w:tcPr>
            <w:tcW w:w="92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1400</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r>
    </w:tbl>
    <w:p>
      <w:pPr>
        <w:rPr>
          <w:szCs w:val="32"/>
        </w:rPr>
      </w:pPr>
      <w:r>
        <w:rPr>
          <w:rFonts w:eastAsia="方正黑体_GBK"/>
          <w:color w:val="000000"/>
          <w:kern w:val="0"/>
        </w:rPr>
        <w:br w:type="page"/>
      </w:r>
      <w:r>
        <w:rPr>
          <w:rFonts w:eastAsia="方正黑体_GBK"/>
          <w:color w:val="000000"/>
          <w:kern w:val="0"/>
          <w:szCs w:val="32"/>
        </w:rPr>
        <w:t>附件</w:t>
      </w:r>
      <w:r>
        <w:rPr>
          <w:szCs w:val="32"/>
        </w:rPr>
        <w:t>4</w:t>
      </w:r>
    </w:p>
    <w:p>
      <w:pPr>
        <w:pStyle w:val="2"/>
        <w:rPr>
          <w:rFonts w:ascii="Times New Roman" w:hAnsi="Times New Roman" w:cs="Times New Roman"/>
        </w:rPr>
      </w:pPr>
    </w:p>
    <w:p>
      <w:pPr>
        <w:spacing w:line="600" w:lineRule="exact"/>
        <w:jc w:val="center"/>
        <w:rPr>
          <w:rFonts w:eastAsia="方正小标宋_GBK"/>
          <w:snapToGrid w:val="0"/>
          <w:color w:val="000000"/>
          <w:kern w:val="0"/>
          <w:sz w:val="44"/>
          <w:szCs w:val="44"/>
        </w:rPr>
      </w:pPr>
      <w:r>
        <w:rPr>
          <w:rFonts w:eastAsia="方正小标宋_GBK"/>
          <w:snapToGrid w:val="0"/>
          <w:color w:val="000000"/>
          <w:kern w:val="0"/>
          <w:sz w:val="44"/>
          <w:szCs w:val="44"/>
        </w:rPr>
        <w:t>彭水自治县</w:t>
      </w:r>
      <w:r>
        <w:rPr>
          <w:rFonts w:eastAsia="方正小标宋_GBK"/>
          <w:sz w:val="44"/>
          <w:szCs w:val="44"/>
        </w:rPr>
        <w:t>农村房屋附属设施补偿标准</w:t>
      </w:r>
    </w:p>
    <w:tbl>
      <w:tblPr>
        <w:tblStyle w:val="11"/>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841"/>
        <w:gridCol w:w="1118"/>
        <w:gridCol w:w="1487"/>
        <w:gridCol w:w="3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410" w:type="dxa"/>
            <w:tcBorders>
              <w:left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lang w:bidi="ar"/>
              </w:rPr>
            </w:pPr>
            <w:r>
              <w:rPr>
                <w:rFonts w:eastAsia="方正黑体_GBK"/>
                <w:color w:val="000000"/>
                <w:kern w:val="0"/>
                <w:sz w:val="24"/>
                <w:szCs w:val="24"/>
                <w:lang w:bidi="ar"/>
              </w:rPr>
              <w:t>名  称</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lang w:bidi="ar"/>
              </w:rPr>
            </w:pPr>
            <w:r>
              <w:rPr>
                <w:rFonts w:eastAsia="方正黑体_GBK"/>
                <w:color w:val="000000"/>
                <w:kern w:val="0"/>
                <w:sz w:val="24"/>
                <w:szCs w:val="24"/>
                <w:lang w:bidi="ar"/>
              </w:rPr>
              <w:t>结  构</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lang w:bidi="ar"/>
              </w:rPr>
            </w:pPr>
            <w:r>
              <w:rPr>
                <w:rFonts w:eastAsia="方正黑体_GBK"/>
                <w:color w:val="000000"/>
                <w:kern w:val="0"/>
                <w:sz w:val="24"/>
                <w:szCs w:val="24"/>
                <w:lang w:bidi="ar"/>
              </w:rPr>
              <w:t>单  位</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lang w:bidi="ar"/>
              </w:rPr>
            </w:pPr>
            <w:r>
              <w:rPr>
                <w:rFonts w:eastAsia="方正黑体_GBK"/>
                <w:color w:val="000000"/>
                <w:kern w:val="0"/>
                <w:sz w:val="24"/>
                <w:szCs w:val="24"/>
                <w:lang w:bidi="ar"/>
              </w:rPr>
              <w:t>单价（元）</w:t>
            </w:r>
          </w:p>
        </w:tc>
        <w:tc>
          <w:tcPr>
            <w:tcW w:w="3603" w:type="dxa"/>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黑体_GBK"/>
                <w:color w:val="000000"/>
                <w:kern w:val="0"/>
                <w:sz w:val="24"/>
                <w:szCs w:val="24"/>
                <w:lang w:bidi="ar"/>
              </w:rPr>
            </w:pPr>
            <w:r>
              <w:rPr>
                <w:rFonts w:eastAsia="方正黑体_GBK"/>
                <w:color w:val="000000"/>
                <w:kern w:val="0"/>
                <w:sz w:val="24"/>
                <w:szCs w:val="24"/>
                <w:lang w:bidi="ar"/>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堡  坎</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围  墙</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（鱼塘坎）</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条石</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立方米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290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集体改田坎、改土堡坎、房屋基础堡坎不予补偿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片石</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220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砖</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100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土围墙</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50</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道  路</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水泥路面</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平方米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160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人行道路一律不予补偿；水泥路面厚度在10厘米以上按水泥路面补偿，10厘米以下按碎石泥结路面补偿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碎石（含条石）</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125</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泥结路面</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100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简易路面</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（机耕道）</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  井</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条石</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立方米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120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水井按容积计算补偿后不再按材料计算补偿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水泥</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85</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土</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60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机井</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个</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450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地  坝</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石板</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平方米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w:t>
            </w:r>
          </w:p>
        </w:tc>
        <w:tc>
          <w:tcPr>
            <w:tcW w:w="3603" w:type="dxa"/>
            <w:vMerge w:val="restart"/>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地坝指正规成形的晒坝或院坝，非正规不成形的坝子一律不予计算补偿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水泥</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75</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三合土</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50</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土</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30</w:t>
            </w:r>
          </w:p>
        </w:tc>
        <w:tc>
          <w:tcPr>
            <w:tcW w:w="36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粪  池</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蓄水池</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条石</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立方米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120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按标准补偿的粪池、蓄水池，其材料不在补偿，燕窝形粪坑不予补偿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坚石、片石</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75</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水泥</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55</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  渠</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条石</w:t>
            </w:r>
          </w:p>
        </w:tc>
        <w:tc>
          <w:tcPr>
            <w:tcW w:w="1118"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180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指人工砌筑的专用水渠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水泥</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150</w:t>
            </w:r>
          </w:p>
        </w:tc>
        <w:tc>
          <w:tcPr>
            <w:tcW w:w="3603" w:type="dxa"/>
            <w:vMerge w:val="continue"/>
            <w:tcBorders>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片石</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（砖、三合土）</w:t>
            </w:r>
          </w:p>
        </w:tc>
        <w:tc>
          <w:tcPr>
            <w:tcW w:w="1118"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75</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410" w:type="dxa"/>
            <w:vMerge w:val="restart"/>
            <w:tcBorders>
              <w:left w:val="single" w:color="auto" w:sz="4" w:space="0"/>
              <w:right w:val="single" w:color="auto" w:sz="4" w:space="0"/>
            </w:tcBorders>
            <w:noWrap w:val="0"/>
            <w:vAlign w:val="center"/>
          </w:tcPr>
          <w:p>
            <w:pPr>
              <w:widowControl/>
              <w:spacing w:line="400" w:lineRule="exact"/>
              <w:ind w:firstLine="240" w:firstLineChars="100"/>
              <w:rPr>
                <w:rFonts w:eastAsia="方正仿宋_GBK"/>
                <w:color w:val="000000"/>
                <w:kern w:val="0"/>
                <w:sz w:val="24"/>
                <w:szCs w:val="24"/>
                <w:lang w:bidi="ar"/>
              </w:rPr>
            </w:pPr>
            <w:r>
              <w:rPr>
                <w:rFonts w:eastAsia="方正仿宋_GBK"/>
                <w:color w:val="000000"/>
                <w:kern w:val="0"/>
                <w:sz w:val="24"/>
                <w:szCs w:val="24"/>
                <w:lang w:bidi="ar"/>
              </w:rPr>
              <w:t>电  杆</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9米上水泥电杆</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根</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1200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电杆指乡镇以下集体、个人投资的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841" w:type="dxa"/>
            <w:tcBorders>
              <w:top w:val="single" w:color="auto" w:sz="4" w:space="0"/>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9米（含9米）</w:t>
            </w:r>
          </w:p>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以下水泥电杆</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根</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800</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vMerge w:val="restart"/>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室外电线</w:t>
            </w:r>
          </w:p>
        </w:tc>
        <w:tc>
          <w:tcPr>
            <w:tcW w:w="1841" w:type="dxa"/>
            <w:tcBorders>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照明电线</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10</w:t>
            </w:r>
          </w:p>
        </w:tc>
        <w:tc>
          <w:tcPr>
            <w:tcW w:w="3603" w:type="dxa"/>
            <w:vMerge w:val="restart"/>
            <w:tcBorders>
              <w:top w:val="single" w:color="auto" w:sz="4" w:space="0"/>
              <w:left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电线指乡镇以下集体、个人投资的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1410" w:type="dxa"/>
            <w:vMerge w:val="continue"/>
            <w:tcBorders>
              <w:left w:val="single" w:color="auto" w:sz="4" w:space="0"/>
              <w:right w:val="single" w:color="auto" w:sz="4" w:space="0"/>
            </w:tcBorders>
            <w:noWrap w:val="0"/>
            <w:vAlign w:val="center"/>
          </w:tcPr>
          <w:p>
            <w:pPr>
              <w:widowControl/>
              <w:spacing w:line="400" w:lineRule="exact"/>
              <w:jc w:val="center"/>
              <w:rPr>
                <w:sz w:val="24"/>
                <w:szCs w:val="24"/>
              </w:rPr>
            </w:pPr>
          </w:p>
          <w:p>
            <w:pPr>
              <w:pStyle w:val="2"/>
              <w:adjustRightInd/>
              <w:spacing w:line="400" w:lineRule="exact"/>
              <w:jc w:val="center"/>
              <w:rPr>
                <w:rFonts w:ascii="Times New Roman" w:hAnsi="Times New Roman" w:cs="Times New Roman"/>
              </w:rPr>
            </w:pPr>
          </w:p>
          <w:p>
            <w:pPr>
              <w:pStyle w:val="2"/>
              <w:adjustRightInd/>
              <w:spacing w:line="400" w:lineRule="exact"/>
              <w:jc w:val="center"/>
              <w:rPr>
                <w:rFonts w:ascii="Times New Roman" w:hAnsi="Times New Roman" w:cs="Times New Roman"/>
              </w:rPr>
            </w:pPr>
          </w:p>
          <w:p>
            <w:pPr>
              <w:pStyle w:val="2"/>
              <w:adjustRightInd/>
              <w:spacing w:line="400" w:lineRule="exact"/>
              <w:jc w:val="center"/>
              <w:rPr>
                <w:rFonts w:ascii="Times New Roman" w:hAnsi="Times New Roman" w:cs="Times New Roman"/>
              </w:rPr>
            </w:pPr>
          </w:p>
          <w:p>
            <w:pPr>
              <w:pStyle w:val="2"/>
              <w:adjustRightInd/>
              <w:spacing w:line="400" w:lineRule="exact"/>
              <w:jc w:val="center"/>
              <w:rPr>
                <w:rFonts w:ascii="Times New Roman" w:hAnsi="Times New Roman" w:cs="Times New Roman"/>
              </w:rPr>
            </w:pP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动力电线</w:t>
            </w: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20</w:t>
            </w:r>
          </w:p>
        </w:tc>
        <w:tc>
          <w:tcPr>
            <w:tcW w:w="3603" w:type="dxa"/>
            <w:vMerge w:val="continue"/>
            <w:tcBorders>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室外水管</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米</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8</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不含市政管网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沼气池</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个</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2500</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r>
              <w:rPr>
                <w:rFonts w:eastAsia="方正仿宋_GBK"/>
                <w:color w:val="000000"/>
                <w:kern w:val="0"/>
                <w:sz w:val="24"/>
                <w:szCs w:val="24"/>
                <w:lang w:bidi="ar"/>
              </w:rPr>
              <w:t>废弃的沼气池不予补偿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410"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苕</w:t>
            </w:r>
            <w:r>
              <w:rPr>
                <w:rFonts w:hint="eastAsia" w:eastAsia="方正仿宋_GBK"/>
                <w:color w:val="000000"/>
                <w:kern w:val="0"/>
                <w:sz w:val="24"/>
                <w:szCs w:val="24"/>
                <w:lang w:bidi="ar"/>
              </w:rPr>
              <w:t xml:space="preserve">  </w:t>
            </w:r>
            <w:r>
              <w:rPr>
                <w:rFonts w:eastAsia="方正仿宋_GBK"/>
                <w:color w:val="000000"/>
                <w:kern w:val="0"/>
                <w:sz w:val="24"/>
                <w:szCs w:val="24"/>
                <w:lang w:bidi="ar"/>
              </w:rPr>
              <w:t>洞</w:t>
            </w:r>
          </w:p>
        </w:tc>
        <w:tc>
          <w:tcPr>
            <w:tcW w:w="1841"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p>
        </w:tc>
        <w:tc>
          <w:tcPr>
            <w:tcW w:w="1118" w:type="dxa"/>
            <w:tcBorders>
              <w:left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个</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eastAsia="方正仿宋_GBK"/>
                <w:color w:val="000000"/>
                <w:kern w:val="0"/>
                <w:sz w:val="24"/>
                <w:szCs w:val="24"/>
                <w:lang w:bidi="ar"/>
              </w:rPr>
            </w:pPr>
            <w:r>
              <w:rPr>
                <w:rFonts w:eastAsia="方正仿宋_GBK"/>
                <w:color w:val="000000"/>
                <w:kern w:val="0"/>
                <w:sz w:val="24"/>
                <w:szCs w:val="24"/>
                <w:lang w:bidi="ar"/>
              </w:rPr>
              <w:t>200</w:t>
            </w:r>
          </w:p>
        </w:tc>
        <w:tc>
          <w:tcPr>
            <w:tcW w:w="360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方正仿宋_GBK"/>
                <w:color w:val="000000"/>
                <w:kern w:val="0"/>
                <w:sz w:val="24"/>
                <w:szCs w:val="24"/>
                <w:lang w:bidi="ar"/>
              </w:rPr>
            </w:pPr>
          </w:p>
        </w:tc>
      </w:tr>
    </w:tbl>
    <w:p>
      <w:pPr>
        <w:rPr>
          <w:rFonts w:eastAsia="方正仿宋_GBK"/>
          <w:sz w:val="28"/>
          <w:szCs w:val="28"/>
        </w:rPr>
      </w:pPr>
      <w:r>
        <w:rPr>
          <w:rFonts w:eastAsia="方正黑体_GBK"/>
          <w:sz w:val="28"/>
          <w:szCs w:val="28"/>
        </w:rPr>
        <w:t>说明</w:t>
      </w:r>
      <w:r>
        <w:rPr>
          <w:rFonts w:eastAsia="方正仿宋_GBK"/>
          <w:sz w:val="28"/>
          <w:szCs w:val="28"/>
        </w:rPr>
        <w:t>：</w:t>
      </w:r>
      <w:r>
        <w:rPr>
          <w:rFonts w:hint="eastAsia" w:eastAsia="方正仿宋_GBK"/>
          <w:sz w:val="28"/>
          <w:szCs w:val="28"/>
        </w:rPr>
        <w:t>1</w:t>
      </w:r>
      <w:r>
        <w:rPr>
          <w:rFonts w:eastAsia="方正仿宋_GBK"/>
          <w:sz w:val="28"/>
          <w:szCs w:val="28"/>
        </w:rPr>
        <w:t>. 经补偿后的原构筑物由被征地单位或个人自行处置。</w:t>
      </w:r>
    </w:p>
    <w:p>
      <w:pPr>
        <w:ind w:firstLine="840" w:firstLineChars="300"/>
        <w:rPr>
          <w:rFonts w:eastAsia="方正仿宋_GBK"/>
          <w:szCs w:val="22"/>
        </w:rPr>
      </w:pPr>
      <w:r>
        <w:rPr>
          <w:rFonts w:hint="eastAsia" w:eastAsia="方正仿宋_GBK"/>
          <w:sz w:val="28"/>
          <w:szCs w:val="28"/>
        </w:rPr>
        <w:t>2</w:t>
      </w:r>
      <w:r>
        <w:rPr>
          <w:rFonts w:eastAsia="方正仿宋_GBK"/>
          <w:sz w:val="28"/>
          <w:szCs w:val="28"/>
        </w:rPr>
        <w:t>. 上表没有规定补偿标准的构（附）着物，按市场重置价进行补偿。</w:t>
      </w:r>
    </w:p>
    <w:p>
      <w:pPr>
        <w:spacing w:line="560" w:lineRule="exact"/>
        <w:ind w:firstLine="640" w:firstLineChars="200"/>
        <w:rPr>
          <w:rFonts w:eastAsia="方正仿宋_GBK"/>
          <w:szCs w:val="22"/>
        </w:rPr>
      </w:pPr>
    </w:p>
    <w:p>
      <w:pPr>
        <w:spacing w:line="560" w:lineRule="exact"/>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pStyle w:val="2"/>
        <w:rPr>
          <w:rFonts w:ascii="Times New Roman" w:hAnsi="Times New Roman" w:eastAsia="方正仿宋_GBK" w:cs="Times New Roman"/>
          <w:sz w:val="32"/>
          <w:szCs w:val="22"/>
        </w:rPr>
      </w:pPr>
    </w:p>
    <w:p>
      <w:pPr>
        <w:spacing w:line="540" w:lineRule="exact"/>
        <w:ind w:firstLine="280" w:firstLineChars="100"/>
        <w:rPr>
          <w:rFonts w:eastAsia="方正仿宋_GBK"/>
          <w:sz w:val="28"/>
          <w:szCs w:val="28"/>
        </w:rPr>
      </w:pPr>
      <w:r>
        <w:rPr>
          <w:rFonts w:eastAsia="方正仿宋_GBK"/>
          <w:sz w:val="28"/>
          <w:szCs w:val="28"/>
        </w:rPr>
        <w:pict>
          <v:line id="直线 12" o:spid="_x0000_s1027" o:spt="20" style="position:absolute;left:0pt;flip:y;margin-left:6.5pt;margin-top:5.45pt;height:0.05pt;width:437.85pt;z-index:251661312;mso-width-relative:page;mso-height-relative:page;" filled="f" stroked="t" coordsize="21600,21600">
            <v:path arrowok="t"/>
            <v:fill on="f" focussize="0,0"/>
            <v:stroke/>
            <v:imagedata o:title=""/>
            <o:lock v:ext="edit" aspectratio="f"/>
          </v:line>
        </w:pict>
      </w:r>
      <w:r>
        <w:rPr>
          <w:rFonts w:eastAsia="方正仿宋_GBK"/>
          <w:sz w:val="28"/>
          <w:szCs w:val="28"/>
        </w:rPr>
        <w:t>抄送：县委各部委，县人大办，县政协办，县纪委监委，县法院，县检</w:t>
      </w:r>
    </w:p>
    <w:p>
      <w:pPr>
        <w:spacing w:line="540" w:lineRule="exact"/>
        <w:ind w:firstLine="1120" w:firstLineChars="400"/>
        <w:rPr>
          <w:rFonts w:eastAsia="方正仿宋_GBK"/>
          <w:sz w:val="28"/>
          <w:szCs w:val="28"/>
        </w:rPr>
      </w:pPr>
      <w:r>
        <w:rPr>
          <w:rFonts w:eastAsia="方正仿宋_GBK"/>
          <w:sz w:val="28"/>
          <w:szCs w:val="28"/>
        </w:rPr>
        <w:t>察院，县人武部，各人民团体。</w:t>
      </w:r>
    </w:p>
    <w:p>
      <w:pPr>
        <w:spacing w:line="540" w:lineRule="exact"/>
        <w:ind w:firstLine="280" w:firstLineChars="100"/>
      </w:pPr>
      <w:r>
        <w:rPr>
          <w:rFonts w:eastAsia="方正仿宋_GBK"/>
          <w:sz w:val="28"/>
          <w:szCs w:val="28"/>
        </w:rPr>
        <w:pict>
          <v:line id="直线 13" o:spid="_x0000_s1028" o:spt="20" style="position:absolute;left:0pt;flip:y;margin-left:3.5pt;margin-top:30.35pt;height:0.05pt;width:439.2pt;z-index:251660288;mso-width-relative:page;mso-height-relative:page;" filled="f" stroked="t" coordsize="21600,21600">
            <v:path arrowok="t"/>
            <v:fill on="f" focussize="0,0"/>
            <v:stroke/>
            <v:imagedata o:title=""/>
            <o:lock v:ext="edit" aspectratio="f"/>
          </v:line>
        </w:pict>
      </w:r>
      <w:r>
        <w:rPr>
          <w:rFonts w:eastAsia="方正仿宋_GBK"/>
          <w:sz w:val="28"/>
          <w:szCs w:val="28"/>
        </w:rPr>
        <w:pict>
          <v:line id="直线 14" o:spid="_x0000_s1029" o:spt="20" style="position:absolute;left:0pt;flip:y;margin-left:4.75pt;margin-top:0.2pt;height:0.05pt;width:437.85pt;z-index:251659264;mso-width-relative:page;mso-height-relative:page;" filled="f" stroked="t" coordsize="21600,21600">
            <v:path arrowok="t"/>
            <v:fill on="f" focussize="0,0"/>
            <v:stroke/>
            <v:imagedata o:title=""/>
            <o:lock v:ext="edit" aspectratio="f"/>
          </v:line>
        </w:pict>
      </w:r>
      <w:r>
        <w:rPr>
          <w:rFonts w:eastAsia="方正仿宋_GBK"/>
          <w:sz w:val="28"/>
          <w:szCs w:val="28"/>
        </w:rPr>
        <w:t xml:space="preserve">彭水苗族土家族自治县人民政府办公室     </w:t>
      </w:r>
      <w:r>
        <w:rPr>
          <w:sz w:val="28"/>
          <w:szCs w:val="28"/>
        </w:rPr>
        <w:t xml:space="preserve"> </w:t>
      </w:r>
      <w:r>
        <w:rPr>
          <w:rFonts w:eastAsia="方正仿宋_GBK"/>
          <w:sz w:val="28"/>
          <w:szCs w:val="28"/>
        </w:rPr>
        <w:t xml:space="preserve"> 2021年6月</w:t>
      </w:r>
      <w:r>
        <w:rPr>
          <w:rFonts w:hint="eastAsia" w:eastAsia="方正仿宋_GBK"/>
          <w:sz w:val="28"/>
          <w:szCs w:val="28"/>
        </w:rPr>
        <w:t>28</w:t>
      </w:r>
      <w:r>
        <w:rPr>
          <w:rFonts w:eastAsia="方正仿宋_GBK"/>
          <w:sz w:val="28"/>
          <w:szCs w:val="28"/>
        </w:rPr>
        <w:t>日印发</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pict>
        <v:shape id="文本框 17"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snapToGrid/>
                  <w:ind w:left="480" w:leftChars="150" w:right="480" w:rightChars="150"/>
                  <w:rPr>
                    <w:rStyle w:val="13"/>
                    <w:rFonts w:hint="eastAsia" w:ascii="方正仿宋_GBK" w:eastAsia="方正仿宋_GBK"/>
                    <w:sz w:val="28"/>
                    <w:szCs w:val="28"/>
                  </w:rPr>
                </w:pPr>
                <w:r>
                  <w:rPr>
                    <w:rStyle w:val="13"/>
                    <w:rFonts w:hint="eastAsia" w:ascii="方正仿宋_GBK" w:eastAsia="方正仿宋_GBK"/>
                    <w:sz w:val="28"/>
                    <w:szCs w:val="28"/>
                  </w:rPr>
                  <w:t xml:space="preserve">— </w:t>
                </w:r>
                <w:r>
                  <w:rPr>
                    <w:rFonts w:eastAsia="方正仿宋_GBK"/>
                    <w:sz w:val="28"/>
                    <w:szCs w:val="28"/>
                  </w:rPr>
                  <w:fldChar w:fldCharType="begin"/>
                </w:r>
                <w:r>
                  <w:rPr>
                    <w:rStyle w:val="13"/>
                    <w:rFonts w:eastAsia="方正仿宋_GBK"/>
                    <w:sz w:val="28"/>
                    <w:szCs w:val="28"/>
                  </w:rPr>
                  <w:instrText xml:space="preserve">PAGE  </w:instrText>
                </w:r>
                <w:r>
                  <w:rPr>
                    <w:rFonts w:eastAsia="方正仿宋_GBK"/>
                    <w:sz w:val="28"/>
                    <w:szCs w:val="28"/>
                  </w:rPr>
                  <w:fldChar w:fldCharType="separate"/>
                </w:r>
                <w:r>
                  <w:rPr>
                    <w:rStyle w:val="13"/>
                    <w:rFonts w:eastAsia="方正仿宋_GBK"/>
                    <w:sz w:val="28"/>
                    <w:szCs w:val="28"/>
                    <w:lang/>
                  </w:rPr>
                  <w:t>2</w:t>
                </w:r>
                <w:r>
                  <w:rPr>
                    <w:rFonts w:eastAsia="方正仿宋_GBK"/>
                    <w:sz w:val="28"/>
                    <w:szCs w:val="28"/>
                  </w:rPr>
                  <w:fldChar w:fldCharType="end"/>
                </w:r>
                <w:r>
                  <w:rPr>
                    <w:rStyle w:val="13"/>
                    <w:rFonts w:hint="eastAsia" w:ascii="方正仿宋_GBK" w:eastAsia="方正仿宋_GBK"/>
                    <w:sz w:val="28"/>
                    <w:szCs w:val="28"/>
                  </w:rPr>
                  <w:t xml:space="preserve"> —</w:t>
                </w:r>
              </w:p>
            </w:txbxContent>
          </v:textbox>
        </v:shape>
      </w:pic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150" w:right="480" w:rightChars="150"/>
    </w:pPr>
    <w:r>
      <w:pict>
        <v:shape id="文本框 5" o:spid="_x0000_s2049" o:spt="202" type="#_x0000_t202" style="position:absolute;left:0pt;margin-left:0pt;margin-top:-0.05pt;height:10.35pt;width:9.05pt;mso-position-horizontal-relative:margin;mso-wrap-style:none;z-index:251659264;mso-width-relative:page;mso-height-relative:page;" filled="f" stroked="f" coordsize="21600,21600">
          <v:path/>
          <v:fill on="f" focussize="0,0"/>
          <v:stroke on="f"/>
          <v:imagedata o:title=""/>
          <o:lock v:ext="edit" grouping="f" rotation="f" text="f" aspectratio="f"/>
          <v:textbox inset="0mm,0mm,0mm,0mm" style="mso-fit-shape-to-text:t;">
            <w:txbxContent>
              <w:p>
                <w:pPr>
                  <w:snapToGrid w:val="0"/>
                  <w:rPr>
                    <w:rFonts w:hint="eastAsia"/>
                    <w:sz w:val="18"/>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YjQwNjE5YWNhMDUyMGRiYzIwMzZhYWEyYWJlMzcifQ=="/>
  </w:docVars>
  <w:rsids>
    <w:rsidRoot w:val="00DC1313"/>
    <w:rsid w:val="000042BA"/>
    <w:rsid w:val="00014E6D"/>
    <w:rsid w:val="00025EBE"/>
    <w:rsid w:val="00026148"/>
    <w:rsid w:val="00033ECF"/>
    <w:rsid w:val="000367C1"/>
    <w:rsid w:val="00045932"/>
    <w:rsid w:val="00046729"/>
    <w:rsid w:val="000602D4"/>
    <w:rsid w:val="000627BD"/>
    <w:rsid w:val="00066193"/>
    <w:rsid w:val="0007404F"/>
    <w:rsid w:val="000816AC"/>
    <w:rsid w:val="00085A44"/>
    <w:rsid w:val="00085EA3"/>
    <w:rsid w:val="0009014E"/>
    <w:rsid w:val="000B0256"/>
    <w:rsid w:val="000C172A"/>
    <w:rsid w:val="000C2C45"/>
    <w:rsid w:val="000C6E8F"/>
    <w:rsid w:val="000D0424"/>
    <w:rsid w:val="000D1B6D"/>
    <w:rsid w:val="000D3A7A"/>
    <w:rsid w:val="000E33F9"/>
    <w:rsid w:val="000E4B34"/>
    <w:rsid w:val="000E50CC"/>
    <w:rsid w:val="000F016D"/>
    <w:rsid w:val="000F2522"/>
    <w:rsid w:val="000F6013"/>
    <w:rsid w:val="000F7ECE"/>
    <w:rsid w:val="0010592F"/>
    <w:rsid w:val="00110611"/>
    <w:rsid w:val="00134700"/>
    <w:rsid w:val="001352A5"/>
    <w:rsid w:val="00135F9A"/>
    <w:rsid w:val="001378A0"/>
    <w:rsid w:val="001502DD"/>
    <w:rsid w:val="00150EF1"/>
    <w:rsid w:val="00152503"/>
    <w:rsid w:val="0017308D"/>
    <w:rsid w:val="00181DC5"/>
    <w:rsid w:val="00184CB1"/>
    <w:rsid w:val="00186610"/>
    <w:rsid w:val="00186E3A"/>
    <w:rsid w:val="00192417"/>
    <w:rsid w:val="001927D0"/>
    <w:rsid w:val="001935E8"/>
    <w:rsid w:val="001A11DC"/>
    <w:rsid w:val="001B3C07"/>
    <w:rsid w:val="001C21B0"/>
    <w:rsid w:val="001C4496"/>
    <w:rsid w:val="001C57C4"/>
    <w:rsid w:val="001D74F0"/>
    <w:rsid w:val="001E06B9"/>
    <w:rsid w:val="001E0A79"/>
    <w:rsid w:val="001E1DA4"/>
    <w:rsid w:val="001E264E"/>
    <w:rsid w:val="001F0EEC"/>
    <w:rsid w:val="001F4135"/>
    <w:rsid w:val="00200748"/>
    <w:rsid w:val="002010B3"/>
    <w:rsid w:val="002028C7"/>
    <w:rsid w:val="00204B6A"/>
    <w:rsid w:val="00210EEE"/>
    <w:rsid w:val="00216B7E"/>
    <w:rsid w:val="00222C32"/>
    <w:rsid w:val="00225550"/>
    <w:rsid w:val="00230F1F"/>
    <w:rsid w:val="00232F7F"/>
    <w:rsid w:val="002340F6"/>
    <w:rsid w:val="0023503C"/>
    <w:rsid w:val="00237F65"/>
    <w:rsid w:val="0024352D"/>
    <w:rsid w:val="00250840"/>
    <w:rsid w:val="0025423B"/>
    <w:rsid w:val="00261B27"/>
    <w:rsid w:val="00261D7C"/>
    <w:rsid w:val="0026354E"/>
    <w:rsid w:val="00271F60"/>
    <w:rsid w:val="00275434"/>
    <w:rsid w:val="002767F6"/>
    <w:rsid w:val="002769D8"/>
    <w:rsid w:val="00280B20"/>
    <w:rsid w:val="00281EF8"/>
    <w:rsid w:val="00283BED"/>
    <w:rsid w:val="00287D24"/>
    <w:rsid w:val="002A2244"/>
    <w:rsid w:val="002A7B5F"/>
    <w:rsid w:val="002A7F1F"/>
    <w:rsid w:val="002D4354"/>
    <w:rsid w:val="002E1A56"/>
    <w:rsid w:val="002E795F"/>
    <w:rsid w:val="002F6DFD"/>
    <w:rsid w:val="00303D23"/>
    <w:rsid w:val="003154B2"/>
    <w:rsid w:val="00321DD5"/>
    <w:rsid w:val="0032520A"/>
    <w:rsid w:val="0033241A"/>
    <w:rsid w:val="003417BD"/>
    <w:rsid w:val="0034346E"/>
    <w:rsid w:val="00345261"/>
    <w:rsid w:val="003472C8"/>
    <w:rsid w:val="00347F8E"/>
    <w:rsid w:val="0035194E"/>
    <w:rsid w:val="00356D61"/>
    <w:rsid w:val="00361F9C"/>
    <w:rsid w:val="00381E39"/>
    <w:rsid w:val="00382D17"/>
    <w:rsid w:val="00384E38"/>
    <w:rsid w:val="0038550E"/>
    <w:rsid w:val="00390730"/>
    <w:rsid w:val="003B38D6"/>
    <w:rsid w:val="003B717D"/>
    <w:rsid w:val="003B7C8B"/>
    <w:rsid w:val="003C55C5"/>
    <w:rsid w:val="003C67AC"/>
    <w:rsid w:val="003D1E79"/>
    <w:rsid w:val="003E0A7C"/>
    <w:rsid w:val="003E5D69"/>
    <w:rsid w:val="003F0B33"/>
    <w:rsid w:val="003F3066"/>
    <w:rsid w:val="004220F3"/>
    <w:rsid w:val="00426C37"/>
    <w:rsid w:val="00426F4C"/>
    <w:rsid w:val="00434E13"/>
    <w:rsid w:val="004401CF"/>
    <w:rsid w:val="004413FA"/>
    <w:rsid w:val="004436BB"/>
    <w:rsid w:val="00444809"/>
    <w:rsid w:val="00446231"/>
    <w:rsid w:val="00455478"/>
    <w:rsid w:val="004713E3"/>
    <w:rsid w:val="00472BA9"/>
    <w:rsid w:val="00475640"/>
    <w:rsid w:val="0047705B"/>
    <w:rsid w:val="00484E4E"/>
    <w:rsid w:val="00485615"/>
    <w:rsid w:val="004950C5"/>
    <w:rsid w:val="004971F1"/>
    <w:rsid w:val="004A1C12"/>
    <w:rsid w:val="004B03A1"/>
    <w:rsid w:val="004B7C5A"/>
    <w:rsid w:val="004C0F3D"/>
    <w:rsid w:val="004C12AA"/>
    <w:rsid w:val="004C504E"/>
    <w:rsid w:val="004D1CE7"/>
    <w:rsid w:val="004D3455"/>
    <w:rsid w:val="004E5136"/>
    <w:rsid w:val="004E690E"/>
    <w:rsid w:val="004F2802"/>
    <w:rsid w:val="004F4E97"/>
    <w:rsid w:val="004F5C4E"/>
    <w:rsid w:val="0051470E"/>
    <w:rsid w:val="00514DD4"/>
    <w:rsid w:val="005221CC"/>
    <w:rsid w:val="00527406"/>
    <w:rsid w:val="00532172"/>
    <w:rsid w:val="00532D02"/>
    <w:rsid w:val="005653D2"/>
    <w:rsid w:val="00574357"/>
    <w:rsid w:val="00574DAB"/>
    <w:rsid w:val="00584EA8"/>
    <w:rsid w:val="00594C3F"/>
    <w:rsid w:val="005A30EA"/>
    <w:rsid w:val="005A6CDB"/>
    <w:rsid w:val="005B3F75"/>
    <w:rsid w:val="005C165D"/>
    <w:rsid w:val="005E4F71"/>
    <w:rsid w:val="005E5FD1"/>
    <w:rsid w:val="005F53C8"/>
    <w:rsid w:val="006009D1"/>
    <w:rsid w:val="0061081A"/>
    <w:rsid w:val="00620539"/>
    <w:rsid w:val="006249EA"/>
    <w:rsid w:val="00625883"/>
    <w:rsid w:val="00631338"/>
    <w:rsid w:val="00632552"/>
    <w:rsid w:val="00642069"/>
    <w:rsid w:val="006455FA"/>
    <w:rsid w:val="00651439"/>
    <w:rsid w:val="006574DB"/>
    <w:rsid w:val="006602B1"/>
    <w:rsid w:val="00671063"/>
    <w:rsid w:val="00671867"/>
    <w:rsid w:val="00673BF9"/>
    <w:rsid w:val="00680489"/>
    <w:rsid w:val="00682D16"/>
    <w:rsid w:val="0069034C"/>
    <w:rsid w:val="006979D1"/>
    <w:rsid w:val="006A42DF"/>
    <w:rsid w:val="006A6F83"/>
    <w:rsid w:val="006C24BC"/>
    <w:rsid w:val="006C2938"/>
    <w:rsid w:val="006C79E5"/>
    <w:rsid w:val="006E0FE0"/>
    <w:rsid w:val="006E2050"/>
    <w:rsid w:val="006E24BA"/>
    <w:rsid w:val="006F2BEE"/>
    <w:rsid w:val="0070076D"/>
    <w:rsid w:val="007134BF"/>
    <w:rsid w:val="00716A06"/>
    <w:rsid w:val="007211BB"/>
    <w:rsid w:val="00722531"/>
    <w:rsid w:val="00733C29"/>
    <w:rsid w:val="00736BDF"/>
    <w:rsid w:val="0074253C"/>
    <w:rsid w:val="00745407"/>
    <w:rsid w:val="007456FF"/>
    <w:rsid w:val="00755D45"/>
    <w:rsid w:val="007563A1"/>
    <w:rsid w:val="00760B00"/>
    <w:rsid w:val="00760C56"/>
    <w:rsid w:val="007640C1"/>
    <w:rsid w:val="00765576"/>
    <w:rsid w:val="00775F30"/>
    <w:rsid w:val="007802EA"/>
    <w:rsid w:val="0078366A"/>
    <w:rsid w:val="007B381C"/>
    <w:rsid w:val="007B63B0"/>
    <w:rsid w:val="007D5A20"/>
    <w:rsid w:val="007E42EE"/>
    <w:rsid w:val="007E69E9"/>
    <w:rsid w:val="007F314D"/>
    <w:rsid w:val="0081039A"/>
    <w:rsid w:val="0081249B"/>
    <w:rsid w:val="00831E4C"/>
    <w:rsid w:val="0084336D"/>
    <w:rsid w:val="00845A13"/>
    <w:rsid w:val="0085452D"/>
    <w:rsid w:val="008552D9"/>
    <w:rsid w:val="00861CA5"/>
    <w:rsid w:val="008641C5"/>
    <w:rsid w:val="0086618B"/>
    <w:rsid w:val="0087076E"/>
    <w:rsid w:val="00870B6B"/>
    <w:rsid w:val="00871A68"/>
    <w:rsid w:val="00880D4B"/>
    <w:rsid w:val="00883787"/>
    <w:rsid w:val="008961A1"/>
    <w:rsid w:val="00896678"/>
    <w:rsid w:val="008A22AE"/>
    <w:rsid w:val="008A3D85"/>
    <w:rsid w:val="008B4039"/>
    <w:rsid w:val="008B5924"/>
    <w:rsid w:val="008C05D2"/>
    <w:rsid w:val="008C38DB"/>
    <w:rsid w:val="008C4A9E"/>
    <w:rsid w:val="008E2652"/>
    <w:rsid w:val="008F721C"/>
    <w:rsid w:val="00911337"/>
    <w:rsid w:val="0091252A"/>
    <w:rsid w:val="00936B8E"/>
    <w:rsid w:val="009373E3"/>
    <w:rsid w:val="00945575"/>
    <w:rsid w:val="0095111D"/>
    <w:rsid w:val="00953C8C"/>
    <w:rsid w:val="009574CC"/>
    <w:rsid w:val="00962074"/>
    <w:rsid w:val="009631B9"/>
    <w:rsid w:val="00976400"/>
    <w:rsid w:val="00981C8E"/>
    <w:rsid w:val="0099151E"/>
    <w:rsid w:val="00997F3B"/>
    <w:rsid w:val="009B29BB"/>
    <w:rsid w:val="009B29BD"/>
    <w:rsid w:val="009C1F0B"/>
    <w:rsid w:val="009C6EFE"/>
    <w:rsid w:val="009D15B2"/>
    <w:rsid w:val="009D1ACF"/>
    <w:rsid w:val="009E03A4"/>
    <w:rsid w:val="009E2864"/>
    <w:rsid w:val="009E2FFE"/>
    <w:rsid w:val="009F08EA"/>
    <w:rsid w:val="009F1322"/>
    <w:rsid w:val="009F1DDF"/>
    <w:rsid w:val="009F5119"/>
    <w:rsid w:val="009F5B39"/>
    <w:rsid w:val="009F6117"/>
    <w:rsid w:val="00A05276"/>
    <w:rsid w:val="00A0638F"/>
    <w:rsid w:val="00A10DFF"/>
    <w:rsid w:val="00A1623D"/>
    <w:rsid w:val="00A34B17"/>
    <w:rsid w:val="00A50F9C"/>
    <w:rsid w:val="00A535FC"/>
    <w:rsid w:val="00A61423"/>
    <w:rsid w:val="00A64AED"/>
    <w:rsid w:val="00A659DC"/>
    <w:rsid w:val="00A91E3A"/>
    <w:rsid w:val="00A95970"/>
    <w:rsid w:val="00A95D33"/>
    <w:rsid w:val="00AA13DA"/>
    <w:rsid w:val="00AA54FC"/>
    <w:rsid w:val="00AB6DC6"/>
    <w:rsid w:val="00AC3DFF"/>
    <w:rsid w:val="00AC545C"/>
    <w:rsid w:val="00AD543F"/>
    <w:rsid w:val="00AE43EA"/>
    <w:rsid w:val="00AE4506"/>
    <w:rsid w:val="00AE5448"/>
    <w:rsid w:val="00AF0199"/>
    <w:rsid w:val="00AF0462"/>
    <w:rsid w:val="00AF0BCE"/>
    <w:rsid w:val="00AF19D1"/>
    <w:rsid w:val="00AF7512"/>
    <w:rsid w:val="00AF7AFE"/>
    <w:rsid w:val="00B10637"/>
    <w:rsid w:val="00B207C9"/>
    <w:rsid w:val="00B21796"/>
    <w:rsid w:val="00B2253B"/>
    <w:rsid w:val="00B23160"/>
    <w:rsid w:val="00B23454"/>
    <w:rsid w:val="00B3220A"/>
    <w:rsid w:val="00B35E21"/>
    <w:rsid w:val="00B379CA"/>
    <w:rsid w:val="00B379F1"/>
    <w:rsid w:val="00B442EC"/>
    <w:rsid w:val="00B44F35"/>
    <w:rsid w:val="00B468EA"/>
    <w:rsid w:val="00B47C7F"/>
    <w:rsid w:val="00B562F8"/>
    <w:rsid w:val="00B60568"/>
    <w:rsid w:val="00B62F4E"/>
    <w:rsid w:val="00B717D3"/>
    <w:rsid w:val="00B726DB"/>
    <w:rsid w:val="00B738D9"/>
    <w:rsid w:val="00B74804"/>
    <w:rsid w:val="00B74809"/>
    <w:rsid w:val="00B81CC4"/>
    <w:rsid w:val="00B83BF5"/>
    <w:rsid w:val="00BA5F4D"/>
    <w:rsid w:val="00BC2B8A"/>
    <w:rsid w:val="00BC47B9"/>
    <w:rsid w:val="00BC616B"/>
    <w:rsid w:val="00BD1F3B"/>
    <w:rsid w:val="00BD43D8"/>
    <w:rsid w:val="00BE1752"/>
    <w:rsid w:val="00BE5AFC"/>
    <w:rsid w:val="00BE6CA2"/>
    <w:rsid w:val="00BE7BBD"/>
    <w:rsid w:val="00BF0CCA"/>
    <w:rsid w:val="00BF1AA2"/>
    <w:rsid w:val="00BF2442"/>
    <w:rsid w:val="00BF57B6"/>
    <w:rsid w:val="00C01E0A"/>
    <w:rsid w:val="00C0348A"/>
    <w:rsid w:val="00C23A8D"/>
    <w:rsid w:val="00C255BE"/>
    <w:rsid w:val="00C30841"/>
    <w:rsid w:val="00C333D6"/>
    <w:rsid w:val="00C35C39"/>
    <w:rsid w:val="00C40509"/>
    <w:rsid w:val="00C4205F"/>
    <w:rsid w:val="00C5247D"/>
    <w:rsid w:val="00C62A29"/>
    <w:rsid w:val="00C62FAE"/>
    <w:rsid w:val="00C70BFE"/>
    <w:rsid w:val="00C73FF6"/>
    <w:rsid w:val="00C75A90"/>
    <w:rsid w:val="00C8275B"/>
    <w:rsid w:val="00C95273"/>
    <w:rsid w:val="00C97FE4"/>
    <w:rsid w:val="00CA19A9"/>
    <w:rsid w:val="00CB66B0"/>
    <w:rsid w:val="00CD312F"/>
    <w:rsid w:val="00CD6B3F"/>
    <w:rsid w:val="00CF198A"/>
    <w:rsid w:val="00D01D71"/>
    <w:rsid w:val="00D078B7"/>
    <w:rsid w:val="00D13434"/>
    <w:rsid w:val="00D16BE0"/>
    <w:rsid w:val="00D2055D"/>
    <w:rsid w:val="00D262A9"/>
    <w:rsid w:val="00D343FF"/>
    <w:rsid w:val="00D426C3"/>
    <w:rsid w:val="00D5419C"/>
    <w:rsid w:val="00D5678D"/>
    <w:rsid w:val="00D74B36"/>
    <w:rsid w:val="00D84E7B"/>
    <w:rsid w:val="00DB4F05"/>
    <w:rsid w:val="00DB52F5"/>
    <w:rsid w:val="00DB73E5"/>
    <w:rsid w:val="00DB7D47"/>
    <w:rsid w:val="00DC1313"/>
    <w:rsid w:val="00DD4A12"/>
    <w:rsid w:val="00DD72D9"/>
    <w:rsid w:val="00DE1BD7"/>
    <w:rsid w:val="00DE6136"/>
    <w:rsid w:val="00DF2132"/>
    <w:rsid w:val="00DF7754"/>
    <w:rsid w:val="00E01967"/>
    <w:rsid w:val="00E10A85"/>
    <w:rsid w:val="00E116E6"/>
    <w:rsid w:val="00E1408C"/>
    <w:rsid w:val="00E14FCA"/>
    <w:rsid w:val="00E15BDE"/>
    <w:rsid w:val="00E16311"/>
    <w:rsid w:val="00E22F53"/>
    <w:rsid w:val="00E31020"/>
    <w:rsid w:val="00E42CF5"/>
    <w:rsid w:val="00E603DC"/>
    <w:rsid w:val="00E706D8"/>
    <w:rsid w:val="00E729C7"/>
    <w:rsid w:val="00E821E1"/>
    <w:rsid w:val="00E848D3"/>
    <w:rsid w:val="00E872BC"/>
    <w:rsid w:val="00E87E95"/>
    <w:rsid w:val="00EA1E64"/>
    <w:rsid w:val="00EA443D"/>
    <w:rsid w:val="00EB1E9B"/>
    <w:rsid w:val="00EB4F17"/>
    <w:rsid w:val="00EC1B47"/>
    <w:rsid w:val="00EC4238"/>
    <w:rsid w:val="00EC5925"/>
    <w:rsid w:val="00ED2E8F"/>
    <w:rsid w:val="00EE3C65"/>
    <w:rsid w:val="00EE57AC"/>
    <w:rsid w:val="00EF0A7D"/>
    <w:rsid w:val="00EF24D3"/>
    <w:rsid w:val="00EF4F84"/>
    <w:rsid w:val="00F10223"/>
    <w:rsid w:val="00F11CBB"/>
    <w:rsid w:val="00F13B4F"/>
    <w:rsid w:val="00F14AE4"/>
    <w:rsid w:val="00F2355F"/>
    <w:rsid w:val="00F3094E"/>
    <w:rsid w:val="00F34F2F"/>
    <w:rsid w:val="00F4120E"/>
    <w:rsid w:val="00F41885"/>
    <w:rsid w:val="00F443C6"/>
    <w:rsid w:val="00F4535E"/>
    <w:rsid w:val="00F50379"/>
    <w:rsid w:val="00F52701"/>
    <w:rsid w:val="00F549DB"/>
    <w:rsid w:val="00F6159D"/>
    <w:rsid w:val="00F64F58"/>
    <w:rsid w:val="00F75681"/>
    <w:rsid w:val="00F76415"/>
    <w:rsid w:val="00F771A3"/>
    <w:rsid w:val="00F8097A"/>
    <w:rsid w:val="00F91A7A"/>
    <w:rsid w:val="00F928A5"/>
    <w:rsid w:val="00F935C4"/>
    <w:rsid w:val="00F94812"/>
    <w:rsid w:val="00F9583F"/>
    <w:rsid w:val="00FA34B4"/>
    <w:rsid w:val="00FA5EAE"/>
    <w:rsid w:val="00FC1A21"/>
    <w:rsid w:val="00FC2B6A"/>
    <w:rsid w:val="00FC5DA5"/>
    <w:rsid w:val="00FC61E6"/>
    <w:rsid w:val="00FD3A45"/>
    <w:rsid w:val="00FD47E3"/>
    <w:rsid w:val="00FF1CEF"/>
    <w:rsid w:val="011F7FC8"/>
    <w:rsid w:val="015353F3"/>
    <w:rsid w:val="01863375"/>
    <w:rsid w:val="01D47F07"/>
    <w:rsid w:val="02072C42"/>
    <w:rsid w:val="020A3FBE"/>
    <w:rsid w:val="026E762C"/>
    <w:rsid w:val="027767C6"/>
    <w:rsid w:val="029A4FE0"/>
    <w:rsid w:val="03204000"/>
    <w:rsid w:val="033D2293"/>
    <w:rsid w:val="034A69E5"/>
    <w:rsid w:val="03701380"/>
    <w:rsid w:val="04CB05C5"/>
    <w:rsid w:val="04EE464F"/>
    <w:rsid w:val="04FA2062"/>
    <w:rsid w:val="05281D3D"/>
    <w:rsid w:val="059A5533"/>
    <w:rsid w:val="05E33FFD"/>
    <w:rsid w:val="05E626FF"/>
    <w:rsid w:val="05FA5813"/>
    <w:rsid w:val="063960EA"/>
    <w:rsid w:val="06825761"/>
    <w:rsid w:val="072A25DB"/>
    <w:rsid w:val="07893B5E"/>
    <w:rsid w:val="07B83475"/>
    <w:rsid w:val="07F00F6A"/>
    <w:rsid w:val="08071D45"/>
    <w:rsid w:val="081812BE"/>
    <w:rsid w:val="08616F55"/>
    <w:rsid w:val="089F7F8F"/>
    <w:rsid w:val="08BE0EC4"/>
    <w:rsid w:val="08CC2C3C"/>
    <w:rsid w:val="0925665D"/>
    <w:rsid w:val="097B472B"/>
    <w:rsid w:val="0A05675A"/>
    <w:rsid w:val="0A8F2195"/>
    <w:rsid w:val="0AD41B10"/>
    <w:rsid w:val="0B2C0654"/>
    <w:rsid w:val="0C00132C"/>
    <w:rsid w:val="0C881C40"/>
    <w:rsid w:val="0DD837B4"/>
    <w:rsid w:val="0E0B608F"/>
    <w:rsid w:val="0E303E78"/>
    <w:rsid w:val="0F3237A8"/>
    <w:rsid w:val="0F4F7E26"/>
    <w:rsid w:val="0F5B2893"/>
    <w:rsid w:val="0F702AAA"/>
    <w:rsid w:val="0FE52325"/>
    <w:rsid w:val="10051BFA"/>
    <w:rsid w:val="10134B1D"/>
    <w:rsid w:val="1050380B"/>
    <w:rsid w:val="11013EC1"/>
    <w:rsid w:val="115C47FD"/>
    <w:rsid w:val="11DC484E"/>
    <w:rsid w:val="11EB1871"/>
    <w:rsid w:val="12143BD2"/>
    <w:rsid w:val="12182052"/>
    <w:rsid w:val="12184E45"/>
    <w:rsid w:val="125C4354"/>
    <w:rsid w:val="12806B2D"/>
    <w:rsid w:val="128249D8"/>
    <w:rsid w:val="12F42BC8"/>
    <w:rsid w:val="132519FD"/>
    <w:rsid w:val="13844CEF"/>
    <w:rsid w:val="141A3EE4"/>
    <w:rsid w:val="148A2643"/>
    <w:rsid w:val="14A12B95"/>
    <w:rsid w:val="15351F05"/>
    <w:rsid w:val="158F1F75"/>
    <w:rsid w:val="15AC20F4"/>
    <w:rsid w:val="15CE60DF"/>
    <w:rsid w:val="15F577E8"/>
    <w:rsid w:val="163E00C2"/>
    <w:rsid w:val="16C27BFE"/>
    <w:rsid w:val="16C31E35"/>
    <w:rsid w:val="173F7E82"/>
    <w:rsid w:val="17EB1396"/>
    <w:rsid w:val="18C440C8"/>
    <w:rsid w:val="18F661DE"/>
    <w:rsid w:val="19733228"/>
    <w:rsid w:val="1A4C102F"/>
    <w:rsid w:val="1A506EC1"/>
    <w:rsid w:val="1A982873"/>
    <w:rsid w:val="1ACD1A0E"/>
    <w:rsid w:val="1B315D0E"/>
    <w:rsid w:val="1C352AAE"/>
    <w:rsid w:val="1C4E46B7"/>
    <w:rsid w:val="1C89409E"/>
    <w:rsid w:val="1D655193"/>
    <w:rsid w:val="1D914803"/>
    <w:rsid w:val="1DAC28E7"/>
    <w:rsid w:val="1DB50EBD"/>
    <w:rsid w:val="1E146D3B"/>
    <w:rsid w:val="1F41766E"/>
    <w:rsid w:val="20167C0C"/>
    <w:rsid w:val="205242F2"/>
    <w:rsid w:val="20535BF5"/>
    <w:rsid w:val="2118289F"/>
    <w:rsid w:val="21286A00"/>
    <w:rsid w:val="216A5BD1"/>
    <w:rsid w:val="2242431B"/>
    <w:rsid w:val="22B129FE"/>
    <w:rsid w:val="22B61FF1"/>
    <w:rsid w:val="23092774"/>
    <w:rsid w:val="231254AD"/>
    <w:rsid w:val="239F5107"/>
    <w:rsid w:val="259B22F1"/>
    <w:rsid w:val="25C33F82"/>
    <w:rsid w:val="25D02D74"/>
    <w:rsid w:val="260B64D5"/>
    <w:rsid w:val="26893ADE"/>
    <w:rsid w:val="276139A6"/>
    <w:rsid w:val="27DA3374"/>
    <w:rsid w:val="281253F5"/>
    <w:rsid w:val="28C91CC3"/>
    <w:rsid w:val="28F20144"/>
    <w:rsid w:val="294B2F4F"/>
    <w:rsid w:val="29C151AE"/>
    <w:rsid w:val="2A4E655B"/>
    <w:rsid w:val="2B1215DC"/>
    <w:rsid w:val="2B1A119E"/>
    <w:rsid w:val="2B9A6969"/>
    <w:rsid w:val="2C221266"/>
    <w:rsid w:val="2C6A5844"/>
    <w:rsid w:val="2C903D8A"/>
    <w:rsid w:val="2C947AE1"/>
    <w:rsid w:val="2D543EB8"/>
    <w:rsid w:val="2D6C67B9"/>
    <w:rsid w:val="2E0922E0"/>
    <w:rsid w:val="2E375C91"/>
    <w:rsid w:val="2E9521E9"/>
    <w:rsid w:val="2EB0619D"/>
    <w:rsid w:val="2EF84502"/>
    <w:rsid w:val="30064301"/>
    <w:rsid w:val="30BC6A58"/>
    <w:rsid w:val="30D23CB5"/>
    <w:rsid w:val="30D31EC2"/>
    <w:rsid w:val="314C7194"/>
    <w:rsid w:val="320174E8"/>
    <w:rsid w:val="32A5368C"/>
    <w:rsid w:val="32BB2478"/>
    <w:rsid w:val="32E111AD"/>
    <w:rsid w:val="330733A3"/>
    <w:rsid w:val="331342B0"/>
    <w:rsid w:val="33270A0A"/>
    <w:rsid w:val="339727D6"/>
    <w:rsid w:val="33DF7CDD"/>
    <w:rsid w:val="34767AE5"/>
    <w:rsid w:val="34925EC5"/>
    <w:rsid w:val="350F10C3"/>
    <w:rsid w:val="35D801A0"/>
    <w:rsid w:val="3641515D"/>
    <w:rsid w:val="36EF1307"/>
    <w:rsid w:val="371D6DB8"/>
    <w:rsid w:val="37243A03"/>
    <w:rsid w:val="386E3ED4"/>
    <w:rsid w:val="38E26EF7"/>
    <w:rsid w:val="39082D90"/>
    <w:rsid w:val="39CD35CC"/>
    <w:rsid w:val="3A781552"/>
    <w:rsid w:val="3A8833A7"/>
    <w:rsid w:val="3ABC3C83"/>
    <w:rsid w:val="3B0D7C9B"/>
    <w:rsid w:val="3B216EA4"/>
    <w:rsid w:val="3B3B59B0"/>
    <w:rsid w:val="3B4474A0"/>
    <w:rsid w:val="3BCA1E02"/>
    <w:rsid w:val="3C5D5DAB"/>
    <w:rsid w:val="3CE00221"/>
    <w:rsid w:val="3D1713D0"/>
    <w:rsid w:val="3D52340F"/>
    <w:rsid w:val="3E27450B"/>
    <w:rsid w:val="3E524539"/>
    <w:rsid w:val="3EDB5FA5"/>
    <w:rsid w:val="3F123F71"/>
    <w:rsid w:val="3F4F0463"/>
    <w:rsid w:val="3F6C10E1"/>
    <w:rsid w:val="3FA36AC8"/>
    <w:rsid w:val="3FA758D8"/>
    <w:rsid w:val="40A468FB"/>
    <w:rsid w:val="40B40243"/>
    <w:rsid w:val="40DC5DF8"/>
    <w:rsid w:val="40FA4E0F"/>
    <w:rsid w:val="41C005D0"/>
    <w:rsid w:val="41CB606C"/>
    <w:rsid w:val="42264AD3"/>
    <w:rsid w:val="42D6143F"/>
    <w:rsid w:val="43184BEA"/>
    <w:rsid w:val="434F5BB1"/>
    <w:rsid w:val="436A21BA"/>
    <w:rsid w:val="43A41410"/>
    <w:rsid w:val="446845FF"/>
    <w:rsid w:val="45D52BCE"/>
    <w:rsid w:val="45E32728"/>
    <w:rsid w:val="4684439E"/>
    <w:rsid w:val="46D216A5"/>
    <w:rsid w:val="47291768"/>
    <w:rsid w:val="47EF5268"/>
    <w:rsid w:val="48427DCA"/>
    <w:rsid w:val="485C52D0"/>
    <w:rsid w:val="487A752C"/>
    <w:rsid w:val="4914030D"/>
    <w:rsid w:val="49505823"/>
    <w:rsid w:val="49AA4135"/>
    <w:rsid w:val="4A6F64AE"/>
    <w:rsid w:val="4AB0478D"/>
    <w:rsid w:val="4AB5230B"/>
    <w:rsid w:val="4AF56E42"/>
    <w:rsid w:val="4B145588"/>
    <w:rsid w:val="4B154804"/>
    <w:rsid w:val="4B2E1C75"/>
    <w:rsid w:val="4B675CA6"/>
    <w:rsid w:val="4B8D3B83"/>
    <w:rsid w:val="4BBF56D9"/>
    <w:rsid w:val="4BC626CF"/>
    <w:rsid w:val="4BE230B3"/>
    <w:rsid w:val="4BE83B3D"/>
    <w:rsid w:val="4C4E369A"/>
    <w:rsid w:val="4C6B5EE5"/>
    <w:rsid w:val="4D2C5AD4"/>
    <w:rsid w:val="4D85035F"/>
    <w:rsid w:val="4DE20417"/>
    <w:rsid w:val="4EFA6503"/>
    <w:rsid w:val="4FCC03FB"/>
    <w:rsid w:val="4FF37850"/>
    <w:rsid w:val="50625726"/>
    <w:rsid w:val="508E721D"/>
    <w:rsid w:val="513C675C"/>
    <w:rsid w:val="52080CD4"/>
    <w:rsid w:val="52C44903"/>
    <w:rsid w:val="53393147"/>
    <w:rsid w:val="539F1BF4"/>
    <w:rsid w:val="544D33FE"/>
    <w:rsid w:val="547261A2"/>
    <w:rsid w:val="54DF19BA"/>
    <w:rsid w:val="554E17C0"/>
    <w:rsid w:val="55DF1F69"/>
    <w:rsid w:val="562E25BC"/>
    <w:rsid w:val="566F1858"/>
    <w:rsid w:val="56EC391B"/>
    <w:rsid w:val="56F1329C"/>
    <w:rsid w:val="578B0EE5"/>
    <w:rsid w:val="57A939B8"/>
    <w:rsid w:val="57B565F6"/>
    <w:rsid w:val="5884694B"/>
    <w:rsid w:val="59165819"/>
    <w:rsid w:val="59F7444B"/>
    <w:rsid w:val="5A8F3496"/>
    <w:rsid w:val="5A960E79"/>
    <w:rsid w:val="5B2B2BD5"/>
    <w:rsid w:val="5BE955FE"/>
    <w:rsid w:val="5CE15A0C"/>
    <w:rsid w:val="5D4A61B9"/>
    <w:rsid w:val="5D73481E"/>
    <w:rsid w:val="5D7D5D9A"/>
    <w:rsid w:val="5DAE3245"/>
    <w:rsid w:val="5DC259A7"/>
    <w:rsid w:val="5DFC380D"/>
    <w:rsid w:val="5E925D04"/>
    <w:rsid w:val="5EA91EF5"/>
    <w:rsid w:val="5EF62E8B"/>
    <w:rsid w:val="5F101398"/>
    <w:rsid w:val="5F7275F0"/>
    <w:rsid w:val="5F96317D"/>
    <w:rsid w:val="601048D7"/>
    <w:rsid w:val="61E52769"/>
    <w:rsid w:val="620A2E1D"/>
    <w:rsid w:val="6228469B"/>
    <w:rsid w:val="626158A8"/>
    <w:rsid w:val="62853B62"/>
    <w:rsid w:val="629A032D"/>
    <w:rsid w:val="62BA13A8"/>
    <w:rsid w:val="63015E13"/>
    <w:rsid w:val="644676E2"/>
    <w:rsid w:val="64BB2E93"/>
    <w:rsid w:val="651139C5"/>
    <w:rsid w:val="65CB53EF"/>
    <w:rsid w:val="65F8055B"/>
    <w:rsid w:val="66FC50AA"/>
    <w:rsid w:val="675F477E"/>
    <w:rsid w:val="67C62652"/>
    <w:rsid w:val="67E830FC"/>
    <w:rsid w:val="684E0167"/>
    <w:rsid w:val="68687E97"/>
    <w:rsid w:val="68A80F40"/>
    <w:rsid w:val="693442AC"/>
    <w:rsid w:val="69CD518E"/>
    <w:rsid w:val="6A42787D"/>
    <w:rsid w:val="6A497234"/>
    <w:rsid w:val="6AA529C5"/>
    <w:rsid w:val="6AE252E1"/>
    <w:rsid w:val="6B817DA7"/>
    <w:rsid w:val="6BD90E18"/>
    <w:rsid w:val="6CB402F5"/>
    <w:rsid w:val="6D10188A"/>
    <w:rsid w:val="6D3D65A3"/>
    <w:rsid w:val="6D5F758B"/>
    <w:rsid w:val="6D867ECE"/>
    <w:rsid w:val="6DCD0EC8"/>
    <w:rsid w:val="6DF62733"/>
    <w:rsid w:val="6E46368E"/>
    <w:rsid w:val="6ECB0609"/>
    <w:rsid w:val="6F1B5275"/>
    <w:rsid w:val="6F214EA0"/>
    <w:rsid w:val="6F2B6E67"/>
    <w:rsid w:val="6F7E4F10"/>
    <w:rsid w:val="6F8902A4"/>
    <w:rsid w:val="6F8D48FF"/>
    <w:rsid w:val="6FD01748"/>
    <w:rsid w:val="6FD16F64"/>
    <w:rsid w:val="6FE27EBB"/>
    <w:rsid w:val="70A87A64"/>
    <w:rsid w:val="70CF7568"/>
    <w:rsid w:val="71347CE4"/>
    <w:rsid w:val="71E049AE"/>
    <w:rsid w:val="71EE0AFF"/>
    <w:rsid w:val="71F35D7F"/>
    <w:rsid w:val="72790D09"/>
    <w:rsid w:val="72DC647F"/>
    <w:rsid w:val="72E11B05"/>
    <w:rsid w:val="730E3CC0"/>
    <w:rsid w:val="734B2ACC"/>
    <w:rsid w:val="734F7E15"/>
    <w:rsid w:val="73772980"/>
    <w:rsid w:val="7388112D"/>
    <w:rsid w:val="738A30D0"/>
    <w:rsid w:val="740A7337"/>
    <w:rsid w:val="74B06974"/>
    <w:rsid w:val="74E37002"/>
    <w:rsid w:val="75035710"/>
    <w:rsid w:val="75977196"/>
    <w:rsid w:val="76116D75"/>
    <w:rsid w:val="763E04E0"/>
    <w:rsid w:val="7695740B"/>
    <w:rsid w:val="76B7248C"/>
    <w:rsid w:val="76BC1AEE"/>
    <w:rsid w:val="776E7021"/>
    <w:rsid w:val="77F85A32"/>
    <w:rsid w:val="78296ACC"/>
    <w:rsid w:val="784C05C8"/>
    <w:rsid w:val="787F19A7"/>
    <w:rsid w:val="7961334C"/>
    <w:rsid w:val="799C57F9"/>
    <w:rsid w:val="7AB67D5B"/>
    <w:rsid w:val="7AEE176F"/>
    <w:rsid w:val="7B4409DE"/>
    <w:rsid w:val="7B890839"/>
    <w:rsid w:val="7C486619"/>
    <w:rsid w:val="7C525436"/>
    <w:rsid w:val="7C68013A"/>
    <w:rsid w:val="7D100B58"/>
    <w:rsid w:val="7D2B1B52"/>
    <w:rsid w:val="7D417875"/>
    <w:rsid w:val="7D452E8B"/>
    <w:rsid w:val="7D4A50C1"/>
    <w:rsid w:val="7D5B4B59"/>
    <w:rsid w:val="7DA50AF8"/>
    <w:rsid w:val="7DF06A82"/>
    <w:rsid w:val="7F2E6E12"/>
    <w:rsid w:val="7F9C1BD8"/>
    <w:rsid w:val="7FB15699"/>
    <w:rsid w:val="7FC35FF3"/>
    <w:rsid w:val="7FD15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autoRedefine/>
    <w:semiHidden/>
    <w:uiPriority w:val="0"/>
  </w:style>
  <w:style w:type="table" w:default="1" w:styleId="11">
    <w:name w:val="Normal Table"/>
    <w:autoRedefine/>
    <w:semiHidden/>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3">
    <w:name w:val="Body Text Indent"/>
    <w:basedOn w:val="1"/>
    <w:uiPriority w:val="0"/>
    <w:pPr>
      <w:spacing w:after="120"/>
      <w:ind w:left="420" w:leftChars="200"/>
    </w:pPr>
  </w:style>
  <w:style w:type="paragraph" w:styleId="4">
    <w:name w:val="Plain Text"/>
    <w:basedOn w:val="1"/>
    <w:uiPriority w:val="0"/>
    <w:pPr>
      <w:widowControl/>
      <w:spacing w:before="100" w:beforeLines="0" w:beforeAutospacing="1" w:after="100" w:afterLines="0" w:afterAutospacing="1"/>
      <w:jc w:val="left"/>
    </w:pPr>
    <w:rPr>
      <w:rFonts w:ascii="宋体" w:hAnsi="宋体" w:eastAsia="宋体" w:cs="宋体"/>
      <w:sz w:val="24"/>
      <w:szCs w:val="24"/>
      <w:lang w:val="en-US" w:eastAsia="zh-CN" w:bidi="ar-SA"/>
    </w:rPr>
  </w:style>
  <w:style w:type="paragraph" w:styleId="5">
    <w:name w:val="Date"/>
    <w:basedOn w:val="1"/>
    <w:next w:val="1"/>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jc w:val="center"/>
    </w:pPr>
    <w:rPr>
      <w:sz w:val="18"/>
      <w:szCs w:val="18"/>
    </w:rPr>
  </w:style>
  <w:style w:type="paragraph" w:styleId="9">
    <w:name w:val="Body Text Indent 3"/>
    <w:basedOn w:val="1"/>
    <w:uiPriority w:val="0"/>
    <w:pPr>
      <w:ind w:firstLine="632" w:firstLineChars="200"/>
    </w:pPr>
    <w:rPr>
      <w:rFonts w:ascii="楷体_GB2312" w:eastAsia="楷体_GB2312"/>
      <w:szCs w:val="24"/>
    </w:rPr>
  </w:style>
  <w:style w:type="paragraph" w:styleId="10">
    <w:name w:val="Normal (Web)"/>
    <w:basedOn w:val="1"/>
    <w:uiPriority w:val="0"/>
    <w:pPr>
      <w:widowControl/>
      <w:spacing w:before="100" w:beforeAutospacing="1" w:after="100" w:afterAutospacing="1"/>
      <w:jc w:val="left"/>
    </w:pPr>
    <w:rPr>
      <w:rFonts w:ascii="宋体" w:hAnsi="宋体" w:eastAsia="宋体"/>
      <w:kern w:val="0"/>
      <w:sz w:val="24"/>
      <w:szCs w:val="24"/>
    </w:rPr>
  </w:style>
  <w:style w:type="character" w:styleId="13">
    <w:name w:val="page number"/>
    <w:basedOn w:val="12"/>
    <w:uiPriority w:val="0"/>
    <w:rPr>
      <w:rFonts w:ascii="Times New Roman" w:hAnsi="Times New Roman" w:eastAsia="宋体" w:cs="Times New Roman"/>
    </w:rPr>
  </w:style>
  <w:style w:type="paragraph" w:customStyle="1" w:styleId="14">
    <w:name w:val=" Char"/>
    <w:basedOn w:val="1"/>
    <w:semiHidden/>
    <w:uiPriority w:val="0"/>
    <w:rPr>
      <w:rFonts w:eastAsia="宋体"/>
      <w:sz w:val="21"/>
      <w:szCs w:val="24"/>
    </w:rPr>
  </w:style>
  <w:style w:type="paragraph" w:customStyle="1" w:styleId="15">
    <w:name w:val=" Char Char Char Char"/>
    <w:basedOn w:val="1"/>
    <w:uiPriority w:val="0"/>
    <w:pPr>
      <w:widowControl/>
      <w:spacing w:after="160" w:line="240" w:lineRule="exact"/>
      <w:jc w:val="left"/>
    </w:pPr>
    <w:rPr>
      <w:rFonts w:ascii="Verdana" w:hAnsi="Verdana"/>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19;&#21191;&#24037;&#20316;\&#36164;&#26009;&#25910;&#38598;\&#37325;&#35201;&#24120;&#29992;\&#20844;&#25991;&#26657;&#23545;&#27169;&#26412;\2012&#24180;&#22269;&#26631;&#20844;&#25991;&#26684;&#24335;\&#25991;&#26412;&#27169;&#2925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2024-02-04T01:27:00Z</dcterms:created>
  <dc:creator>Administrator</dc:creator>
  <cp:lastModifiedBy>Administrator</cp:lastModifiedBy>
  <dcterms:modified xsi:type="dcterms:W3CDTF">2024-02-04T01:30:34Z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DF41F11C8A104A0C99F9773F3C3D5DFF_11</vt:lpwstr>
  </property>
</Properties>
</file>