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方正小标宋_GBK" w:eastAsia="方正小标宋_GBK" w:cs="方正小标宋_GBK"/>
          <w:sz w:val="44"/>
          <w:szCs w:val="44"/>
        </w:rPr>
      </w:pPr>
      <w:r>
        <w:rPr>
          <w:rFonts w:hint="eastAsia" w:ascii="Times New Roman" w:hAnsi="Times New Roman" w:eastAsia="方正小标宋_GBK" w:cs="方正小标宋_GBK"/>
          <w:sz w:val="44"/>
          <w:szCs w:val="44"/>
          <w:lang w:val="en-US" w:eastAsia="zh-CN"/>
        </w:rPr>
        <w:t>2022年</w:t>
      </w:r>
      <w:r>
        <w:rPr>
          <w:rFonts w:hint="eastAsia" w:ascii="方正小标宋_GBK" w:hAnsi="方正小标宋_GBK" w:eastAsia="方正小标宋_GBK" w:cs="方正小标宋_GBK"/>
          <w:sz w:val="44"/>
          <w:szCs w:val="44"/>
        </w:rPr>
        <w:t>重庆市农村危房改造领域政务公开</w:t>
      </w:r>
    </w:p>
    <w:p>
      <w:pPr>
        <w:spacing w:line="60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方正小标宋_GBK"/>
          <w:sz w:val="44"/>
          <w:szCs w:val="44"/>
        </w:rPr>
        <w:t>标准指引</w:t>
      </w:r>
    </w:p>
    <w:p>
      <w:pPr>
        <w:spacing w:line="600" w:lineRule="exact"/>
        <w:rPr>
          <w:rFonts w:cs="Times New Roman"/>
        </w:rPr>
      </w:pP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依据《住房和城乡建设部办公厅关于印发保障性住房等基层政务公开标准目录的通知》（建办厅〔</w:t>
      </w: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71</w:t>
      </w:r>
      <w:r>
        <w:rPr>
          <w:rFonts w:hint="eastAsia" w:ascii="Times New Roman" w:hAnsi="Times New Roman" w:eastAsia="方正仿宋_GBK" w:cs="方正仿宋_GBK"/>
          <w:sz w:val="32"/>
          <w:szCs w:val="32"/>
        </w:rPr>
        <w:t>号），结合市、区县、乡镇三级权责清单和公共服务事项清单，编制本标准指引。</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一、总体要求</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（一）目的意义。</w:t>
      </w:r>
      <w:r>
        <w:rPr>
          <w:rFonts w:hint="eastAsia" w:ascii="方正仿宋_GBK" w:hAnsi="方正仿宋_GBK" w:eastAsia="方正仿宋_GBK" w:cs="方正仿宋_GBK"/>
          <w:sz w:val="32"/>
          <w:szCs w:val="32"/>
        </w:rPr>
        <w:t>农村危房改造工作是</w:t>
      </w:r>
      <w:r>
        <w:rPr>
          <w:rFonts w:hint="eastAsia" w:ascii="方正仿宋_GBK" w:hAnsi="方正仿宋_GBK" w:eastAsia="方正仿宋_GBK" w:cs="方正仿宋_GBK"/>
          <w:sz w:val="32"/>
          <w:szCs w:val="32"/>
          <w:lang w:eastAsia="zh-CN"/>
        </w:rPr>
        <w:t>巩固拓展</w:t>
      </w:r>
      <w:r>
        <w:rPr>
          <w:rFonts w:hint="eastAsia" w:ascii="方正仿宋_GBK" w:hAnsi="方正仿宋_GBK" w:eastAsia="方正仿宋_GBK" w:cs="方正仿宋_GBK"/>
          <w:sz w:val="32"/>
          <w:szCs w:val="32"/>
        </w:rPr>
        <w:t>脱贫攻坚住房安全保障</w:t>
      </w:r>
      <w:r>
        <w:rPr>
          <w:rFonts w:hint="eastAsia" w:ascii="方正仿宋_GBK" w:hAnsi="方正仿宋_GBK" w:eastAsia="方正仿宋_GBK" w:cs="方正仿宋_GBK"/>
          <w:sz w:val="32"/>
          <w:szCs w:val="32"/>
          <w:lang w:eastAsia="zh-CN"/>
        </w:rPr>
        <w:t>成果</w:t>
      </w:r>
      <w:r>
        <w:rPr>
          <w:rFonts w:hint="eastAsia" w:ascii="方正仿宋_GBK" w:hAnsi="方正仿宋_GBK" w:eastAsia="方正仿宋_GBK" w:cs="方正仿宋_GBK"/>
          <w:sz w:val="32"/>
          <w:szCs w:val="32"/>
        </w:rPr>
        <w:t>的重点工作，是一项察民情、顺民意、暖民心的重要民生工程，关系到贫困群众的切身利益，通过编制标准指引，促进农村危房改造领域政务公开工作，对于增强工作透明度，维护贫困群众的合法权益具有十分重要的意义。同时，编制详实的标准指引，有利于进一步规范农村危房改造工作，促进住房城乡建设相关部门依法依规实施农村危房改造，确保各项政策落地落实落细，使贫困群众更好更快受益。</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（二）预期目标。</w:t>
      </w:r>
      <w:r>
        <w:rPr>
          <w:rFonts w:hint="eastAsia" w:ascii="Times New Roman" w:hAnsi="Times New Roman" w:eastAsia="方正仿宋_GBK" w:cs="方正仿宋_GBK"/>
          <w:sz w:val="32"/>
          <w:szCs w:val="32"/>
        </w:rPr>
        <w:t>在现有农村危房改造领域信息公开工作基础上，按照标准化、规范化要求，进一步细化农村危房改造领域政务公开事项、内容、流程、时限、方式等，全面提高农村危房改造工作信息公开水平，促进政务公开建设，切实维护人民群众的知情权、参与权、表达权和监督权。</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（三）工作原则。</w:t>
      </w:r>
      <w:r>
        <w:rPr>
          <w:rFonts w:hint="eastAsia" w:ascii="方正楷体_GBK" w:hAnsi="方正楷体_GBK" w:eastAsia="方正楷体_GBK" w:cs="方正楷体_GBK"/>
          <w:sz w:val="32"/>
          <w:szCs w:val="32"/>
        </w:rPr>
        <w:t>一是</w:t>
      </w:r>
      <w:r>
        <w:rPr>
          <w:rFonts w:hint="eastAsia" w:ascii="Times New Roman" w:hAnsi="Times New Roman" w:eastAsia="方正仿宋_GBK" w:cs="方正仿宋_GBK"/>
          <w:sz w:val="32"/>
          <w:szCs w:val="32"/>
        </w:rPr>
        <w:t>坚持依法依规。按照政务公开基本要求，严格执行政府信息公开条例和有关法律法规，履行政务公开法定职责，不断提高工作水平和质量。</w:t>
      </w:r>
      <w:r>
        <w:rPr>
          <w:rFonts w:hint="eastAsia" w:ascii="方正楷体_GBK" w:hAnsi="方正楷体_GBK" w:eastAsia="方正楷体_GBK" w:cs="方正楷体_GBK"/>
          <w:sz w:val="32"/>
          <w:szCs w:val="32"/>
        </w:rPr>
        <w:t>二是</w:t>
      </w:r>
      <w:r>
        <w:rPr>
          <w:rFonts w:hint="eastAsia" w:ascii="Times New Roman" w:hAnsi="Times New Roman" w:eastAsia="方正仿宋_GBK" w:cs="方正仿宋_GBK"/>
          <w:sz w:val="32"/>
          <w:szCs w:val="32"/>
        </w:rPr>
        <w:t>坚持紧贴实际。立足基层工作特点、地区工作实际和贫困群众需求，因地制宜，不断充实和更新基层政务公开标准指引内容。</w:t>
      </w:r>
      <w:r>
        <w:rPr>
          <w:rFonts w:hint="eastAsia" w:ascii="方正楷体_GBK" w:hAnsi="方正楷体_GBK" w:eastAsia="方正楷体_GBK" w:cs="方正楷体_GBK"/>
          <w:sz w:val="32"/>
          <w:szCs w:val="32"/>
        </w:rPr>
        <w:t>三是</w:t>
      </w:r>
      <w:r>
        <w:rPr>
          <w:rFonts w:hint="eastAsia" w:ascii="Times New Roman" w:hAnsi="Times New Roman" w:eastAsia="方正仿宋_GBK" w:cs="方正仿宋_GBK"/>
          <w:sz w:val="32"/>
          <w:szCs w:val="32"/>
        </w:rPr>
        <w:t>坚持改革创新。加强集成发布、精准推送、智能查询、服务管理等工作，不断提高政务公开信息化、智能化水平。</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二、适用范围</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本指引适用于各区县住房城乡建设部门、乡镇人民政府（街道办事处）农村危房改造领域政务公开工作。</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三、公开事项与标准目录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《重庆市农村危房改造领域基层政务公开标准目录》（详见附件）共涉及农村危房改造决策、执行、管理、结果和回应关切</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个环节的</w:t>
      </w:r>
      <w:r>
        <w:rPr>
          <w:rFonts w:ascii="Times New Roman" w:hAnsi="Times New Roman" w:eastAsia="方正仿宋_GBK" w:cs="Times New Roman"/>
          <w:sz w:val="32"/>
          <w:szCs w:val="32"/>
        </w:rPr>
        <w:t>16</w:t>
      </w:r>
      <w:r>
        <w:rPr>
          <w:rFonts w:hint="eastAsia" w:ascii="Times New Roman" w:hAnsi="Times New Roman" w:eastAsia="方正仿宋_GBK" w:cs="方正仿宋_GBK"/>
          <w:sz w:val="32"/>
          <w:szCs w:val="32"/>
        </w:rPr>
        <w:t>件公开事项，其中，一级公开事项</w:t>
      </w: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个，分别为部门文件、政策解读、计划实施、条件与标准、对象认定、预算管理、决策部署、年度任务实施、舆情收集热点及关键问题回应；在一级公开事项下细分为</w:t>
      </w:r>
      <w:r>
        <w:rPr>
          <w:rFonts w:ascii="Times New Roman" w:hAnsi="Times New Roman" w:eastAsia="方正仿宋_GBK" w:cs="Times New Roman"/>
          <w:sz w:val="32"/>
          <w:szCs w:val="32"/>
        </w:rPr>
        <w:t>16</w:t>
      </w:r>
      <w:r>
        <w:rPr>
          <w:rFonts w:hint="eastAsia" w:ascii="Times New Roman" w:hAnsi="Times New Roman" w:eastAsia="方正仿宋_GBK" w:cs="方正仿宋_GBK"/>
          <w:sz w:val="32"/>
          <w:szCs w:val="32"/>
        </w:rPr>
        <w:t>个二级公开事项，分别为农村危房改造相关文件、上级政策解读、本级政策解读、任务分配、组织培训、农村危房等级评定标准、农村危房改造对象申请条件、农村危房改造资金补助标准、农村危房改造竣工合格标准、危改户认定程序、认定结果、预算编制和执行情况、决策部署落实情况、年度任务执行情况、舆情收集回应、互动回应。每一事项对公开内容、公开时限、公开主体、公开渠道和载体、公开方式、公开层级等做了明确和规范。国家法律法规和规章对公开事项另有规定的，按有关规定执行。</w:t>
      </w:r>
    </w:p>
    <w:p>
      <w:pPr>
        <w:spacing w:line="60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四、工作要求</w:t>
      </w:r>
    </w:p>
    <w:p>
      <w:pPr>
        <w:adjustRightInd w:val="0"/>
        <w:snapToGrid w:val="0"/>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（一）规范政务公开流程。</w:t>
      </w:r>
      <w:r>
        <w:rPr>
          <w:rFonts w:hint="eastAsia" w:ascii="Times New Roman" w:hAnsi="Times New Roman" w:eastAsia="方正仿宋_GBK" w:cs="方正仿宋_GBK"/>
          <w:sz w:val="32"/>
          <w:szCs w:val="32"/>
        </w:rPr>
        <w:t>各区县住房城乡建设部门要建立完善相关制度，构建发布、解读、回应有序衔接的政务公开格局，优化政府信息管理、信息发布、解读回应、公众参与、监督考核等工作流程。同时，积极探索将政务公开事项标准目录、标准规范嵌入部门业务系统，促进公开工作与业务工作融合发展。</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（二）压紧压实工作责任。</w:t>
      </w:r>
      <w:r>
        <w:rPr>
          <w:rFonts w:hint="eastAsia" w:ascii="Times New Roman" w:hAnsi="Times New Roman" w:eastAsia="方正仿宋_GBK" w:cs="方正仿宋_GBK"/>
          <w:sz w:val="32"/>
          <w:szCs w:val="32"/>
        </w:rPr>
        <w:t>各区县住房城乡建设部门要进一步细化农村危房改造领域政务公开工作流程，进一步明确工作职责，压紧压实工作责任。要结合本区县权责分配实际，明确区县、乡镇的公开职责。要坚持以公开为常态、不公开为例外，通过政府网站等渠道及时公开农村危房改造相关信息。</w:t>
      </w:r>
    </w:p>
    <w:p>
      <w:pPr>
        <w:spacing w:line="60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方正楷体_GBK"/>
          <w:sz w:val="32"/>
          <w:szCs w:val="32"/>
        </w:rPr>
        <w:t>（三）提高公众参与水平。</w:t>
      </w:r>
      <w:r>
        <w:rPr>
          <w:rFonts w:hint="eastAsia" w:ascii="Times New Roman" w:hAnsi="Times New Roman" w:eastAsia="方正仿宋_GBK" w:cs="方正仿宋_GBK"/>
          <w:sz w:val="32"/>
          <w:szCs w:val="32"/>
        </w:rPr>
        <w:t>各区县住房城乡建设部门要充分听取公众意见，扩大公众参与度，提高决策透明度。及时传递解读农村危房改造领域相关政策，运用灵活多样的方式，对群众关心关注的重要政策进行解读和回应，提高政策知晓率。</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市住房城乡建委将对各区县农村危房改造领域基层政务公开工作进行督导检查。</w:t>
      </w:r>
    </w:p>
    <w:p>
      <w:pPr>
        <w:spacing w:line="600" w:lineRule="exact"/>
        <w:ind w:firstLine="640" w:firstLineChars="200"/>
        <w:rPr>
          <w:rFonts w:ascii="Times New Roman" w:hAnsi="Times New Roman" w:eastAsia="方正仿宋_GBK" w:cs="Times New Roman"/>
          <w:sz w:val="32"/>
          <w:szCs w:val="32"/>
        </w:rPr>
      </w:pPr>
    </w:p>
    <w:p>
      <w:pPr>
        <w:spacing w:line="600" w:lineRule="exact"/>
        <w:ind w:left="1598" w:leftChars="304" w:hanging="960" w:hangingChars="3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附件：重庆市农村危房改造领域政务公开标准目录</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2022年版</w:t>
      </w:r>
      <w:r>
        <w:rPr>
          <w:rFonts w:hint="eastAsia" w:ascii="方正仿宋_GBK" w:hAnsi="方正仿宋_GBK" w:eastAsia="方正仿宋_GBK" w:cs="方正仿宋_GBK"/>
          <w:sz w:val="32"/>
          <w:szCs w:val="32"/>
          <w:lang w:eastAsia="zh-CN"/>
        </w:rPr>
        <w:t>）</w:t>
      </w: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rPr>
          <w:rFonts w:ascii="方正黑体_GBK" w:hAnsi="Times New Roman" w:eastAsia="方正黑体_GBK" w:cs="Times New Roman"/>
          <w:sz w:val="32"/>
          <w:szCs w:val="32"/>
        </w:rPr>
        <w:sectPr>
          <w:pgSz w:w="11906" w:h="16838"/>
          <w:pgMar w:top="2098" w:right="1531" w:bottom="2098" w:left="1531" w:header="851" w:footer="992" w:gutter="0"/>
          <w:pgNumType w:fmt="numberInDash"/>
          <w:cols w:space="720" w:num="1"/>
          <w:docGrid w:linePitch="312" w:charSpace="0"/>
        </w:sectPr>
      </w:pPr>
    </w:p>
    <w:p>
      <w:pPr>
        <w:adjustRightInd w:val="0"/>
        <w:snapToGrid w:val="0"/>
        <w:spacing w:line="600" w:lineRule="exact"/>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附件</w:t>
      </w:r>
    </w:p>
    <w:p>
      <w:pPr>
        <w:adjustRightInd w:val="0"/>
        <w:snapToGrid w:val="0"/>
        <w:spacing w:line="600" w:lineRule="exact"/>
        <w:jc w:val="center"/>
        <w:rPr>
          <w:rFonts w:hint="eastAsia" w:ascii="Times New Roman" w:hAnsi="Times New Roman" w:eastAsia="方正小标宋_GBK" w:cs="方正小标宋_GBK"/>
          <w:spacing w:val="-45"/>
          <w:sz w:val="44"/>
          <w:szCs w:val="44"/>
        </w:rPr>
      </w:pPr>
      <w:r>
        <w:rPr>
          <w:rFonts w:hint="eastAsia" w:ascii="方正小标宋_GBK" w:hAnsi="Times New Roman" w:eastAsia="方正小标宋_GBK" w:cs="方正小标宋_GBK"/>
          <w:sz w:val="44"/>
          <w:szCs w:val="44"/>
        </w:rPr>
        <w:t>重庆市农村危房改造领域基层政务公开标准目录</w:t>
      </w:r>
      <w:r>
        <w:rPr>
          <w:rFonts w:hint="eastAsia" w:ascii="Times New Roman" w:hAnsi="Times New Roman" w:eastAsia="方正小标宋_GBK" w:cs="方正小标宋_GBK"/>
          <w:spacing w:val="0"/>
          <w:sz w:val="44"/>
          <w:szCs w:val="44"/>
          <w:lang w:eastAsia="zh-CN"/>
        </w:rPr>
        <w:t>（</w:t>
      </w:r>
      <w:r>
        <w:rPr>
          <w:rFonts w:hint="eastAsia" w:ascii="Times New Roman" w:hAnsi="Times New Roman" w:eastAsia="方正小标宋_GBK" w:cs="方正小标宋_GBK"/>
          <w:spacing w:val="0"/>
          <w:sz w:val="44"/>
          <w:szCs w:val="44"/>
          <w:lang w:val="en-US" w:eastAsia="zh-CN"/>
        </w:rPr>
        <w:t>2022年版</w:t>
      </w:r>
      <w:r>
        <w:rPr>
          <w:rFonts w:hint="eastAsia" w:ascii="Times New Roman" w:hAnsi="Times New Roman" w:eastAsia="方正小标宋_GBK" w:cs="方正小标宋_GBK"/>
          <w:spacing w:val="0"/>
          <w:sz w:val="44"/>
          <w:szCs w:val="44"/>
          <w:lang w:eastAsia="zh-CN"/>
        </w:rPr>
        <w:t>）</w:t>
      </w:r>
    </w:p>
    <w:tbl>
      <w:tblPr>
        <w:tblStyle w:val="2"/>
        <w:tblW w:w="14364" w:type="dxa"/>
        <w:jc w:val="center"/>
        <w:tblLayout w:type="autofit"/>
        <w:tblCellMar>
          <w:top w:w="0" w:type="dxa"/>
          <w:left w:w="0" w:type="dxa"/>
          <w:bottom w:w="0" w:type="dxa"/>
          <w:right w:w="0" w:type="dxa"/>
        </w:tblCellMar>
      </w:tblPr>
      <w:tblGrid>
        <w:gridCol w:w="485"/>
        <w:gridCol w:w="337"/>
        <w:gridCol w:w="607"/>
        <w:gridCol w:w="527"/>
        <w:gridCol w:w="1161"/>
        <w:gridCol w:w="2672"/>
        <w:gridCol w:w="1094"/>
        <w:gridCol w:w="797"/>
        <w:gridCol w:w="3306"/>
        <w:gridCol w:w="338"/>
        <w:gridCol w:w="608"/>
        <w:gridCol w:w="608"/>
        <w:gridCol w:w="608"/>
        <w:gridCol w:w="608"/>
        <w:gridCol w:w="608"/>
      </w:tblGrid>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1832"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决策</w:t>
            </w: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部门</w:t>
            </w:r>
            <w:r>
              <w:rPr>
                <w:rFonts w:ascii="宋体" w:cs="Times New Roman"/>
                <w:color w:val="000000"/>
                <w:kern w:val="0"/>
                <w:sz w:val="18"/>
                <w:szCs w:val="18"/>
              </w:rPr>
              <w:br w:type="textWrapping"/>
            </w:r>
            <w:r>
              <w:rPr>
                <w:rFonts w:hint="eastAsia" w:ascii="宋体" w:hAnsi="宋体" w:cs="宋体"/>
                <w:color w:val="000000"/>
                <w:kern w:val="0"/>
                <w:sz w:val="18"/>
                <w:szCs w:val="18"/>
              </w:rPr>
              <w:t>文件</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农村危房改造相关文件</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文件标题、文号、有效性、关键词、具体内容、生成日期等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3.</w:t>
            </w:r>
            <w:r>
              <w:rPr>
                <w:rFonts w:hint="eastAsia" w:ascii="宋体" w:hAnsi="宋体" w:cs="宋体"/>
                <w:color w:val="000000"/>
                <w:kern w:val="0"/>
                <w:sz w:val="18"/>
                <w:szCs w:val="18"/>
              </w:rPr>
              <w:t>《中共中央办公厅</w:t>
            </w:r>
            <w:r>
              <w:rPr>
                <w:rFonts w:ascii="宋体" w:hAnsi="宋体" w:cs="宋体"/>
                <w:color w:val="000000"/>
                <w:kern w:val="0"/>
                <w:sz w:val="18"/>
                <w:szCs w:val="18"/>
              </w:rPr>
              <w:t xml:space="preserve"> </w:t>
            </w:r>
            <w:r>
              <w:rPr>
                <w:rFonts w:hint="eastAsia" w:ascii="宋体" w:hAnsi="宋体" w:cs="宋体"/>
                <w:color w:val="000000"/>
                <w:kern w:val="0"/>
                <w:sz w:val="18"/>
                <w:szCs w:val="18"/>
              </w:rPr>
              <w:t>国务院办公厅关于建立健全信息发布和政策解读机制的意见》</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4.</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5.</w:t>
            </w:r>
            <w:r>
              <w:rPr>
                <w:rFonts w:hint="eastAsia" w:ascii="宋体" w:hAnsi="宋体" w:cs="宋体"/>
                <w:color w:val="000000"/>
                <w:kern w:val="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302"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2</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政策</w:t>
            </w:r>
            <w:r>
              <w:rPr>
                <w:rFonts w:ascii="宋体" w:cs="Times New Roman"/>
                <w:color w:val="000000"/>
                <w:kern w:val="0"/>
                <w:sz w:val="18"/>
                <w:szCs w:val="18"/>
              </w:rPr>
              <w:br w:type="textWrapping"/>
            </w:r>
            <w:r>
              <w:rPr>
                <w:rFonts w:hint="eastAsia" w:ascii="宋体" w:hAnsi="宋体" w:cs="宋体"/>
                <w:color w:val="000000"/>
                <w:kern w:val="0"/>
                <w:sz w:val="18"/>
                <w:szCs w:val="18"/>
              </w:rPr>
              <w:t>解读</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上级政策解读</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着重解读政策措施的背景依据、目标任务、主要内容、涉及范围、执行标准，以及注意事项、关键词诠释、惠民利民举措、新旧政策差异等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036" w:hRule="atLeast"/>
          <w:jc w:val="center"/>
        </w:trPr>
        <w:tc>
          <w:tcPr>
            <w:tcW w:w="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3</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本级政策解读</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379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4</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执行</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计划</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任务分配</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cs="Times New Roman"/>
                <w:color w:val="auto"/>
                <w:sz w:val="18"/>
                <w:szCs w:val="18"/>
              </w:rPr>
            </w:pPr>
            <w:r>
              <w:rPr>
                <w:rFonts w:hint="eastAsia" w:ascii="宋体" w:hAnsi="宋体" w:cs="宋体"/>
                <w:color w:val="auto"/>
                <w:kern w:val="0"/>
                <w:sz w:val="18"/>
                <w:szCs w:val="18"/>
              </w:rPr>
              <w:t>及时公开农村危房改造补助农户名单</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《住房</w:t>
            </w:r>
            <w:r>
              <w:rPr>
                <w:rFonts w:hint="eastAsia" w:ascii="宋体" w:hAnsi="宋体" w:cs="宋体"/>
                <w:color w:val="auto"/>
                <w:kern w:val="0"/>
                <w:sz w:val="18"/>
                <w:szCs w:val="18"/>
                <w:lang w:eastAsia="zh-CN"/>
              </w:rPr>
              <w:t>和</w:t>
            </w:r>
            <w:r>
              <w:rPr>
                <w:rFonts w:hint="eastAsia" w:ascii="宋体" w:hAnsi="宋体" w:cs="宋体"/>
                <w:color w:val="auto"/>
                <w:kern w:val="0"/>
                <w:sz w:val="18"/>
                <w:szCs w:val="18"/>
              </w:rPr>
              <w:t>城乡建设部 财政部 民政部 国家乡村振兴局关于做好农村低收入群体等重点对象住房安全保障工作的实施意见》</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cs="Times New Roman"/>
                <w:color w:val="auto"/>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重庆市住房和城乡建设委员会重庆市财政局 重庆市民政局 重庆市乡村振兴局 关于做好农村低收入群体等重点对象住房安全保障工作的通知</w:t>
            </w:r>
            <w:r>
              <w:rPr>
                <w:rFonts w:hint="eastAsia" w:ascii="宋体" w:hAnsi="宋体" w:cs="宋体"/>
                <w:color w:val="auto"/>
                <w:kern w:val="0"/>
                <w:sz w:val="18"/>
                <w:szCs w:val="18"/>
              </w:rPr>
              <w:t>》等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分配结果确定后</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3139"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5</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组织培训</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cs="Times New Roman"/>
                <w:color w:val="auto"/>
                <w:sz w:val="18"/>
                <w:szCs w:val="18"/>
              </w:rPr>
            </w:pPr>
            <w:r>
              <w:rPr>
                <w:rFonts w:hint="eastAsia" w:ascii="宋体" w:hAnsi="宋体" w:cs="宋体"/>
                <w:color w:val="auto"/>
                <w:kern w:val="0"/>
                <w:sz w:val="18"/>
                <w:szCs w:val="18"/>
              </w:rPr>
              <w:t>组织开展农村建筑工匠培训文件</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《住房城乡建设部关于切实加强农房建设质量安全管理的通知》</w:t>
            </w:r>
          </w:p>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cs="Times New Roman"/>
                <w:color w:val="auto"/>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重庆市住房和城乡建设委员会重庆市财政局 重庆市民政局 重庆市乡村振兴局 关于做好农村低收入群体等重点对象住房安全保障工作的通知</w:t>
            </w:r>
            <w:r>
              <w:rPr>
                <w:rFonts w:hint="eastAsia" w:ascii="宋体" w:hAnsi="宋体" w:cs="宋体"/>
                <w:color w:val="auto"/>
                <w:kern w:val="0"/>
                <w:sz w:val="18"/>
                <w:szCs w:val="18"/>
              </w:rPr>
              <w:t>》</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2231"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6</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ascii="宋体" w:cs="Times New Roman"/>
                <w:color w:val="000000"/>
                <w:sz w:val="18"/>
                <w:szCs w:val="18"/>
              </w:rPr>
            </w:pPr>
            <w:r>
              <w:rPr>
                <w:rFonts w:hint="eastAsia" w:ascii="宋体" w:hAnsi="宋体" w:cs="宋体"/>
                <w:color w:val="000000"/>
                <w:kern w:val="0"/>
                <w:sz w:val="18"/>
                <w:szCs w:val="18"/>
              </w:rPr>
              <w:t>管理</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条件</w:t>
            </w:r>
          </w:p>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与标</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农村危房等级评定标准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auto"/>
                <w:sz w:val="18"/>
                <w:szCs w:val="18"/>
              </w:rPr>
            </w:pPr>
            <w:r>
              <w:rPr>
                <w:rFonts w:hint="eastAsia" w:ascii="宋体" w:hAnsi="宋体" w:cs="宋体"/>
                <w:color w:val="auto"/>
                <w:kern w:val="0"/>
                <w:sz w:val="18"/>
                <w:szCs w:val="18"/>
              </w:rPr>
              <w:t>农村危房等级评定相关标准</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ascii="宋体" w:cs="Times New Roman"/>
                <w:color w:val="auto"/>
                <w:kern w:val="0"/>
                <w:sz w:val="18"/>
                <w:szCs w:val="18"/>
              </w:rPr>
              <w:br w:type="textWrapping"/>
            </w:r>
            <w:r>
              <w:rPr>
                <w:rFonts w:hint="eastAsia" w:ascii="宋体" w:cs="Times New Roman"/>
                <w:color w:val="auto"/>
                <w:kern w:val="0"/>
                <w:sz w:val="18"/>
                <w:szCs w:val="18"/>
                <w:lang w:val="en-US" w:eastAsia="zh-CN"/>
              </w:rPr>
              <w:t>1.</w:t>
            </w:r>
            <w:r>
              <w:rPr>
                <w:rFonts w:hint="eastAsia" w:ascii="宋体" w:hAnsi="宋体" w:cs="宋体"/>
                <w:color w:val="auto"/>
                <w:kern w:val="0"/>
                <w:sz w:val="18"/>
                <w:szCs w:val="18"/>
              </w:rPr>
              <w:t>《中华人民共和国预算法》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《中华人民共和国政府信息公开条例》</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《住房</w:t>
            </w:r>
            <w:r>
              <w:rPr>
                <w:rFonts w:hint="eastAsia" w:ascii="宋体" w:hAnsi="宋体" w:cs="宋体"/>
                <w:color w:val="auto"/>
                <w:kern w:val="0"/>
                <w:sz w:val="18"/>
                <w:szCs w:val="18"/>
                <w:lang w:eastAsia="zh-CN"/>
              </w:rPr>
              <w:t>和</w:t>
            </w:r>
            <w:r>
              <w:rPr>
                <w:rFonts w:hint="eastAsia" w:ascii="宋体" w:hAnsi="宋体" w:cs="宋体"/>
                <w:color w:val="auto"/>
                <w:kern w:val="0"/>
                <w:sz w:val="18"/>
                <w:szCs w:val="18"/>
              </w:rPr>
              <w:t>城乡建设部 财政部 民政部 国家乡村振兴局关于做好农村低收入群体等重点对象住房安全保障工作的实施意见》</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r>
              <w:rPr>
                <w:rFonts w:hint="eastAsia" w:ascii="宋体" w:hAnsi="宋体" w:eastAsia="宋体" w:cs="宋体"/>
                <w:color w:val="auto"/>
                <w:kern w:val="0"/>
                <w:sz w:val="18"/>
                <w:szCs w:val="18"/>
                <w:lang w:eastAsia="zh-CN"/>
              </w:rPr>
              <w:t>《财政部 住房城乡建设部关于印发〈中央财政农村危房改造补助资金管理暂行办法〉的通知》</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重庆市住房和城乡建设委员会重庆市财政局 重庆市民政局 重庆市乡村振兴局 关于做好农村低收入群体等重点对象住房安全保障工作的通知</w:t>
            </w:r>
            <w:r>
              <w:rPr>
                <w:rFonts w:hint="eastAsia" w:ascii="宋体" w:hAnsi="宋体" w:cs="宋体"/>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《重庆市住房和城乡建设委员会关于印发</w:t>
            </w:r>
            <w:r>
              <w:rPr>
                <w:rFonts w:hint="eastAsia" w:ascii="仿宋" w:hAnsi="仿宋" w:eastAsia="仿宋" w:cs="仿宋"/>
                <w:color w:val="auto"/>
                <w:kern w:val="0"/>
                <w:sz w:val="18"/>
                <w:szCs w:val="18"/>
              </w:rPr>
              <w:t>〈</w:t>
            </w:r>
            <w:r>
              <w:rPr>
                <w:rFonts w:hint="eastAsia" w:ascii="宋体" w:hAnsi="宋体" w:cs="宋体"/>
                <w:color w:val="auto"/>
                <w:kern w:val="0"/>
                <w:sz w:val="18"/>
                <w:szCs w:val="18"/>
              </w:rPr>
              <w:t>重庆市农村住房安全性鉴定技术导则</w:t>
            </w:r>
            <w:r>
              <w:rPr>
                <w:rFonts w:hint="eastAsia" w:ascii="仿宋" w:hAnsi="仿宋" w:eastAsia="仿宋" w:cs="仿宋"/>
                <w:color w:val="auto"/>
                <w:kern w:val="0"/>
                <w:sz w:val="18"/>
                <w:szCs w:val="18"/>
              </w:rPr>
              <w:t>〉</w:t>
            </w:r>
            <w:r>
              <w:rPr>
                <w:rFonts w:hint="eastAsia" w:ascii="宋体" w:hAnsi="宋体" w:cs="宋体"/>
                <w:color w:val="auto"/>
                <w:kern w:val="0"/>
                <w:sz w:val="18"/>
                <w:szCs w:val="18"/>
              </w:rPr>
              <w:t>的通知》</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auto"/>
                <w:sz w:val="18"/>
                <w:szCs w:val="18"/>
              </w:rPr>
            </w:pPr>
            <w:r>
              <w:rPr>
                <w:rFonts w:hint="eastAsia" w:ascii="宋体" w:hAnsi="宋体" w:cs="宋体"/>
                <w:color w:val="auto"/>
                <w:kern w:val="0"/>
                <w:sz w:val="18"/>
                <w:szCs w:val="18"/>
                <w:lang w:val="en-US" w:eastAsia="zh-CN"/>
              </w:rPr>
              <w:t>6.</w:t>
            </w:r>
            <w:r>
              <w:rPr>
                <w:rFonts w:hint="eastAsia" w:ascii="宋体" w:hAnsi="宋体" w:cs="宋体"/>
                <w:color w:val="auto"/>
                <w:kern w:val="0"/>
                <w:sz w:val="18"/>
                <w:szCs w:val="18"/>
              </w:rPr>
              <w:t>《重庆市人民政府关于加快全市农村危房改造的实施意见》等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58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7</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农村危房改造对象申请条件</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农村危房改造农户申请条件</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442"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8</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农村危房改造资金补助标准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农村危房改造资金补助标准</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600"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18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9</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after="180"/>
              <w:jc w:val="center"/>
              <w:textAlignment w:val="center"/>
              <w:rPr>
                <w:rFonts w:ascii="宋体" w:cs="Times New Roman"/>
                <w:color w:val="000000"/>
                <w:sz w:val="18"/>
                <w:szCs w:val="18"/>
              </w:rPr>
            </w:pPr>
            <w:r>
              <w:rPr>
                <w:rFonts w:hint="eastAsia" w:ascii="宋体" w:hAnsi="宋体" w:cs="宋体"/>
                <w:color w:val="000000"/>
                <w:kern w:val="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条件</w:t>
            </w:r>
          </w:p>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与标</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农村危房改造竣工合格标准</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auto"/>
                <w:sz w:val="18"/>
                <w:szCs w:val="18"/>
              </w:rPr>
            </w:pPr>
            <w:r>
              <w:rPr>
                <w:rFonts w:hint="eastAsia" w:ascii="宋体" w:hAnsi="宋体" w:cs="宋体"/>
                <w:color w:val="auto"/>
                <w:kern w:val="0"/>
                <w:sz w:val="18"/>
                <w:szCs w:val="18"/>
              </w:rPr>
              <w:t>农村危房改造竣工验收要求</w:t>
            </w:r>
          </w:p>
        </w:tc>
        <w:tc>
          <w:tcPr>
            <w:tcW w:w="2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《住房</w:t>
            </w:r>
            <w:r>
              <w:rPr>
                <w:rFonts w:hint="eastAsia" w:ascii="宋体" w:hAnsi="宋体" w:cs="宋体"/>
                <w:color w:val="auto"/>
                <w:kern w:val="0"/>
                <w:sz w:val="18"/>
                <w:szCs w:val="18"/>
                <w:lang w:eastAsia="zh-CN"/>
              </w:rPr>
              <w:t>和</w:t>
            </w:r>
            <w:r>
              <w:rPr>
                <w:rFonts w:hint="eastAsia" w:ascii="宋体" w:hAnsi="宋体" w:cs="宋体"/>
                <w:color w:val="auto"/>
                <w:kern w:val="0"/>
                <w:sz w:val="18"/>
                <w:szCs w:val="18"/>
              </w:rPr>
              <w:t>城乡建设部 财政部 民政部 国家乡村振兴局关于做好农村低收入群体等重点对象住房安全保障工作的实施意见》</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2.</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重庆市住房和城乡建设委员会重庆市财政局 重庆市民政局 重庆市乡村振兴局 关于做好农村低收入群体等重点对象住房安全保障工作的通知</w:t>
            </w:r>
            <w:r>
              <w:rPr>
                <w:rFonts w:hint="eastAsia" w:ascii="宋体" w:hAnsi="宋体" w:cs="宋体"/>
                <w:color w:val="auto"/>
                <w:kern w:val="0"/>
                <w:sz w:val="18"/>
                <w:szCs w:val="18"/>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《重庆市住房和城乡建设委员会关于印发〈重庆市农村住房安全性鉴定技术导则〉的通知》</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auto"/>
                <w:sz w:val="18"/>
                <w:szCs w:val="18"/>
              </w:rPr>
            </w:pP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《重庆市人民政府关于加快全市农村危房改造的实施意见》等</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74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10</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kern w:val="0"/>
                <w:sz w:val="18"/>
                <w:szCs w:val="18"/>
              </w:rPr>
            </w:pPr>
            <w:r>
              <w:rPr>
                <w:rFonts w:hint="eastAsia" w:ascii="宋体" w:hAnsi="宋体" w:cs="宋体"/>
                <w:color w:val="000000"/>
                <w:kern w:val="0"/>
                <w:sz w:val="18"/>
                <w:szCs w:val="18"/>
              </w:rPr>
              <w:t>对象</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认定</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危改户认定程序</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农村危房改造申请程序</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89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11</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认定结果</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认定结果</w:t>
            </w:r>
          </w:p>
        </w:tc>
        <w:tc>
          <w:tcPr>
            <w:tcW w:w="2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乡镇人民政府、村委会</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77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12</w:t>
            </w:r>
          </w:p>
        </w:tc>
        <w:tc>
          <w:tcPr>
            <w:tcW w:w="3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管理</w:t>
            </w:r>
          </w:p>
        </w:tc>
        <w:tc>
          <w:tcPr>
            <w:tcW w:w="60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kern w:val="0"/>
                <w:sz w:val="18"/>
                <w:szCs w:val="18"/>
              </w:rPr>
            </w:pPr>
            <w:r>
              <w:rPr>
                <w:rFonts w:hint="eastAsia" w:ascii="宋体" w:hAnsi="宋体" w:cs="宋体"/>
                <w:color w:val="000000"/>
                <w:kern w:val="0"/>
                <w:sz w:val="18"/>
                <w:szCs w:val="18"/>
              </w:rPr>
              <w:t>预算</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管理</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预算编制和执行情况</w:t>
            </w:r>
          </w:p>
        </w:tc>
        <w:tc>
          <w:tcPr>
            <w:tcW w:w="116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预算、预算调整、决算、预算执行情况的报告及报表有关内容，部门预算、决算及报表有关内容</w:t>
            </w:r>
          </w:p>
        </w:tc>
        <w:tc>
          <w:tcPr>
            <w:tcW w:w="2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《中华人民共和国预算法》</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2.</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3.</w:t>
            </w:r>
            <w:r>
              <w:rPr>
                <w:rFonts w:hint="eastAsia" w:ascii="宋体" w:hAnsi="宋体" w:cs="宋体"/>
                <w:color w:val="000000"/>
                <w:kern w:val="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经区县级人民代表大会、人民代表大会常务委员会批准或财政部门批复后</w:t>
            </w:r>
            <w:r>
              <w:rPr>
                <w:rFonts w:ascii="宋体" w:hAnsi="宋体" w:cs="宋体"/>
                <w:color w:val="000000"/>
                <w:kern w:val="0"/>
                <w:sz w:val="18"/>
                <w:szCs w:val="18"/>
              </w:rPr>
              <w:t>20</w:t>
            </w:r>
            <w:r>
              <w:rPr>
                <w:rFonts w:hint="eastAsia" w:ascii="宋体" w:hAnsi="宋体" w:cs="宋体"/>
                <w:color w:val="000000"/>
                <w:kern w:val="0"/>
                <w:sz w:val="18"/>
                <w:szCs w:val="18"/>
              </w:rPr>
              <w:t>日内</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区县财政部门、住房城乡建设部门</w:t>
            </w:r>
          </w:p>
        </w:tc>
        <w:tc>
          <w:tcPr>
            <w:tcW w:w="33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r>
      <w:tr>
        <w:tblPrEx>
          <w:tblCellMar>
            <w:top w:w="0" w:type="dxa"/>
            <w:left w:w="0" w:type="dxa"/>
            <w:bottom w:w="0" w:type="dxa"/>
            <w:right w:w="0" w:type="dxa"/>
          </w:tblCellMar>
        </w:tblPrEx>
        <w:trPr>
          <w:trHeight w:val="478" w:hRule="atLeast"/>
          <w:jc w:val="center"/>
        </w:trPr>
        <w:tc>
          <w:tcPr>
            <w:tcW w:w="485"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序号</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过程</w:t>
            </w:r>
          </w:p>
        </w:tc>
        <w:tc>
          <w:tcPr>
            <w:tcW w:w="11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公开事项</w:t>
            </w:r>
          </w:p>
        </w:tc>
        <w:tc>
          <w:tcPr>
            <w:tcW w:w="116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公开内容</w:t>
            </w:r>
            <w:r>
              <w:rPr>
                <w:rFonts w:ascii="宋体" w:hAnsi="宋体" w:cs="宋体"/>
                <w:b/>
                <w:bCs/>
                <w:color w:val="000000"/>
                <w:kern w:val="0"/>
                <w:sz w:val="18"/>
                <w:szCs w:val="18"/>
              </w:rPr>
              <w:t xml:space="preserve"> </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公开依据</w:t>
            </w:r>
          </w:p>
        </w:tc>
        <w:tc>
          <w:tcPr>
            <w:tcW w:w="10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公开时限</w:t>
            </w:r>
          </w:p>
        </w:tc>
        <w:tc>
          <w:tcPr>
            <w:tcW w:w="7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公开主体</w:t>
            </w:r>
          </w:p>
        </w:tc>
        <w:tc>
          <w:tcPr>
            <w:tcW w:w="33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b/>
                <w:bCs/>
                <w:color w:val="000000"/>
                <w:sz w:val="18"/>
                <w:szCs w:val="18"/>
              </w:rPr>
            </w:pP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（“■”表示必选项，“□”表示可选项）</w:t>
            </w:r>
          </w:p>
        </w:tc>
        <w:tc>
          <w:tcPr>
            <w:tcW w:w="94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公开对象</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公开方式</w:t>
            </w:r>
          </w:p>
        </w:tc>
        <w:tc>
          <w:tcPr>
            <w:tcW w:w="1216"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公开层级</w:t>
            </w:r>
          </w:p>
        </w:tc>
      </w:tr>
      <w:tr>
        <w:tblPrEx>
          <w:tblCellMar>
            <w:top w:w="0" w:type="dxa"/>
            <w:left w:w="0" w:type="dxa"/>
            <w:bottom w:w="0" w:type="dxa"/>
            <w:right w:w="0" w:type="dxa"/>
          </w:tblCellMar>
        </w:tblPrEx>
        <w:trPr>
          <w:trHeight w:val="702" w:hRule="atLeast"/>
          <w:jc w:val="center"/>
        </w:trPr>
        <w:tc>
          <w:tcPr>
            <w:tcW w:w="485"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一级</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事项</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二级事项</w:t>
            </w:r>
          </w:p>
        </w:tc>
        <w:tc>
          <w:tcPr>
            <w:tcW w:w="116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10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7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b/>
                <w:bCs/>
                <w:color w:val="000000"/>
                <w:sz w:val="18"/>
                <w:szCs w:val="18"/>
              </w:rPr>
            </w:pPr>
          </w:p>
        </w:tc>
        <w:tc>
          <w:tcPr>
            <w:tcW w:w="33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b/>
                <w:bCs/>
                <w:color w:val="000000"/>
                <w:sz w:val="18"/>
                <w:szCs w:val="18"/>
              </w:rPr>
            </w:pP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全社会</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特定</w:t>
            </w:r>
            <w:r>
              <w:rPr>
                <w:rFonts w:ascii="宋体" w:hAnsi="宋体" w:cs="宋体"/>
                <w:b/>
                <w:bCs/>
                <w:color w:val="000000"/>
                <w:kern w:val="0"/>
                <w:sz w:val="18"/>
                <w:szCs w:val="18"/>
              </w:rPr>
              <w:t xml:space="preserve"> </w:t>
            </w:r>
            <w:r>
              <w:rPr>
                <w:rFonts w:hint="eastAsia" w:ascii="宋体" w:hAnsi="宋体" w:cs="宋体"/>
                <w:b/>
                <w:bCs/>
                <w:color w:val="000000"/>
                <w:kern w:val="0"/>
                <w:sz w:val="18"/>
                <w:szCs w:val="18"/>
              </w:rPr>
              <w:t>群体</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主动</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依申请</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县级</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乡级</w:t>
            </w:r>
          </w:p>
        </w:tc>
      </w:tr>
      <w:tr>
        <w:tblPrEx>
          <w:tblCellMar>
            <w:top w:w="0" w:type="dxa"/>
            <w:left w:w="0" w:type="dxa"/>
            <w:bottom w:w="0" w:type="dxa"/>
            <w:right w:w="0" w:type="dxa"/>
          </w:tblCellMar>
        </w:tblPrEx>
        <w:trPr>
          <w:trHeight w:val="1968"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13</w:t>
            </w:r>
          </w:p>
        </w:tc>
        <w:tc>
          <w:tcPr>
            <w:tcW w:w="33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结果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cs="Times New Roman"/>
                <w:color w:val="000000"/>
                <w:kern w:val="0"/>
                <w:sz w:val="18"/>
                <w:szCs w:val="18"/>
              </w:rPr>
            </w:pPr>
            <w:r>
              <w:rPr>
                <w:rFonts w:hint="eastAsia" w:ascii="宋体" w:hAnsi="宋体" w:cs="宋体"/>
                <w:color w:val="000000"/>
                <w:kern w:val="0"/>
                <w:sz w:val="18"/>
                <w:szCs w:val="18"/>
              </w:rPr>
              <w:t>决策</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部署</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决策部署落实情况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rPr>
              <w:t>决策部署落实情况等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2.</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3.</w:t>
            </w:r>
            <w:r>
              <w:rPr>
                <w:rFonts w:hint="eastAsia" w:ascii="宋体" w:hAnsi="宋体" w:cs="宋体"/>
                <w:color w:val="000000"/>
                <w:kern w:val="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69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14</w:t>
            </w:r>
          </w:p>
        </w:tc>
        <w:tc>
          <w:tcPr>
            <w:tcW w:w="33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cs="Times New Roman"/>
                <w:color w:val="000000"/>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年度</w:t>
            </w:r>
          </w:p>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任务</w:t>
            </w:r>
          </w:p>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实施</w:t>
            </w:r>
          </w:p>
        </w:tc>
        <w:tc>
          <w:tcPr>
            <w:tcW w:w="5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年度任务执行情况</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rPr>
              <w:t>年度工作完成情况等</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1810"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15</w:t>
            </w:r>
          </w:p>
        </w:tc>
        <w:tc>
          <w:tcPr>
            <w:tcW w:w="33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回应关切</w:t>
            </w:r>
          </w:p>
        </w:tc>
        <w:tc>
          <w:tcPr>
            <w:tcW w:w="60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舆情收集热点及关键问题回应</w:t>
            </w: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舆情收集回应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rPr>
              <w:t>接受投诉、咨询、建议等联系电话、通信地址等</w:t>
            </w:r>
          </w:p>
        </w:tc>
        <w:tc>
          <w:tcPr>
            <w:tcW w:w="26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宋体" w:cs="Times New Roman"/>
                <w:color w:val="00000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《政府信息公开条例》</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3.</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hint="eastAsia" w:ascii="宋体" w:cs="Times New Roman"/>
                <w:color w:val="000000"/>
                <w:kern w:val="0"/>
                <w:sz w:val="18"/>
                <w:szCs w:val="18"/>
                <w:lang w:val="en-US" w:eastAsia="zh-CN"/>
              </w:rPr>
              <w:t>4.</w:t>
            </w:r>
            <w:r>
              <w:rPr>
                <w:rFonts w:hint="eastAsia" w:ascii="宋体" w:hAnsi="宋体" w:cs="宋体"/>
                <w:color w:val="000000"/>
                <w:kern w:val="0"/>
                <w:sz w:val="18"/>
                <w:szCs w:val="18"/>
              </w:rPr>
              <w:t>《住房城乡建设部办公厅关于印发保障性住房等基层政务公开标准目录的通知》</w:t>
            </w: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信息形成之日起</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r>
        <w:tblPrEx>
          <w:tblCellMar>
            <w:top w:w="0" w:type="dxa"/>
            <w:left w:w="0" w:type="dxa"/>
            <w:bottom w:w="0" w:type="dxa"/>
            <w:right w:w="0" w:type="dxa"/>
          </w:tblCellMar>
        </w:tblPrEx>
        <w:trPr>
          <w:trHeight w:val="2036" w:hRule="atLeast"/>
          <w:jc w:val="center"/>
        </w:trPr>
        <w:tc>
          <w:tcPr>
            <w:tcW w:w="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cs="Times New Roman"/>
                <w:color w:val="000000"/>
                <w:sz w:val="18"/>
                <w:szCs w:val="18"/>
              </w:rPr>
            </w:pPr>
            <w:r>
              <w:rPr>
                <w:rFonts w:ascii="宋体" w:hAnsi="宋体" w:cs="宋体"/>
                <w:color w:val="000000"/>
                <w:kern w:val="0"/>
                <w:sz w:val="18"/>
                <w:szCs w:val="18"/>
              </w:rPr>
              <w:t>16</w:t>
            </w:r>
          </w:p>
        </w:tc>
        <w:tc>
          <w:tcPr>
            <w:tcW w:w="33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互动回应</w:t>
            </w:r>
          </w:p>
        </w:tc>
        <w:tc>
          <w:tcPr>
            <w:tcW w:w="116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涉及群众切身利益和舆论关注的焦点热点及关键问题等回应内容</w:t>
            </w:r>
          </w:p>
        </w:tc>
        <w:tc>
          <w:tcPr>
            <w:tcW w:w="26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ascii="宋体" w:cs="Times New Roman"/>
                <w:color w:val="000000"/>
                <w:sz w:val="18"/>
                <w:szCs w:val="18"/>
              </w:rPr>
            </w:pPr>
          </w:p>
        </w:tc>
        <w:tc>
          <w:tcPr>
            <w:tcW w:w="10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7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辖区政府、区县住房城乡建设部门</w:t>
            </w:r>
          </w:p>
        </w:tc>
        <w:tc>
          <w:tcPr>
            <w:tcW w:w="33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cs="Times New Roman"/>
                <w:color w:val="000000"/>
                <w:sz w:val="18"/>
                <w:szCs w:val="18"/>
              </w:rPr>
            </w:pPr>
            <w:r>
              <w:rPr>
                <w:rFonts w:hint="eastAsia" w:ascii="宋体" w:hAnsi="宋体" w:cs="宋体"/>
                <w:color w:val="000000"/>
                <w:kern w:val="0"/>
                <w:sz w:val="18"/>
                <w:szCs w:val="18"/>
              </w:rPr>
              <w:t>■政府网站</w:t>
            </w:r>
            <w:r>
              <w:rPr>
                <w:rFonts w:ascii="宋体" w:hAnsi="宋体" w:cs="宋体"/>
                <w:color w:val="000000"/>
                <w:kern w:val="0"/>
                <w:sz w:val="18"/>
                <w:szCs w:val="18"/>
              </w:rPr>
              <w:t xml:space="preserve">      </w:t>
            </w:r>
            <w:r>
              <w:rPr>
                <w:rFonts w:hint="eastAsia" w:ascii="宋体" w:hAnsi="宋体" w:cs="宋体"/>
                <w:color w:val="000000"/>
                <w:kern w:val="0"/>
                <w:sz w:val="18"/>
                <w:szCs w:val="18"/>
              </w:rPr>
              <w:t>□政府公报</w:t>
            </w:r>
            <w:r>
              <w:rPr>
                <w:rFonts w:ascii="宋体" w:cs="Times New Roman"/>
                <w:color w:val="000000"/>
                <w:kern w:val="0"/>
                <w:sz w:val="18"/>
                <w:szCs w:val="18"/>
              </w:rPr>
              <w:br w:type="textWrapping"/>
            </w:r>
            <w:r>
              <w:rPr>
                <w:rFonts w:hint="eastAsia" w:ascii="宋体" w:hAnsi="宋体" w:cs="宋体"/>
                <w:color w:val="000000"/>
                <w:kern w:val="0"/>
                <w:sz w:val="18"/>
                <w:szCs w:val="18"/>
              </w:rPr>
              <w:t>□两微一端</w:t>
            </w:r>
            <w:r>
              <w:rPr>
                <w:rFonts w:ascii="宋体" w:hAnsi="宋体" w:cs="宋体"/>
                <w:color w:val="000000"/>
                <w:kern w:val="0"/>
                <w:sz w:val="18"/>
                <w:szCs w:val="18"/>
              </w:rPr>
              <w:t xml:space="preserve">      </w:t>
            </w:r>
            <w:r>
              <w:rPr>
                <w:rFonts w:hint="eastAsia" w:ascii="宋体" w:hAnsi="宋体" w:cs="宋体"/>
                <w:color w:val="000000"/>
                <w:kern w:val="0"/>
                <w:sz w:val="18"/>
                <w:szCs w:val="18"/>
              </w:rPr>
              <w:t>□发布会</w:t>
            </w:r>
            <w:r>
              <w:rPr>
                <w:rFonts w:ascii="宋体" w:hAnsi="宋体" w:cs="宋体"/>
                <w:color w:val="000000"/>
                <w:kern w:val="0"/>
                <w:sz w:val="18"/>
                <w:szCs w:val="18"/>
              </w:rPr>
              <w:t>/</w:t>
            </w:r>
            <w:r>
              <w:rPr>
                <w:rFonts w:hint="eastAsia" w:ascii="宋体" w:hAnsi="宋体" w:cs="宋体"/>
                <w:color w:val="000000"/>
                <w:kern w:val="0"/>
                <w:sz w:val="18"/>
                <w:szCs w:val="18"/>
              </w:rPr>
              <w:t>听证会</w:t>
            </w:r>
            <w:r>
              <w:rPr>
                <w:rFonts w:ascii="宋体" w:hAnsi="宋体" w:cs="宋体"/>
                <w:color w:val="000000"/>
                <w:kern w:val="0"/>
                <w:sz w:val="18"/>
                <w:szCs w:val="18"/>
              </w:rPr>
              <w:t xml:space="preserve"> </w:t>
            </w:r>
            <w:r>
              <w:rPr>
                <w:rFonts w:ascii="宋体" w:hAnsi="宋体" w:cs="宋体"/>
                <w:color w:val="000000"/>
                <w:kern w:val="0"/>
                <w:sz w:val="18"/>
                <w:szCs w:val="18"/>
              </w:rPr>
              <w:br w:type="textWrapping"/>
            </w:r>
            <w:r>
              <w:rPr>
                <w:rFonts w:hint="eastAsia" w:ascii="宋体" w:hAnsi="宋体" w:cs="宋体"/>
                <w:color w:val="000000"/>
                <w:kern w:val="0"/>
                <w:sz w:val="18"/>
                <w:szCs w:val="18"/>
              </w:rPr>
              <w:t>□广播电视</w:t>
            </w:r>
            <w:r>
              <w:rPr>
                <w:rFonts w:ascii="宋体" w:hAnsi="宋体" w:cs="宋体"/>
                <w:color w:val="000000"/>
                <w:kern w:val="0"/>
                <w:sz w:val="18"/>
                <w:szCs w:val="18"/>
              </w:rPr>
              <w:t xml:space="preserve">      </w:t>
            </w:r>
            <w:r>
              <w:rPr>
                <w:rFonts w:hint="eastAsia" w:ascii="宋体" w:hAnsi="宋体" w:cs="宋体"/>
                <w:color w:val="000000"/>
                <w:kern w:val="0"/>
                <w:sz w:val="18"/>
                <w:szCs w:val="18"/>
              </w:rPr>
              <w:t>□纸质媒体</w:t>
            </w:r>
            <w:r>
              <w:rPr>
                <w:rFonts w:ascii="宋体" w:cs="Times New Roman"/>
                <w:color w:val="000000"/>
                <w:kern w:val="0"/>
                <w:sz w:val="18"/>
                <w:szCs w:val="18"/>
              </w:rPr>
              <w:br w:type="textWrapping"/>
            </w:r>
            <w:r>
              <w:rPr>
                <w:rFonts w:hint="eastAsia" w:ascii="宋体" w:hAnsi="宋体" w:cs="宋体"/>
                <w:color w:val="000000"/>
                <w:kern w:val="0"/>
                <w:sz w:val="18"/>
                <w:szCs w:val="18"/>
              </w:rPr>
              <w:t>□公开查阅点</w:t>
            </w:r>
            <w:r>
              <w:rPr>
                <w:rFonts w:ascii="宋体" w:hAnsi="宋体" w:cs="宋体"/>
                <w:color w:val="000000"/>
                <w:kern w:val="0"/>
                <w:sz w:val="18"/>
                <w:szCs w:val="18"/>
              </w:rPr>
              <w:t xml:space="preserve">    </w:t>
            </w:r>
            <w:r>
              <w:rPr>
                <w:rFonts w:hint="eastAsia" w:ascii="宋体" w:hAnsi="宋体" w:cs="宋体"/>
                <w:color w:val="000000"/>
                <w:kern w:val="0"/>
                <w:sz w:val="18"/>
                <w:szCs w:val="18"/>
              </w:rPr>
              <w:t>□政务服务中心</w:t>
            </w:r>
            <w:r>
              <w:rPr>
                <w:rFonts w:ascii="宋体" w:cs="Times New Roman"/>
                <w:color w:val="000000"/>
                <w:kern w:val="0"/>
                <w:sz w:val="18"/>
                <w:szCs w:val="18"/>
              </w:rPr>
              <w:br w:type="textWrapping"/>
            </w:r>
            <w:r>
              <w:rPr>
                <w:rFonts w:hint="eastAsia" w:ascii="宋体" w:hAnsi="宋体" w:cs="宋体"/>
                <w:color w:val="000000"/>
                <w:kern w:val="0"/>
                <w:sz w:val="18"/>
                <w:szCs w:val="18"/>
              </w:rPr>
              <w:t>□便民服务站</w:t>
            </w:r>
            <w:r>
              <w:rPr>
                <w:rFonts w:ascii="宋体" w:hAnsi="宋体" w:cs="宋体"/>
                <w:color w:val="000000"/>
                <w:kern w:val="0"/>
                <w:sz w:val="18"/>
                <w:szCs w:val="18"/>
              </w:rPr>
              <w:t xml:space="preserve">    </w:t>
            </w:r>
            <w:r>
              <w:rPr>
                <w:rFonts w:hint="eastAsia" w:ascii="宋体" w:hAnsi="宋体" w:cs="宋体"/>
                <w:color w:val="000000"/>
                <w:kern w:val="0"/>
                <w:sz w:val="18"/>
                <w:szCs w:val="18"/>
              </w:rPr>
              <w:t>□入户</w:t>
            </w:r>
            <w:r>
              <w:rPr>
                <w:rFonts w:ascii="宋体" w:hAnsi="宋体" w:cs="宋体"/>
                <w:color w:val="000000"/>
                <w:kern w:val="0"/>
                <w:sz w:val="18"/>
                <w:szCs w:val="18"/>
              </w:rPr>
              <w:t>/</w:t>
            </w:r>
            <w:r>
              <w:rPr>
                <w:rFonts w:hint="eastAsia" w:ascii="宋体" w:hAnsi="宋体" w:cs="宋体"/>
                <w:color w:val="000000"/>
                <w:kern w:val="0"/>
                <w:sz w:val="18"/>
                <w:szCs w:val="18"/>
              </w:rPr>
              <w:t>现场</w:t>
            </w:r>
            <w:r>
              <w:rPr>
                <w:rFonts w:ascii="宋体" w:cs="Times New Roman"/>
                <w:color w:val="000000"/>
                <w:kern w:val="0"/>
                <w:sz w:val="18"/>
                <w:szCs w:val="18"/>
              </w:rPr>
              <w:br w:type="textWrapping"/>
            </w:r>
            <w:r>
              <w:rPr>
                <w:rFonts w:hint="eastAsia" w:ascii="宋体" w:hAnsi="宋体" w:cs="宋体"/>
                <w:color w:val="000000"/>
                <w:kern w:val="0"/>
                <w:sz w:val="18"/>
                <w:szCs w:val="18"/>
              </w:rPr>
              <w:t>□社区</w:t>
            </w:r>
            <w:r>
              <w:rPr>
                <w:rFonts w:ascii="宋体" w:hAnsi="宋体" w:cs="宋体"/>
                <w:color w:val="000000"/>
                <w:kern w:val="0"/>
                <w:sz w:val="18"/>
                <w:szCs w:val="18"/>
              </w:rPr>
              <w:t>/</w:t>
            </w:r>
            <w:r>
              <w:rPr>
                <w:rFonts w:hint="eastAsia" w:ascii="宋体" w:hAnsi="宋体" w:cs="宋体"/>
                <w:color w:val="000000"/>
                <w:kern w:val="0"/>
                <w:sz w:val="18"/>
                <w:szCs w:val="18"/>
              </w:rPr>
              <w:t>企事业单位</w:t>
            </w:r>
            <w:r>
              <w:rPr>
                <w:rFonts w:ascii="宋体" w:hAnsi="宋体" w:cs="宋体"/>
                <w:color w:val="000000"/>
                <w:kern w:val="0"/>
                <w:sz w:val="18"/>
                <w:szCs w:val="18"/>
              </w:rPr>
              <w:t>/</w:t>
            </w:r>
            <w:r>
              <w:rPr>
                <w:rFonts w:hint="eastAsia" w:ascii="宋体" w:hAnsi="宋体" w:cs="宋体"/>
                <w:color w:val="000000"/>
                <w:kern w:val="0"/>
                <w:sz w:val="18"/>
                <w:szCs w:val="18"/>
              </w:rPr>
              <w:t>村公示栏（电子屏）</w:t>
            </w:r>
            <w:r>
              <w:rPr>
                <w:rFonts w:ascii="宋体" w:cs="Times New Roman"/>
                <w:color w:val="000000"/>
                <w:kern w:val="0"/>
                <w:sz w:val="18"/>
                <w:szCs w:val="18"/>
              </w:rPr>
              <w:br w:type="textWrapping"/>
            </w:r>
            <w:r>
              <w:rPr>
                <w:rFonts w:hint="eastAsia" w:ascii="宋体" w:hAnsi="宋体" w:cs="宋体"/>
                <w:color w:val="000000"/>
                <w:kern w:val="0"/>
                <w:sz w:val="18"/>
                <w:szCs w:val="18"/>
              </w:rPr>
              <w:t>□精准推送</w:t>
            </w:r>
            <w:r>
              <w:rPr>
                <w:rFonts w:ascii="宋体" w:hAnsi="宋体" w:cs="宋体"/>
                <w:color w:val="000000"/>
                <w:kern w:val="0"/>
                <w:sz w:val="18"/>
                <w:szCs w:val="18"/>
              </w:rPr>
              <w:t xml:space="preserve">      </w:t>
            </w:r>
            <w:r>
              <w:rPr>
                <w:rFonts w:hint="eastAsia" w:ascii="宋体" w:hAnsi="宋体" w:cs="宋体"/>
                <w:color w:val="000000"/>
                <w:kern w:val="0"/>
                <w:sz w:val="18"/>
                <w:szCs w:val="18"/>
              </w:rPr>
              <w:t>□其他</w:t>
            </w:r>
            <w:r>
              <w:rPr>
                <w:rFonts w:ascii="宋体" w:hAnsi="宋体" w:cs="宋体"/>
                <w:color w:val="000000"/>
                <w:kern w:val="0"/>
                <w:sz w:val="18"/>
                <w:szCs w:val="18"/>
              </w:rPr>
              <w:t>_</w:t>
            </w:r>
          </w:p>
        </w:tc>
        <w:tc>
          <w:tcPr>
            <w:tcW w:w="3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cs="Times New Roman"/>
                <w:color w:val="000000"/>
                <w:sz w:val="18"/>
                <w:szCs w:val="18"/>
              </w:rPr>
            </w:pPr>
          </w:p>
        </w:tc>
        <w:tc>
          <w:tcPr>
            <w:tcW w:w="6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w:t>
            </w:r>
          </w:p>
        </w:tc>
      </w:tr>
    </w:tbl>
    <w:p>
      <w:pPr>
        <w:adjustRightInd w:val="0"/>
        <w:snapToGrid w:val="0"/>
        <w:spacing w:line="600" w:lineRule="exact"/>
        <w:rPr>
          <w:rFonts w:ascii="Times New Roman" w:hAnsi="Times New Roman" w:eastAsia="方正仿宋_GBK" w:cs="Times New Roman"/>
          <w:sz w:val="32"/>
          <w:szCs w:val="32"/>
        </w:rPr>
        <w:sectPr>
          <w:pgSz w:w="16838" w:h="11906" w:orient="landscape"/>
          <w:pgMar w:top="1531" w:right="2098" w:bottom="1531" w:left="2098" w:header="851" w:footer="992" w:gutter="0"/>
          <w:pgNumType w:fmt="numberInDash"/>
          <w:cols w:space="720" w:num="1"/>
          <w:docGrid w:linePitch="312" w:charSpace="0"/>
        </w:sectPr>
      </w:pPr>
    </w:p>
    <w:p>
      <w:pPr>
        <w:adjustRightInd w:val="0"/>
        <w:snapToGrid w:val="0"/>
        <w:spacing w:line="600" w:lineRule="exact"/>
        <w:ind w:firstLine="640" w:firstLineChars="200"/>
        <w:rPr>
          <w:rFonts w:ascii="Times New Roman" w:hAnsi="Times New Roman" w:eastAsia="方正仿宋_GBK"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E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2022-10-28T08:27:13Z</dcterms:created>
  <dc:creator>Administrator</dc:creator>
  <cp:lastModifiedBy>ping</cp:lastModifiedBy>
  <dcterms:modified xsi:type="dcterms:W3CDTF">2022-10-28T08:27:30Z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E524087CDAAA494E936C82004B90D602</vt:lpwstr>
  </property>
</Properties>
</file>