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eastAsia" w:ascii="方正小标宋_GBK" w:hAnsi="华文中宋" w:eastAsia="方正小标宋_GBK" w:cs="华文中宋"/>
          <w:b/>
          <w:sz w:val="44"/>
          <w:szCs w:val="44"/>
        </w:rPr>
      </w:pPr>
      <w:r>
        <w:rPr>
          <w:rFonts w:hint="eastAsia" w:ascii="方正小标宋_GBK" w:hAnsi="华文中宋" w:eastAsia="方正小标宋_GBK" w:cs="华文中宋"/>
          <w:b/>
          <w:sz w:val="44"/>
          <w:szCs w:val="44"/>
        </w:rPr>
        <w:t>彭水苗族土家族自治县龙射镇人民政府</w:t>
      </w:r>
    </w:p>
    <w:p>
      <w:pPr>
        <w:spacing w:line="596" w:lineRule="exact"/>
        <w:jc w:val="center"/>
        <w:rPr>
          <w:rFonts w:hint="eastAsia" w:ascii="方正小标宋_GBK" w:hAnsi="华文中宋" w:eastAsia="方正小标宋_GBK" w:cs="华文中宋"/>
          <w:b/>
          <w:sz w:val="44"/>
          <w:szCs w:val="44"/>
        </w:rPr>
      </w:pPr>
      <w:bookmarkStart w:id="0" w:name="_GoBack"/>
      <w:r>
        <w:rPr>
          <w:rFonts w:hint="eastAsia" w:ascii="方正小标宋_GBK" w:hAnsi="华文中宋" w:eastAsia="方正小标宋_GBK" w:cs="华文中宋"/>
          <w:b/>
          <w:sz w:val="44"/>
          <w:szCs w:val="44"/>
        </w:rPr>
        <w:t>2021年部门预算情况说明</w:t>
      </w:r>
    </w:p>
    <w:bookmarkEnd w:id="0"/>
    <w:p>
      <w:pPr>
        <w:spacing w:line="596" w:lineRule="exact"/>
        <w:ind w:firstLine="880" w:firstLineChars="200"/>
        <w:jc w:val="center"/>
        <w:rPr>
          <w:rFonts w:hint="eastAsia" w:ascii="华文中宋" w:hAnsi="华文中宋" w:eastAsia="华文中宋" w:cs="华文中宋"/>
          <w:sz w:val="44"/>
          <w:szCs w:val="44"/>
        </w:rPr>
      </w:pPr>
    </w:p>
    <w:p>
      <w:pPr>
        <w:spacing w:line="596"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一、单位基本情况</w:t>
      </w:r>
    </w:p>
    <w:p>
      <w:pPr>
        <w:spacing w:line="596" w:lineRule="exact"/>
        <w:ind w:firstLine="640" w:firstLineChars="200"/>
        <w:rPr>
          <w:rFonts w:hint="eastAsia" w:ascii="方正楷体_GBK" w:hAnsi="仿宋_GB2312" w:eastAsia="方正楷体_GBK" w:cs="仿宋_GB2312"/>
          <w:sz w:val="32"/>
        </w:rPr>
      </w:pPr>
      <w:r>
        <w:rPr>
          <w:rFonts w:hint="eastAsia" w:ascii="方正楷体_GBK" w:hAnsi="仿宋_GB2312" w:eastAsia="方正楷体_GBK" w:cs="仿宋_GB2312"/>
          <w:sz w:val="32"/>
        </w:rPr>
        <w:t>（一）职能职责</w:t>
      </w:r>
    </w:p>
    <w:p>
      <w:pPr>
        <w:spacing w:line="596" w:lineRule="exact"/>
        <w:ind w:firstLine="640" w:firstLineChars="200"/>
        <w:rPr>
          <w:rFonts w:ascii="方正仿宋_GBK" w:hAnsi="仿宋_GB2312" w:eastAsia="方正仿宋_GBK" w:cs="仿宋_GB2312"/>
          <w:sz w:val="32"/>
        </w:rPr>
      </w:pPr>
      <w:r>
        <w:rPr>
          <w:rFonts w:ascii="方正仿宋_GBK" w:hAnsi="仿宋_GB2312" w:eastAsia="方正仿宋_GBK" w:cs="仿宋_GB2312"/>
          <w:sz w:val="32"/>
        </w:rPr>
        <w:t xml:space="preserve">（1）强化公共服务。负责辖区综合事务管理，行使组织领导、综合协调、监督监察等行政管理职责。配合搞好辖区科技、教育、文化、卫生、就业、食品药品监管等工作。做好居民社会养老保险、居民医保、职工医保等社会保障工作及环境保护工作。   </w:t>
      </w:r>
    </w:p>
    <w:p>
      <w:pPr>
        <w:spacing w:line="596" w:lineRule="exact"/>
        <w:ind w:firstLine="640" w:firstLineChars="200"/>
        <w:rPr>
          <w:rFonts w:ascii="方正仿宋_GBK" w:hAnsi="仿宋_GB2312" w:eastAsia="方正仿宋_GBK" w:cs="仿宋_GB2312"/>
          <w:sz w:val="32"/>
        </w:rPr>
      </w:pPr>
      <w:r>
        <w:rPr>
          <w:rFonts w:ascii="方正仿宋_GBK" w:hAnsi="仿宋_GB2312" w:eastAsia="方正仿宋_GBK" w:cs="仿宋_GB2312"/>
          <w:sz w:val="32"/>
        </w:rPr>
        <w:t>（2）加强社会管理。加强平安建设宣传、普法教育、矛盾纠纷调处，做好群众来信来访处置、民族宗教、社区娇正等工作，提升社会治安综合治理水平。加强流动人口管理，配合搞好人口与计划生育工作。协助做好辖区应急、防汛、防震、抢险、人防、</w:t>
      </w:r>
      <w:r>
        <w:rPr>
          <w:rFonts w:hint="eastAsia" w:ascii="方正仿宋_GBK" w:hAnsi="仿宋_GB2312" w:eastAsia="方正仿宋_GBK" w:cs="仿宋_GB2312"/>
          <w:sz w:val="32"/>
        </w:rPr>
        <w:t>房管及安全生</w:t>
      </w:r>
      <w:r>
        <w:rPr>
          <w:rFonts w:ascii="方正仿宋_GBK" w:hAnsi="仿宋_GB2312" w:eastAsia="方正仿宋_GBK" w:cs="仿宋_GB2312"/>
          <w:sz w:val="32"/>
        </w:rPr>
        <w:t>产监督检查等工作。协助做好国防动员、民兵训练和公民服兵役等工作。</w:t>
      </w:r>
    </w:p>
    <w:p>
      <w:pPr>
        <w:spacing w:line="596" w:lineRule="exact"/>
        <w:ind w:firstLine="640" w:firstLineChars="200"/>
        <w:rPr>
          <w:rFonts w:ascii="方正仿宋_GBK" w:hAnsi="仿宋_GB2312" w:eastAsia="方正仿宋_GBK" w:cs="仿宋_GB2312"/>
          <w:sz w:val="32"/>
        </w:rPr>
      </w:pPr>
      <w:r>
        <w:rPr>
          <w:rFonts w:ascii="方正仿宋_GBK" w:hAnsi="仿宋_GB2312" w:eastAsia="方正仿宋_GBK" w:cs="仿宋_GB2312"/>
          <w:sz w:val="32"/>
        </w:rPr>
        <w:t>（3）发展农业产业，搞好</w:t>
      </w:r>
      <w:r>
        <w:rPr>
          <w:rFonts w:hint="eastAsia" w:ascii="方正仿宋_GBK" w:hAnsi="仿宋_GB2312" w:eastAsia="方正仿宋_GBK" w:cs="仿宋_GB2312"/>
          <w:sz w:val="32"/>
        </w:rPr>
        <w:t>“三农”</w:t>
      </w:r>
      <w:r>
        <w:rPr>
          <w:rFonts w:ascii="方正仿宋_GBK" w:hAnsi="仿宋_GB2312" w:eastAsia="方正仿宋_GBK" w:cs="仿宋_GB2312"/>
          <w:sz w:val="32"/>
        </w:rPr>
        <w:t>服务。负责辖区农业产业发展、农业综合开发、扶贫开发、商贸流通、动植物防疫、气象公共服务与灾害防御等工作。</w:t>
      </w:r>
    </w:p>
    <w:p>
      <w:pPr>
        <w:spacing w:line="596" w:lineRule="exact"/>
        <w:ind w:firstLine="640" w:firstLineChars="200"/>
        <w:rPr>
          <w:rFonts w:ascii="方正仿宋_GBK" w:hAnsi="仿宋_GB2312" w:eastAsia="方正仿宋_GBK" w:cs="仿宋_GB2312"/>
          <w:sz w:val="32"/>
        </w:rPr>
      </w:pPr>
      <w:r>
        <w:rPr>
          <w:rFonts w:ascii="方正仿宋_GBK" w:hAnsi="仿宋_GB2312" w:eastAsia="方正仿宋_GBK" w:cs="仿宋_GB2312"/>
          <w:sz w:val="32"/>
        </w:rPr>
        <w:t>（4）优化发展环境。配合搞好辖区产业规划制定，为招商引资、产业结构调整等提供良好服务。配合搞好辖区劳动监察、文化市场监管等有关工作。参与城市管理，配合做好市政建设、社区规划等工作，组织开展创建文明城市、卫生城市、文明单位等活动，提供辖区有关统计数据。</w:t>
      </w:r>
    </w:p>
    <w:p>
      <w:pPr>
        <w:spacing w:line="596" w:lineRule="exact"/>
        <w:ind w:firstLine="640" w:firstLineChars="200"/>
        <w:rPr>
          <w:rFonts w:ascii="方正仿宋_GBK" w:hAnsi="仿宋_GB2312" w:eastAsia="方正仿宋_GBK" w:cs="仿宋_GB2312"/>
          <w:sz w:val="32"/>
        </w:rPr>
      </w:pPr>
      <w:r>
        <w:rPr>
          <w:rFonts w:ascii="方正仿宋_GBK" w:hAnsi="仿宋_GB2312" w:eastAsia="方正仿宋_GBK" w:cs="仿宋_GB2312"/>
          <w:sz w:val="32"/>
        </w:rPr>
        <w:t>（5）完成上级人民政府交办的其他工作。</w:t>
      </w:r>
    </w:p>
    <w:p>
      <w:pPr>
        <w:spacing w:line="596" w:lineRule="exact"/>
        <w:ind w:firstLine="640" w:firstLineChars="200"/>
        <w:rPr>
          <w:rFonts w:hint="eastAsia" w:ascii="方正楷体_GBK" w:hAnsi="仿宋_GB2312" w:eastAsia="方正楷体_GBK" w:cs="仿宋_GB2312"/>
          <w:sz w:val="32"/>
        </w:rPr>
      </w:pPr>
      <w:r>
        <w:rPr>
          <w:rFonts w:hint="eastAsia" w:ascii="方正楷体_GBK" w:hAnsi="仿宋_GB2312" w:eastAsia="方正楷体_GBK" w:cs="仿宋_GB2312"/>
          <w:sz w:val="32"/>
        </w:rPr>
        <w:t>（二）单位构成</w:t>
      </w:r>
    </w:p>
    <w:p>
      <w:pPr>
        <w:spacing w:line="596"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龙射镇距县城34公里，与平安镇、保家镇、普子镇、棣棠乡、鹿鸣乡及丰都县都督乡、武隆区后坪乡连界，幅员面积160.41平方公里。辖9村1居委76个村（居）民小组，户籍人口7674户23089人，镇内基层党支部11个，党员467人。镇内主导产业有烤烟、薯类、中药材、榨菜、畜牧、劳务、林业、商贸等。</w:t>
      </w:r>
      <w:r>
        <w:rPr>
          <w:rFonts w:ascii="方正仿宋_GBK" w:hAnsi="仿宋_GB2312" w:eastAsia="方正仿宋_GBK" w:cs="仿宋_GB2312"/>
          <w:sz w:val="32"/>
        </w:rPr>
        <w:t>编制人员</w:t>
      </w:r>
      <w:r>
        <w:rPr>
          <w:rFonts w:hint="eastAsia" w:ascii="方正仿宋_GBK" w:hAnsi="仿宋_GB2312" w:eastAsia="方正仿宋_GBK" w:cs="仿宋_GB2312"/>
          <w:sz w:val="32"/>
        </w:rPr>
        <w:t>39</w:t>
      </w:r>
      <w:r>
        <w:rPr>
          <w:rFonts w:ascii="方正仿宋_GBK" w:hAnsi="仿宋_GB2312" w:eastAsia="方正仿宋_GBK" w:cs="仿宋_GB2312"/>
          <w:sz w:val="32"/>
        </w:rPr>
        <w:t>人，行政编制</w:t>
      </w:r>
      <w:r>
        <w:rPr>
          <w:rFonts w:hint="eastAsia" w:ascii="方正仿宋_GBK" w:hAnsi="仿宋_GB2312" w:eastAsia="方正仿宋_GBK" w:cs="仿宋_GB2312"/>
          <w:sz w:val="32"/>
        </w:rPr>
        <w:t>22</w:t>
      </w:r>
      <w:r>
        <w:rPr>
          <w:rFonts w:ascii="方正仿宋_GBK" w:hAnsi="仿宋_GB2312" w:eastAsia="方正仿宋_GBK" w:cs="仿宋_GB2312"/>
          <w:sz w:val="32"/>
        </w:rPr>
        <w:t>人，事业编制</w:t>
      </w:r>
      <w:r>
        <w:rPr>
          <w:rFonts w:hint="eastAsia" w:ascii="方正仿宋_GBK" w:hAnsi="仿宋_GB2312" w:eastAsia="方正仿宋_GBK" w:cs="仿宋_GB2312"/>
          <w:sz w:val="32"/>
        </w:rPr>
        <w:t>16</w:t>
      </w:r>
      <w:r>
        <w:rPr>
          <w:rFonts w:ascii="方正仿宋_GBK" w:hAnsi="仿宋_GB2312" w:eastAsia="方正仿宋_GBK" w:cs="仿宋_GB2312"/>
          <w:sz w:val="32"/>
        </w:rPr>
        <w:t>人</w:t>
      </w:r>
      <w:r>
        <w:rPr>
          <w:rFonts w:hint="eastAsia" w:ascii="方正仿宋_GBK" w:hAnsi="仿宋_GB2312" w:eastAsia="方正仿宋_GBK" w:cs="仿宋_GB2312"/>
          <w:sz w:val="32"/>
        </w:rPr>
        <w:t>，</w:t>
      </w:r>
      <w:r>
        <w:rPr>
          <w:rFonts w:ascii="方正仿宋_GBK" w:hAnsi="仿宋_GB2312" w:eastAsia="方正仿宋_GBK" w:cs="仿宋_GB2312"/>
          <w:sz w:val="32"/>
        </w:rPr>
        <w:t>机关工勤</w:t>
      </w:r>
      <w:r>
        <w:rPr>
          <w:rFonts w:hint="eastAsia" w:ascii="方正仿宋_GBK" w:hAnsi="仿宋_GB2312" w:eastAsia="方正仿宋_GBK" w:cs="仿宋_GB2312"/>
          <w:sz w:val="32"/>
        </w:rPr>
        <w:t>1</w:t>
      </w:r>
      <w:r>
        <w:rPr>
          <w:rFonts w:ascii="方正仿宋_GBK" w:hAnsi="仿宋_GB2312" w:eastAsia="方正仿宋_GBK" w:cs="仿宋_GB2312"/>
          <w:sz w:val="32"/>
        </w:rPr>
        <w:t>人。</w:t>
      </w:r>
      <w:r>
        <w:rPr>
          <w:rFonts w:hint="eastAsia" w:ascii="方正仿宋_GBK" w:hAnsi="仿宋_GB2312" w:eastAsia="方正仿宋_GBK" w:cs="仿宋_GB2312"/>
          <w:sz w:val="32"/>
        </w:rPr>
        <w:t>龙射镇人民政府</w:t>
      </w:r>
      <w:r>
        <w:rPr>
          <w:rFonts w:ascii="方正仿宋_GBK" w:hAnsi="仿宋_GB2312" w:eastAsia="方正仿宋_GBK" w:cs="仿宋_GB2312"/>
          <w:sz w:val="32"/>
        </w:rPr>
        <w:t>下设</w:t>
      </w:r>
      <w:r>
        <w:rPr>
          <w:rFonts w:hint="eastAsia" w:ascii="方正仿宋_GBK" w:hAnsi="仿宋_GB2312" w:eastAsia="方正仿宋_GBK" w:cs="仿宋_GB2312"/>
          <w:sz w:val="32"/>
        </w:rPr>
        <w:t>人大常委会办公室</w:t>
      </w:r>
      <w:r>
        <w:rPr>
          <w:rFonts w:ascii="方正仿宋_GBK" w:hAnsi="仿宋_GB2312" w:eastAsia="方正仿宋_GBK" w:cs="仿宋_GB2312"/>
          <w:sz w:val="32"/>
        </w:rPr>
        <w:t>、党政办公室、党群办公室、民政办公室</w:t>
      </w:r>
      <w:r>
        <w:rPr>
          <w:rFonts w:hint="eastAsia" w:ascii="方正仿宋_GBK" w:hAnsi="仿宋_GB2312" w:eastAsia="方正仿宋_GBK" w:cs="仿宋_GB2312"/>
          <w:sz w:val="32"/>
        </w:rPr>
        <w:t>、乡村振兴办公室</w:t>
      </w:r>
      <w:r>
        <w:rPr>
          <w:rFonts w:ascii="方正仿宋_GBK" w:hAnsi="仿宋_GB2312" w:eastAsia="方正仿宋_GBK" w:cs="仿宋_GB2312"/>
          <w:sz w:val="32"/>
        </w:rPr>
        <w:t>、财政办公室、平安建设办公室、规划建设管理环保办公室、应急办公室、综合执法</w:t>
      </w:r>
      <w:r>
        <w:rPr>
          <w:rFonts w:hint="eastAsia" w:ascii="方正仿宋_GBK" w:hAnsi="仿宋_GB2312" w:eastAsia="方正仿宋_GBK" w:cs="仿宋_GB2312"/>
          <w:sz w:val="32"/>
        </w:rPr>
        <w:t>大队、退役军人事务站、自然资源与林业服务中心、农业服务中心、文化服务中心</w:t>
      </w:r>
      <w:r>
        <w:rPr>
          <w:rFonts w:ascii="方正仿宋_GBK" w:hAnsi="仿宋_GB2312" w:eastAsia="方正仿宋_GBK" w:cs="仿宋_GB2312"/>
          <w:sz w:val="32"/>
        </w:rPr>
        <w:t>。</w:t>
      </w:r>
    </w:p>
    <w:p>
      <w:pPr>
        <w:spacing w:line="596"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二、单位收支总体情况</w:t>
      </w:r>
    </w:p>
    <w:p>
      <w:pPr>
        <w:spacing w:line="596" w:lineRule="exact"/>
        <w:ind w:firstLine="640" w:firstLineChars="200"/>
        <w:rPr>
          <w:rFonts w:hint="eastAsia" w:ascii="方正仿宋_GBK" w:hAnsi="仿宋_GB2312" w:eastAsia="方正仿宋_GBK" w:cs="仿宋_GB2312"/>
          <w:sz w:val="32"/>
        </w:rPr>
      </w:pPr>
      <w:r>
        <w:rPr>
          <w:rFonts w:hint="eastAsia" w:ascii="方正楷体_GBK" w:hAnsi="仿宋_GB2312" w:eastAsia="方正楷体_GBK" w:cs="仿宋_GB2312"/>
          <w:sz w:val="32"/>
        </w:rPr>
        <w:t>（一）收入预算</w:t>
      </w:r>
      <w:r>
        <w:rPr>
          <w:rFonts w:hint="eastAsia" w:ascii="方正仿宋_GBK" w:hAnsi="仿宋_GB2312" w:eastAsia="方正仿宋_GBK" w:cs="仿宋_GB2312"/>
          <w:sz w:val="32"/>
        </w:rPr>
        <w:t>：2021年年初预算数1447.4万元，其中：一般公共预算拨款1447.4万元，政府性基金预算拨款0万元，国有资本经营预算收入0万元，事业收入0万元，事业单位经营收入0万元，其他收入0万元。收入较2020年减少124.63万元，主要是一般公共预算拨款减少124.63万元。</w:t>
      </w:r>
    </w:p>
    <w:p>
      <w:pPr>
        <w:spacing w:line="596" w:lineRule="exact"/>
        <w:ind w:firstLine="640" w:firstLineChars="200"/>
        <w:rPr>
          <w:rFonts w:hint="eastAsia" w:ascii="方正仿宋_GBK" w:hAnsi="仿宋_GB2312" w:eastAsia="方正仿宋_GBK" w:cs="仿宋_GB2312"/>
          <w:sz w:val="32"/>
        </w:rPr>
      </w:pPr>
      <w:r>
        <w:rPr>
          <w:rFonts w:hint="eastAsia" w:ascii="方正楷体_GBK" w:hAnsi="仿宋_GB2312" w:eastAsia="方正楷体_GBK" w:cs="仿宋_GB2312"/>
          <w:sz w:val="32"/>
        </w:rPr>
        <w:t>（二）支出预算</w:t>
      </w:r>
      <w:r>
        <w:rPr>
          <w:rFonts w:hint="eastAsia" w:ascii="方正仿宋_GBK" w:hAnsi="仿宋_GB2312" w:eastAsia="方正仿宋_GBK" w:cs="仿宋_GB2312"/>
          <w:sz w:val="32"/>
        </w:rPr>
        <w:t>：2021年年初预算数1447.4万元，其中：一般公共服务支出预算579万元，文化旅游体育与传媒支出预算29.84万元，社会保障和就业支出预算355.43万元，卫生健康支出预算36.2万元，城乡社区支出预算42万元, 农林水支出350.37万元，住房保障支出54.56万元。支出预算较2020年减少124.63万元，主要是基本支出预算减少124.63万元。</w:t>
      </w:r>
    </w:p>
    <w:p>
      <w:pPr>
        <w:spacing w:line="596"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三、单位预算情况说明</w:t>
      </w:r>
    </w:p>
    <w:p>
      <w:pPr>
        <w:spacing w:line="596"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2021年一般公共预算财政拨款收入1447.4万元，一般公共预算财政拨款支出1447.4万元，比2020年增加124.63万元。其中：基本支出1447.4万元，比2020年减少124.63万元，主要原因是人员经费中目标绩效考核拨款减少，主要用于保障在职人员工资福利及社会保险缴费，离休人员离休费，退休人员补助等，保障部门正常运转的各项商品服务支出；项目支出0万元，比2020年增加0万元，主要原因是人大会议、遗属补助、村社区经费等未编入项目支出等，无相关重点工作。</w:t>
      </w:r>
    </w:p>
    <w:p>
      <w:pPr>
        <w:spacing w:line="596"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龙射镇人民政府2021年无使用政府性基金预算拨款安排的支出。</w:t>
      </w:r>
    </w:p>
    <w:p>
      <w:pPr>
        <w:spacing w:line="596"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四、“三公”经费情况说明</w:t>
      </w:r>
    </w:p>
    <w:p>
      <w:pPr>
        <w:spacing w:line="596" w:lineRule="exact"/>
        <w:ind w:firstLine="600"/>
        <w:rPr>
          <w:rFonts w:hint="eastAsia" w:ascii="方正仿宋_GBK" w:hAnsi="仿宋_GB2312" w:eastAsia="方正仿宋_GBK" w:cs="仿宋_GB2312"/>
          <w:sz w:val="32"/>
        </w:rPr>
      </w:pPr>
      <w:r>
        <w:rPr>
          <w:rFonts w:hint="eastAsia" w:ascii="方正仿宋_GBK" w:hAnsi="仿宋_GB2312" w:eastAsia="方正仿宋_GBK" w:cs="仿宋_GB2312"/>
          <w:sz w:val="32"/>
        </w:rPr>
        <w:t>2021年“三公”经费预算13.6万元，比2020年减少0.6万元。其中：因公出国（境）费用0万元，与2020年持平，主要原因是龙射镇人民政府2021年未安排人员因公出国（境）；公务接待费5.6万元，比2020年增加1.4万元，主要原因是工作人员增加，工作需要；公务用车运行维护费8万元，比2020年减少2万元，主要原因是严格执行公务用车运行维护制度，公务用车运行维护费下降；公务用车购置费0万元，比2020年减少0万元；主要原因是2021年未安排公务用车购置。</w:t>
      </w:r>
    </w:p>
    <w:p>
      <w:pPr>
        <w:spacing w:line="596"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spacing w:line="596"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1、机关运行经费。2021年一般公共预算财政拨款运行经费182.5万元。比上年增加3.4万元，主要原因为相关人员变动，增加相关费用。主要用于办公费、印刷费、邮电费、水电费、物管费、差旅费、会议费、培训费及其他商品和服务支出等。</w:t>
      </w:r>
    </w:p>
    <w:p>
      <w:pPr>
        <w:spacing w:line="596"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2、政府采购情况。本单位政府采购预算总额10万元：政府采购货物预算10万元、政府采购工程预算0万元、政府采购服务预算0万元；其中一般公共预算拨款政府采购10万元：政府采购货物预算10万元、政府采购工程预算0万元、政府采购服务预算0万元。</w:t>
      </w:r>
    </w:p>
    <w:p>
      <w:pPr>
        <w:spacing w:line="596" w:lineRule="exact"/>
        <w:ind w:firstLine="640" w:firstLineChars="200"/>
        <w:rPr>
          <w:rFonts w:ascii="方正仿宋_GBK" w:hAnsi="仿宋_GB2312" w:eastAsia="方正仿宋_GBK" w:cs="仿宋_GB2312"/>
          <w:color w:val="000000"/>
          <w:sz w:val="32"/>
        </w:rPr>
      </w:pPr>
      <w:r>
        <w:rPr>
          <w:rFonts w:hint="eastAsia" w:ascii="方正仿宋_GBK" w:hAnsi="仿宋_GB2312" w:eastAsia="方正仿宋_GBK" w:cs="仿宋_GB2312"/>
          <w:sz w:val="32"/>
        </w:rPr>
        <w:t>3、绩效目标设置情况。</w:t>
      </w:r>
      <w:r>
        <w:rPr>
          <w:rFonts w:hint="eastAsia" w:ascii="方正仿宋_GBK" w:hAnsi="仿宋_GB2312" w:eastAsia="方正仿宋_GBK" w:cs="仿宋_GB2312"/>
          <w:color w:val="000000"/>
          <w:sz w:val="32"/>
        </w:rPr>
        <w:t>2021年无项目支出，未实行均实行了绩效目标管理。</w:t>
      </w:r>
    </w:p>
    <w:p>
      <w:pPr>
        <w:spacing w:line="596"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4、国有资产占有使用情况。截止2020年12月，所属各预算单位共有车辆3辆，其中一般公务用车0辆、执勤执法用车3辆。2021年一般公共预算安排购置车辆0辆，其中一般公务用车 0辆、执勤执法用车0辆。</w:t>
      </w:r>
    </w:p>
    <w:p>
      <w:pPr>
        <w:spacing w:line="596"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六、专业性名词解释</w:t>
      </w:r>
    </w:p>
    <w:p>
      <w:pPr>
        <w:spacing w:line="596" w:lineRule="exact"/>
        <w:ind w:firstLine="640" w:firstLineChars="200"/>
        <w:rPr>
          <w:rFonts w:hint="eastAsia" w:ascii="方正仿宋_GBK" w:hAnsi="仿宋_GB2312" w:eastAsia="方正仿宋_GBK" w:cs="仿宋_GB2312"/>
          <w:sz w:val="32"/>
        </w:rPr>
      </w:pPr>
      <w:r>
        <w:rPr>
          <w:rFonts w:hint="eastAsia" w:ascii="方正楷体_GBK" w:hAnsi="仿宋_GB2312" w:eastAsia="方正楷体_GBK" w:cs="仿宋_GB2312"/>
          <w:sz w:val="32"/>
        </w:rPr>
        <w:t>（一）财政拨款收入</w:t>
      </w:r>
      <w:r>
        <w:rPr>
          <w:rFonts w:hint="eastAsia" w:ascii="方正仿宋_GBK" w:hAnsi="仿宋_GB2312" w:eastAsia="方正仿宋_GBK" w:cs="仿宋_GB2312"/>
          <w:sz w:val="32"/>
        </w:rPr>
        <w:t>：指本年度从本级财政部门取得的财政拨款，包括一般公共预算财政拨款和政府性基金预算财政拨款。</w:t>
      </w:r>
    </w:p>
    <w:p>
      <w:pPr>
        <w:spacing w:line="596" w:lineRule="exact"/>
        <w:ind w:firstLine="640" w:firstLineChars="200"/>
        <w:rPr>
          <w:rFonts w:hint="eastAsia" w:ascii="方正仿宋_GBK" w:hAnsi="仿宋_GB2312" w:eastAsia="方正仿宋_GBK" w:cs="仿宋_GB2312"/>
          <w:sz w:val="32"/>
        </w:rPr>
      </w:pPr>
      <w:r>
        <w:rPr>
          <w:rFonts w:hint="eastAsia" w:ascii="方正楷体_GBK" w:hAnsi="仿宋_GB2312" w:eastAsia="方正楷体_GBK" w:cs="仿宋_GB2312"/>
          <w:sz w:val="32"/>
        </w:rPr>
        <w:t>（二）其他收入</w:t>
      </w:r>
      <w:r>
        <w:rPr>
          <w:rFonts w:hint="eastAsia" w:ascii="方正仿宋_GBK" w:hAnsi="仿宋_GB2312" w:eastAsia="方正仿宋_GBK" w:cs="仿宋_GB2312"/>
          <w:sz w:val="32"/>
        </w:rPr>
        <w:t>：指单位取得的除“财政拨款收入”、“事业收入”、“经营收入”等以外的收入。</w:t>
      </w:r>
    </w:p>
    <w:p>
      <w:pPr>
        <w:spacing w:line="596" w:lineRule="exact"/>
        <w:ind w:firstLine="640" w:firstLineChars="200"/>
        <w:rPr>
          <w:rFonts w:hint="eastAsia" w:ascii="方正仿宋_GBK" w:hAnsi="仿宋_GB2312" w:eastAsia="方正仿宋_GBK" w:cs="仿宋_GB2312"/>
          <w:sz w:val="32"/>
        </w:rPr>
      </w:pPr>
      <w:r>
        <w:rPr>
          <w:rFonts w:hint="eastAsia" w:ascii="方正楷体_GBK" w:hAnsi="仿宋_GB2312" w:eastAsia="方正楷体_GBK" w:cs="仿宋_GB2312"/>
          <w:sz w:val="32"/>
        </w:rPr>
        <w:t>（三）基本支出</w:t>
      </w:r>
      <w:r>
        <w:rPr>
          <w:rFonts w:hint="eastAsia" w:ascii="方正仿宋_GBK" w:hAnsi="仿宋_GB2312" w:eastAsia="方正仿宋_GBK" w:cs="仿宋_GB2312"/>
          <w:sz w:val="32"/>
        </w:rPr>
        <w:t>：指为保障机构正常运转、完成日常工作任务而发生的人员经费和公用经费。</w:t>
      </w:r>
    </w:p>
    <w:p>
      <w:pPr>
        <w:spacing w:line="596" w:lineRule="exact"/>
        <w:ind w:firstLine="640" w:firstLineChars="200"/>
        <w:rPr>
          <w:rFonts w:hint="eastAsia" w:ascii="方正仿宋_GBK" w:hAnsi="仿宋_GB2312" w:eastAsia="方正仿宋_GBK" w:cs="仿宋_GB2312"/>
          <w:sz w:val="32"/>
        </w:rPr>
      </w:pPr>
      <w:r>
        <w:rPr>
          <w:rFonts w:hint="eastAsia" w:ascii="方正楷体_GBK" w:hAnsi="仿宋_GB2312" w:eastAsia="方正楷体_GBK" w:cs="仿宋_GB2312"/>
          <w:sz w:val="32"/>
        </w:rPr>
        <w:t>（四）项目支出</w:t>
      </w:r>
      <w:r>
        <w:rPr>
          <w:rFonts w:hint="eastAsia" w:ascii="方正仿宋_GBK" w:hAnsi="仿宋_GB2312" w:eastAsia="方正仿宋_GBK" w:cs="仿宋_GB2312"/>
          <w:sz w:val="32"/>
        </w:rPr>
        <w:t>：指在基本支出之外为完成特定行政任务和事业发展目标所发生的支出。</w:t>
      </w:r>
    </w:p>
    <w:p>
      <w:pPr>
        <w:spacing w:line="596" w:lineRule="exact"/>
        <w:ind w:firstLine="640" w:firstLineChars="200"/>
        <w:rPr>
          <w:rFonts w:hint="eastAsia" w:ascii="方正仿宋_GBK" w:hAnsi="仿宋_GB2312" w:eastAsia="方正仿宋_GBK" w:cs="仿宋_GB2312"/>
          <w:sz w:val="32"/>
        </w:rPr>
      </w:pPr>
      <w:r>
        <w:rPr>
          <w:rFonts w:hint="eastAsia" w:ascii="方正楷体_GBK" w:hAnsi="仿宋_GB2312" w:eastAsia="方正楷体_GBK" w:cs="仿宋_GB2312"/>
          <w:sz w:val="32"/>
        </w:rPr>
        <w:t>（五）“三公”经费</w:t>
      </w:r>
      <w:r>
        <w:rPr>
          <w:rFonts w:hint="eastAsia" w:ascii="方正仿宋_GBK" w:hAnsi="仿宋_GB2312" w:eastAsia="方正仿宋_GBK" w:cs="仿宋_GB2312"/>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96" w:lineRule="exact"/>
        <w:rPr>
          <w:rFonts w:hint="eastAsia" w:ascii="仿宋_GB2312" w:hAnsi="仿宋_GB2312" w:eastAsia="仿宋_GB2312" w:cs="仿宋_GB2312"/>
          <w:b/>
          <w:sz w:val="32"/>
        </w:rPr>
      </w:pPr>
      <w:r>
        <w:rPr>
          <w:rFonts w:hint="eastAsia" w:ascii="方正仿宋_GBK" w:hAnsi="仿宋_GB2312" w:eastAsia="方正仿宋_GBK" w:cs="仿宋_GB2312"/>
          <w:b/>
          <w:sz w:val="32"/>
        </w:rPr>
        <w:t>部门预算公开联系人：罗江游         联系方式：023-78498072</w:t>
      </w:r>
    </w:p>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altName w:val="微软雅黑"/>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OWJlYjM4MzM3NGQ1MWMzZTcyYTcxYmQ5MDUyM2QifQ=="/>
  </w:docVars>
  <w:rsids>
    <w:rsidRoot w:val="29EF7474"/>
    <w:rsid w:val="29EF7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2285</Words>
  <Characters>2486</Characters>
  <Lines>0</Lines>
  <Paragraphs>0</Paragraphs>
  <TotalTime>1</TotalTime>
  <ScaleCrop>false</ScaleCrop>
  <LinksUpToDate>false</LinksUpToDate>
  <CharactersWithSpaces>2500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2023-06-13T02:20:00Z</dcterms:created>
  <dc:creator>Administrator</dc:creator>
  <cp:lastModifiedBy>Administrator</cp:lastModifiedBy>
  <dcterms:modified xsi:type="dcterms:W3CDTF">2023-06-13T02:22:48Z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03D0DAA3F2A049A18C92A43896F51305_11</vt:lpwstr>
  </property>
</Properties>
</file>