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彭水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自治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县区片综合地价标准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28"/>
          <w:szCs w:val="28"/>
        </w:rPr>
        <w:t>单位：万元/亩</w:t>
      </w:r>
    </w:p>
    <w:tbl>
      <w:tblPr>
        <w:tblStyle w:val="3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890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区片综合地价标准</w:t>
            </w:r>
          </w:p>
        </w:tc>
        <w:tc>
          <w:tcPr>
            <w:tcW w:w="5489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2496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范   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7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9" w:type="dxa"/>
            <w:vMerge w:val="continue"/>
            <w:noWrap w:val="0"/>
            <w:vAlign w:val="top"/>
          </w:tcPr>
          <w:p>
            <w:pPr>
              <w:widowControl/>
              <w:tabs>
                <w:tab w:val="center" w:pos="2496"/>
              </w:tabs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一类片区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4.79</w:t>
            </w:r>
          </w:p>
        </w:tc>
        <w:tc>
          <w:tcPr>
            <w:tcW w:w="5489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汉葭街道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绍庆街道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靛水街道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二类片区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4.53</w:t>
            </w:r>
          </w:p>
        </w:tc>
        <w:tc>
          <w:tcPr>
            <w:tcW w:w="548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保家镇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高谷镇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郁山镇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平安镇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龙射镇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 xml:space="preserve">  黄家镇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万足镇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新田镇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鹿角镇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连湖镇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 xml:space="preserve">  鞍子镇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普子镇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桑柘镇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润溪乡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三类片区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4.25</w:t>
            </w:r>
          </w:p>
        </w:tc>
        <w:tc>
          <w:tcPr>
            <w:tcW w:w="5489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三义乡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太原镇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棣棠乡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鹿鸣乡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芦塘乡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联合乡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石柳乡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龙溪镇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走马乡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长生镇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 xml:space="preserve">  大垭乡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龙塘乡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双龙乡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善感乡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乔梓乡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 xml:space="preserve">  诸佛乡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桐楼乡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大同镇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岩东乡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石盘乡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朗溪乡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梅子垭镇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彭水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自治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县农村房屋重置价格补偿标准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right="0"/>
        <w:jc w:val="right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28"/>
          <w:szCs w:val="28"/>
        </w:rPr>
        <w:t>单位：元/平方米</w:t>
      </w:r>
    </w:p>
    <w:tbl>
      <w:tblPr>
        <w:tblStyle w:val="3"/>
        <w:tblW w:w="9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4445"/>
        <w:gridCol w:w="2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32"/>
                <w:szCs w:val="32"/>
              </w:rPr>
              <w:t>结构类别</w:t>
            </w: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32"/>
                <w:szCs w:val="32"/>
              </w:rPr>
              <w:t>房屋结构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  <w:t>标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  <w:t>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钢砼结构</w:t>
            </w: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框架（剪力墙）现浇盖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砖混结构</w:t>
            </w: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砖墙（条石）预制盖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砖木结构</w:t>
            </w: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砖墙（木板）穿逗瓦盖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砖墙（片石）瓦盖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砖墙石棉瓦盖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（含油毡、玻纤瓦、彩钢瓦）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土墙结构</w:t>
            </w: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土墙瓦盖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石棉瓦、玻纤瓦盖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简易结构</w:t>
            </w: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砖柱（石柱、木柱、钢柱）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石棉瓦盖（油毡、玻纤瓦、彩钢瓦）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简易棚房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</w:rPr>
              <w:t>160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8"/>
          <w:szCs w:val="28"/>
        </w:rPr>
        <w:t>说明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：1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房屋层高在2.2米以下（不含2.2米），1.5米以上（含1.5米）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的，按同类房屋面积的70%计算补偿。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8"/>
          <w:szCs w:val="28"/>
          <w:lang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房屋层高在1.5米以下（不含1.5米），1米以上（含1米）的，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按同类房屋面积的50%计算补偿。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8"/>
          <w:szCs w:val="28"/>
          <w:lang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房屋层高在1米以下（不含1米）的，按同类房屋面积的20%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计算补偿。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8"/>
          <w:szCs w:val="28"/>
          <w:lang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外阳台、屋檐按同类房屋的50%计算。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28"/>
          <w:szCs w:val="28"/>
          <w:lang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</w:rPr>
        <w:t>房屋面积以外墙尺寸计算。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</w:rPr>
        <w:t>彭水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  <w:lang w:eastAsia="zh-CN"/>
        </w:rPr>
        <w:t>自治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</w:rPr>
        <w:t>县农村房屋装饰装修补助标准</w:t>
      </w:r>
    </w:p>
    <w:p>
      <w:pPr>
        <w:pStyle w:val="2"/>
        <w:jc w:val="right"/>
        <w:rPr>
          <w:rFonts w:hint="default" w:ascii="Times New Roman" w:hAnsi="Times New Roman" w:eastAsia="方正楷体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napToGrid w:val="0"/>
          <w:color w:val="000000"/>
          <w:kern w:val="0"/>
          <w:sz w:val="28"/>
          <w:szCs w:val="28"/>
          <w:lang w:eastAsia="zh-CN"/>
        </w:rPr>
        <w:t>单位：元</w:t>
      </w:r>
    </w:p>
    <w:tbl>
      <w:tblPr>
        <w:tblStyle w:val="3"/>
        <w:tblpPr w:leftFromText="180" w:rightFromText="180" w:vertAnchor="text" w:tblpY="1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2782"/>
        <w:gridCol w:w="928"/>
        <w:gridCol w:w="1104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名   称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结构及规格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单价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(元)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房屋屋基平整费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钢砼、砖混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砖木、土墙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简易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残值堆放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以建筑面积为准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墙面装饰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水涂料（干粉、钢化）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乳胶漆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贴板、墙纸（布）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硅藻泥、艺术漆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内粉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外粉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内、外墙砖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外墙漆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门    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套装门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890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简易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木门、木窗不予补偿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防盗门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1020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塑钢门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扇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钛（镁）合金门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不锈钢门（玻璃滑门）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钢管铁门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铝合金窗（塑钢窗）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卷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帘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窗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、钢条窗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栏杆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不锈钢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木结构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墙体吊柜、橱柜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木质、瓷砖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硫璃瓦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嵌入式衣柜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马桶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陶瓷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（面盒）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陶瓷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煮酒灶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废弃的不予补偿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组合灶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瓷砖、大理石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灶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单眼灶</w:t>
            </w:r>
          </w:p>
        </w:tc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双眼灶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960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室内地面装饰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水磨地板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强化木地板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实木木地板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100×100地砖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80×80地砖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60×60地砖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锣马柱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水泥、木质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室内装饰吊顶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木层板或石膏板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铝扣板、塑料扣板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石膏线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石沙、片石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立方米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（未使用）搬迁费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水泥砖、砂砖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0.4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（未使用成品砖）搬迁费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钢管（高压管）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排污管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塑料、水泥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洗衣台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水泥、瓷砖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大理石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水缸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水泥（石板）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瓷砖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防盗网（窗）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不锈钢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铝合金</w:t>
            </w: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闭路电视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电话（含宽带）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座机电话搬迁费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水户头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天然气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动力电户头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3200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民用电户头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850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柜式空调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挂式空调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太阳能热水器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搬迁费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电视墙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石膏</w:t>
            </w:r>
          </w:p>
        </w:tc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木质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瓷砖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大理石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4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</w:rPr>
        <w:t>彭水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  <w:lang w:eastAsia="zh-CN"/>
        </w:rPr>
        <w:t>自治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000000"/>
          <w:kern w:val="0"/>
          <w:sz w:val="44"/>
          <w:szCs w:val="44"/>
        </w:rPr>
        <w:t>县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农村房屋附属设施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补偿标准</w:t>
      </w:r>
    </w:p>
    <w:tbl>
      <w:tblPr>
        <w:tblStyle w:val="3"/>
        <w:tblpPr w:leftFromText="180" w:rightFromText="180" w:vertAnchor="text" w:tblpY="1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41"/>
        <w:gridCol w:w="1118"/>
        <w:gridCol w:w="1487"/>
        <w:gridCol w:w="3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称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结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构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单价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（元）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（鱼塘坎）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条石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立方米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集体改田坎、改土堡坎、房屋基础堡坎不予补偿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片石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砖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土围墙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路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水泥路面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人行道路一律不予补偿；水泥路面厚度在10厘米以上按水泥路面补偿，10厘米以下按碎石泥结路面补偿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碎石（含条石）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泥结路面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简易路面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（机耕道）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井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条石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立方米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水井按容积计算补偿后不再按材料计算补偿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土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机井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坝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石板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60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地坝指正规成形的晒坝或院坝，非正规不成形的坝子一律不予计算补偿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三合土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土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粪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蓄水池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条石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立方米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按标准补偿的粪池、蓄水池，其材料不在补偿，燕窝形粪坑不予补偿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坚石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、片石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渠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条石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指人工砌筑的专用水渠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片石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（砖、三合土）</w:t>
            </w: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杆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9米上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水泥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电杆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电杆指乡镇以下集体、个人投资的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9米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（含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9米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以下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水泥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电杆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室外电线</w:t>
            </w:r>
          </w:p>
        </w:tc>
        <w:tc>
          <w:tcPr>
            <w:tcW w:w="18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照明电线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电线指乡镇以下集体、个人投资的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动力电线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室外水管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不含市政管网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沼气池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废弃的沼气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池不予补偿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苕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洞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0"/>
          <w:sz w:val="28"/>
          <w:szCs w:val="28"/>
        </w:rPr>
        <w:t>说明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>：</w:t>
      </w:r>
      <w:r>
        <w:rPr>
          <w:rFonts w:hint="eastAsia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>经补偿后的原构筑物由被征地单位或个人自行处置。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>上表没有规定补偿标准的构（附）着物，按市场重置价进行补偿。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3D7C"/>
    <w:rsid w:val="1BF91F86"/>
    <w:rsid w:val="5FCA6EE0"/>
    <w:rsid w:val="64E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县政府办公室</Company>
  <Pages>8</Pages>
  <Words>1672</Words>
  <Characters>1900</Characters>
  <Lines>0</Lines>
  <Paragraphs>0</Paragraphs>
  <TotalTime>0</TotalTime>
  <ScaleCrop>false</ScaleCrop>
  <LinksUpToDate>false</LinksUpToDate>
  <CharactersWithSpaces>1962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2021-07-16T03:23:00Z</dcterms:created>
  <dc:creator>pitter</dc:creator>
  <cp:lastModifiedBy>田浩磊</cp:lastModifiedBy>
  <dcterms:modified xsi:type="dcterms:W3CDTF">2023-07-12T02:49:47Z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7B0FDB47097A483C927D68F8A71E1206</vt:lpwstr>
  </property>
</Properties>
</file>