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57" w:rsidRDefault="004D61A7">
      <w:pPr>
        <w:widowControl/>
        <w:spacing w:line="560"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彭水苗族土家族自治县人民政府政策研究室</w:t>
      </w:r>
    </w:p>
    <w:p w:rsidR="00166C57" w:rsidRDefault="004D61A7">
      <w:pPr>
        <w:widowControl/>
        <w:spacing w:line="560" w:lineRule="exact"/>
        <w:jc w:val="center"/>
        <w:outlineLvl w:val="0"/>
      </w:pPr>
      <w:r>
        <w:rPr>
          <w:rFonts w:ascii="Times New Roman" w:eastAsia="方正小标宋_GBK" w:hAnsi="Times New Roman" w:cs="Times New Roman" w:hint="eastAsia"/>
          <w:sz w:val="44"/>
          <w:szCs w:val="44"/>
        </w:rPr>
        <w:t>关于</w:t>
      </w:r>
      <w:r>
        <w:rPr>
          <w:rFonts w:ascii="Times New Roman" w:eastAsia="方正小标宋_GBK" w:hAnsi="Times New Roman" w:cs="Times New Roman"/>
          <w:sz w:val="44"/>
          <w:szCs w:val="44"/>
          <w:shd w:val="clear" w:color="auto" w:fill="FFFFFF"/>
        </w:rPr>
        <w:t>202</w:t>
      </w:r>
      <w:r>
        <w:rPr>
          <w:rFonts w:ascii="Times New Roman" w:eastAsia="方正小标宋_GBK" w:hAnsi="Times New Roman" w:cs="Times New Roman" w:hint="eastAsia"/>
          <w:sz w:val="44"/>
          <w:szCs w:val="44"/>
          <w:shd w:val="clear" w:color="auto" w:fill="FFFFFF"/>
        </w:rPr>
        <w:t>4</w:t>
      </w:r>
      <w:r>
        <w:rPr>
          <w:rFonts w:ascii="Times New Roman" w:eastAsia="方正小标宋_GBK" w:hAnsi="Times New Roman" w:cs="Times New Roman"/>
          <w:sz w:val="44"/>
          <w:szCs w:val="44"/>
          <w:shd w:val="clear" w:color="auto" w:fill="FFFFFF"/>
        </w:rPr>
        <w:t>年度</w:t>
      </w:r>
      <w:r>
        <w:rPr>
          <w:rFonts w:ascii="Times New Roman" w:eastAsia="方正小标宋_GBK" w:hAnsi="Times New Roman" w:cs="Times New Roman" w:hint="eastAsia"/>
          <w:sz w:val="44"/>
          <w:szCs w:val="44"/>
          <w:shd w:val="clear" w:color="auto" w:fill="FFFFFF"/>
        </w:rPr>
        <w:t>部门</w:t>
      </w:r>
      <w:r>
        <w:rPr>
          <w:rFonts w:ascii="Times New Roman" w:eastAsia="方正小标宋_GBK" w:hAnsi="Times New Roman" w:cs="Times New Roman"/>
          <w:sz w:val="44"/>
          <w:szCs w:val="44"/>
          <w:shd w:val="clear" w:color="auto" w:fill="FFFFFF"/>
        </w:rPr>
        <w:t>决算</w:t>
      </w:r>
      <w:r>
        <w:rPr>
          <w:rFonts w:ascii="Times New Roman" w:eastAsia="方正小标宋_GBK" w:hAnsi="Times New Roman" w:cs="Times New Roman" w:hint="eastAsia"/>
          <w:sz w:val="44"/>
          <w:szCs w:val="44"/>
          <w:shd w:val="clear" w:color="auto" w:fill="FFFFFF"/>
        </w:rPr>
        <w:t>的</w:t>
      </w:r>
      <w:r>
        <w:rPr>
          <w:rFonts w:ascii="Times New Roman" w:eastAsia="方正小标宋_GBK" w:hAnsi="Times New Roman" w:cs="Times New Roman"/>
          <w:sz w:val="44"/>
          <w:szCs w:val="44"/>
          <w:shd w:val="clear" w:color="auto" w:fill="FFFFFF"/>
        </w:rPr>
        <w:t>情况说明</w:t>
      </w:r>
    </w:p>
    <w:p w:rsidR="00166C57" w:rsidRDefault="00166C57">
      <w:pPr>
        <w:widowControl/>
        <w:tabs>
          <w:tab w:val="left" w:pos="820"/>
        </w:tabs>
        <w:spacing w:line="580" w:lineRule="exact"/>
        <w:ind w:firstLineChars="200" w:firstLine="640"/>
        <w:rPr>
          <w:rFonts w:ascii="Times New Roman" w:eastAsia="方正黑体_GBK" w:hAnsi="Times New Roman" w:cs="Times New Roman"/>
          <w:sz w:val="32"/>
          <w:szCs w:val="32"/>
        </w:rPr>
      </w:pPr>
    </w:p>
    <w:p w:rsidR="00166C57" w:rsidRDefault="004D61A7">
      <w:pPr>
        <w:widowControl/>
        <w:tabs>
          <w:tab w:val="left" w:pos="820"/>
        </w:tabs>
        <w:spacing w:line="580" w:lineRule="exact"/>
        <w:ind w:firstLineChars="200" w:firstLine="640"/>
        <w:outlineLvl w:val="0"/>
        <w:rPr>
          <w:rFonts w:ascii="Times New Roman" w:eastAsia="方正仿宋_GBK" w:hAnsi="Times New Roman" w:cs="Times New Roman"/>
          <w:sz w:val="32"/>
          <w:szCs w:val="32"/>
        </w:rPr>
      </w:pPr>
      <w:r>
        <w:rPr>
          <w:rFonts w:ascii="Times New Roman" w:eastAsia="方正黑体_GBK" w:hAnsi="Times New Roman" w:cs="Times New Roman"/>
          <w:sz w:val="32"/>
          <w:szCs w:val="32"/>
        </w:rPr>
        <w:t>一、</w:t>
      </w:r>
      <w:r>
        <w:rPr>
          <w:rFonts w:ascii="Times New Roman" w:eastAsia="方正黑体_GBK" w:hAnsi="Times New Roman" w:cs="Times New Roman"/>
          <w:sz w:val="32"/>
          <w:szCs w:val="32"/>
        </w:rPr>
        <w:t>部门基本情况</w:t>
      </w:r>
    </w:p>
    <w:p w:rsidR="00166C57" w:rsidRDefault="004D61A7">
      <w:pPr>
        <w:widowControl/>
        <w:spacing w:line="580" w:lineRule="exact"/>
        <w:ind w:firstLineChars="200" w:firstLine="640"/>
        <w:outlineLvl w:val="1"/>
        <w:rPr>
          <w:rFonts w:ascii="Times New Roman" w:eastAsia="方正黑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一</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职能职责</w:t>
      </w:r>
      <w:r>
        <w:rPr>
          <w:rFonts w:ascii="Times New Roman" w:eastAsia="方正楷体_GBK" w:hAnsi="Times New Roman" w:cs="Times New Roman"/>
          <w:sz w:val="32"/>
          <w:szCs w:val="32"/>
        </w:rPr>
        <w:t>。</w:t>
      </w:r>
    </w:p>
    <w:p w:rsidR="00166C57" w:rsidRDefault="004D61A7">
      <w:pPr>
        <w:widowControl/>
        <w:tabs>
          <w:tab w:val="left" w:pos="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协调县级部门和乡镇（街道）对改革发展重大问题进行调研，协助制定全县中长期发展规划，承担或参与县政府重要会议的统筹和重大政策性文件的撰写、修改、审核工作，协助承担全县政府系统网站建设管理、政务信息公开工作。</w:t>
      </w:r>
      <w:r>
        <w:rPr>
          <w:rFonts w:ascii="Times New Roman" w:eastAsia="方正仿宋_GBK" w:hAnsi="Times New Roman" w:cs="Times New Roman"/>
          <w:sz w:val="32"/>
          <w:szCs w:val="32"/>
        </w:rPr>
        <w:t>具体分为：</w:t>
      </w:r>
    </w:p>
    <w:p w:rsidR="00166C57" w:rsidRDefault="004D61A7">
      <w:pPr>
        <w:widowControl/>
        <w:numPr>
          <w:ilvl w:val="0"/>
          <w:numId w:val="1"/>
        </w:numPr>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参与对中央、市委、市政府、县委重大决策部署开展研究分析，对全县经济社会发展、生态文明建设、脱贫攻坚、乡村振兴、安全稳定等方面的重大问题开展调查研究，为县政府提供决策参考和咨询服务。</w:t>
      </w:r>
    </w:p>
    <w:p w:rsidR="00166C57" w:rsidRDefault="004D61A7">
      <w:pPr>
        <w:widowControl/>
        <w:numPr>
          <w:ilvl w:val="0"/>
          <w:numId w:val="1"/>
        </w:numPr>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围绕县政府重大决策部署和重点调研课题，协调县级部门和乡镇、街道进行专题调研；对县政府的重大决策实施情况进行跟踪调查和前瞻性研究，向县政府反映新情况、新问题、新经验，提出政策性意见和建议。</w:t>
      </w:r>
    </w:p>
    <w:p w:rsidR="00166C57" w:rsidRDefault="004D61A7">
      <w:pPr>
        <w:widowControl/>
        <w:numPr>
          <w:ilvl w:val="0"/>
          <w:numId w:val="1"/>
        </w:numPr>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协助有关单位研究制定全县中长期经济社会发展战略、发展规划和工作思路。</w:t>
      </w:r>
    </w:p>
    <w:p w:rsidR="00166C57" w:rsidRDefault="004D61A7">
      <w:pPr>
        <w:widowControl/>
        <w:numPr>
          <w:ilvl w:val="0"/>
          <w:numId w:val="1"/>
        </w:numPr>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承担全局性重大会务筹办和相关文稿的起草、修改、审核工作；承担或参与县政府重大政策性文件的起草、修改、审核工</w:t>
      </w:r>
      <w:r>
        <w:rPr>
          <w:rFonts w:ascii="Times New Roman" w:eastAsia="方正仿宋_GBK" w:hAnsi="Times New Roman" w:cs="Times New Roman"/>
          <w:sz w:val="32"/>
          <w:szCs w:val="32"/>
        </w:rPr>
        <w:lastRenderedPageBreak/>
        <w:t>作；负责起草县政府汇报材料、县政府主要负责同志讲话等其他重要文稿。</w:t>
      </w:r>
    </w:p>
    <w:p w:rsidR="00166C57" w:rsidRDefault="004D61A7">
      <w:pPr>
        <w:widowControl/>
        <w:numPr>
          <w:ilvl w:val="0"/>
          <w:numId w:val="1"/>
        </w:numPr>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承担指导、协调全县政府系统网站建设管理和政务信息公开工作，并实施督查和绩效考评</w:t>
      </w:r>
      <w:r>
        <w:rPr>
          <w:rFonts w:ascii="Times New Roman" w:eastAsia="方正仿宋_GBK" w:hAnsi="Times New Roman" w:cs="Times New Roman"/>
          <w:sz w:val="32"/>
          <w:szCs w:val="32"/>
        </w:rPr>
        <w:t>有关工作；承担县政府办公室内部信息刊物的编撰审核工作。</w:t>
      </w:r>
    </w:p>
    <w:p w:rsidR="00166C57" w:rsidRDefault="004D61A7">
      <w:pPr>
        <w:widowControl/>
        <w:numPr>
          <w:ilvl w:val="0"/>
          <w:numId w:val="1"/>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完成主管部门交办的其他任务。</w:t>
      </w:r>
    </w:p>
    <w:p w:rsidR="00166C57" w:rsidRDefault="004D61A7">
      <w:pPr>
        <w:widowControl/>
        <w:spacing w:line="580" w:lineRule="exact"/>
        <w:ind w:firstLineChars="200" w:firstLine="640"/>
        <w:outlineLvl w:val="1"/>
        <w:rPr>
          <w:rFonts w:ascii="Times New Roman" w:eastAsia="方正仿宋_GBK" w:hAnsi="Times New Roman" w:cs="Times New Roman"/>
        </w:rPr>
      </w:pPr>
      <w:r>
        <w:rPr>
          <w:rFonts w:ascii="Times New Roman" w:eastAsia="方正楷体_GBK" w:hAnsi="Times New Roman" w:cs="Times New Roman"/>
          <w:sz w:val="32"/>
          <w:szCs w:val="32"/>
        </w:rPr>
        <w:t>（二）机构设置</w:t>
      </w:r>
      <w:r>
        <w:rPr>
          <w:rFonts w:ascii="Times New Roman" w:eastAsia="方正楷体_GBK" w:hAnsi="Times New Roman" w:cs="Times New Roman"/>
          <w:sz w:val="32"/>
          <w:szCs w:val="32"/>
        </w:rPr>
        <w:t>。</w:t>
      </w:r>
    </w:p>
    <w:p w:rsidR="00166C57" w:rsidRDefault="004D61A7">
      <w:pPr>
        <w:widowControl/>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县人民政府政策研究室设</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个内设机构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分别是</w:t>
      </w:r>
      <w:r>
        <w:rPr>
          <w:rFonts w:ascii="Times New Roman" w:eastAsia="方正仿宋_GBK" w:hAnsi="Times New Roman" w:cs="Times New Roman"/>
          <w:sz w:val="32"/>
          <w:szCs w:val="32"/>
        </w:rPr>
        <w:t>文秘科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经济科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社会科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咨政科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网络科</w:t>
      </w:r>
      <w:r>
        <w:rPr>
          <w:rFonts w:ascii="Times New Roman" w:eastAsia="方正仿宋_GBK" w:hAnsi="Times New Roman" w:cs="Times New Roman"/>
          <w:sz w:val="32"/>
          <w:szCs w:val="32"/>
        </w:rPr>
        <w:t>。</w:t>
      </w:r>
    </w:p>
    <w:p w:rsidR="00166C57" w:rsidRDefault="004D61A7">
      <w:pPr>
        <w:widowControl/>
        <w:spacing w:line="580" w:lineRule="exact"/>
        <w:ind w:firstLineChars="200" w:firstLine="640"/>
        <w:outlineLvl w:val="0"/>
        <w:rPr>
          <w:rFonts w:ascii="Times New Roman" w:eastAsia="方正黑体_GBK" w:hAnsi="Times New Roman" w:cs="Times New Roman"/>
          <w:kern w:val="0"/>
          <w:sz w:val="32"/>
          <w:szCs w:val="32"/>
        </w:rPr>
      </w:pPr>
      <w:r>
        <w:rPr>
          <w:rFonts w:ascii="Times New Roman" w:eastAsia="方正黑体_GBK" w:hAnsi="Times New Roman" w:cs="Times New Roman"/>
          <w:bCs/>
          <w:kern w:val="0"/>
          <w:sz w:val="32"/>
          <w:szCs w:val="32"/>
        </w:rPr>
        <w:t>二、部门决算情况说明</w:t>
      </w:r>
    </w:p>
    <w:p w:rsidR="00166C57" w:rsidRDefault="004D61A7">
      <w:pPr>
        <w:widowControl/>
        <w:spacing w:line="580" w:lineRule="exact"/>
        <w:ind w:firstLineChars="200"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（一）收入支出决算总体情况说明</w:t>
      </w:r>
      <w:r>
        <w:rPr>
          <w:rFonts w:ascii="Times New Roman" w:eastAsia="方正楷体_GBK" w:hAnsi="Times New Roman" w:cs="Times New Roman"/>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Style w:val="a8"/>
          <w:rFonts w:ascii="Times New Roman" w:eastAsia="方正仿宋_GBK" w:hAnsi="Times New Roman" w:cs="Times New Roman"/>
          <w:b w:val="0"/>
          <w:bCs w:val="0"/>
          <w:sz w:val="32"/>
          <w:szCs w:val="32"/>
          <w:shd w:val="clear" w:color="auto" w:fill="FFFFFF"/>
        </w:rPr>
        <w:t>1.</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总体情况。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度收入总计</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万元，支出总计</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收支较上年决算数增加</w:t>
      </w:r>
      <w:r>
        <w:rPr>
          <w:rFonts w:ascii="Times New Roman" w:eastAsia="方正仿宋_GBK" w:hAnsi="Times New Roman" w:cs="Times New Roman" w:hint="eastAsia"/>
          <w:sz w:val="32"/>
          <w:szCs w:val="32"/>
          <w:shd w:val="clear" w:color="auto" w:fill="FFFFFF"/>
        </w:rPr>
        <w:t>3.8</w:t>
      </w:r>
      <w:r>
        <w:rPr>
          <w:rFonts w:ascii="Times New Roman" w:eastAsia="方正仿宋_GBK" w:hAnsi="Times New Roman" w:cs="Times New Roman"/>
          <w:sz w:val="32"/>
          <w:szCs w:val="32"/>
          <w:shd w:val="clear" w:color="auto" w:fill="FFFFFF"/>
        </w:rPr>
        <w:t>万元，增长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事业人员薪级正常晋升、社保公积金基数调整</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Style w:val="a8"/>
          <w:rFonts w:ascii="Times New Roman" w:eastAsia="方正仿宋_GBK" w:hAnsi="Times New Roman" w:cs="Times New Roman"/>
          <w:b w:val="0"/>
          <w:bCs w:val="0"/>
          <w:sz w:val="32"/>
          <w:szCs w:val="32"/>
          <w:shd w:val="clear" w:color="auto" w:fill="FFFFFF"/>
        </w:rPr>
        <w:t>2.</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收入情况。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度收入合计</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3.8</w:t>
      </w:r>
      <w:r>
        <w:rPr>
          <w:rFonts w:ascii="Times New Roman" w:eastAsia="方正仿宋_GBK" w:hAnsi="Times New Roman" w:cs="Times New Roman"/>
          <w:sz w:val="32"/>
          <w:szCs w:val="32"/>
          <w:shd w:val="clear" w:color="auto" w:fill="FFFFFF"/>
        </w:rPr>
        <w:t>万元，增长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事业人员薪级正常晋升、社保公积金基数调整</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其中：财政拨款收入</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sz w:val="32"/>
          <w:szCs w:val="32"/>
        </w:rPr>
        <w:t>100.00</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Style w:val="a8"/>
          <w:rFonts w:ascii="Times New Roman" w:eastAsia="方正仿宋_GBK" w:hAnsi="Times New Roman" w:cs="Times New Roman"/>
          <w:b w:val="0"/>
          <w:bCs w:val="0"/>
          <w:sz w:val="32"/>
          <w:szCs w:val="32"/>
          <w:shd w:val="clear" w:color="auto" w:fill="FFFFFF"/>
        </w:rPr>
        <w:t>3.</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支出情况。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度支出合计</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212.7</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w:t>
      </w:r>
      <w:r>
        <w:rPr>
          <w:rFonts w:ascii="Times New Roman" w:eastAsia="方正仿宋_GBK" w:hAnsi="Times New Roman" w:cs="Times New Roman" w:hint="eastAsia"/>
          <w:sz w:val="32"/>
          <w:szCs w:val="32"/>
          <w:shd w:val="clear" w:color="auto" w:fill="FFFFFF"/>
        </w:rPr>
        <w:lastRenderedPageBreak/>
        <w:t>晋升、社保公积金基数调整</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其中：基本支出</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sz w:val="32"/>
          <w:szCs w:val="32"/>
          <w:shd w:val="clear" w:color="auto" w:fill="FFFFFF"/>
        </w:rPr>
        <w:t>100.00%</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Style w:val="a8"/>
          <w:rFonts w:ascii="Times New Roman" w:eastAsia="方正仿宋_GBK" w:hAnsi="Times New Roman" w:cs="Times New Roman"/>
          <w:b w:val="0"/>
          <w:bCs w:val="0"/>
          <w:sz w:val="32"/>
          <w:szCs w:val="32"/>
          <w:shd w:val="clear" w:color="auto" w:fill="FFFFFF"/>
        </w:rPr>
        <w:t>4.</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结转结余情况。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度年末结转和结余</w:t>
      </w:r>
      <w:r>
        <w:rPr>
          <w:rFonts w:ascii="Times New Roman" w:eastAsia="方正仿宋_GBK" w:hAnsi="Times New Roman" w:cs="Times New Roman"/>
          <w:sz w:val="32"/>
          <w:szCs w:val="32"/>
        </w:rPr>
        <w:t>0.00</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w:t>
      </w:r>
    </w:p>
    <w:p w:rsidR="00166C57" w:rsidRDefault="004D61A7">
      <w:pPr>
        <w:pStyle w:val="1"/>
        <w:widowControl/>
        <w:autoSpaceDE w:val="0"/>
        <w:spacing w:line="580" w:lineRule="exact"/>
        <w:ind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（二）财政拨款收入支出决算总体情况说明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度财政拨款收、支总计</w:t>
      </w:r>
      <w:r>
        <w:rPr>
          <w:rFonts w:ascii="Times New Roman" w:eastAsia="方正仿宋_GBK" w:hAnsi="Times New Roman" w:cs="Times New Roman" w:hint="eastAsia"/>
          <w:sz w:val="32"/>
          <w:szCs w:val="32"/>
          <w:shd w:val="clear" w:color="auto" w:fill="FFFFFF"/>
        </w:rPr>
        <w:t>212.7</w:t>
      </w:r>
      <w:r>
        <w:rPr>
          <w:rFonts w:ascii="Times New Roman" w:eastAsia="方正仿宋_GBK" w:hAnsi="Times New Roman" w:cs="Times New Roman"/>
          <w:sz w:val="32"/>
          <w:szCs w:val="32"/>
          <w:shd w:val="clear" w:color="auto" w:fill="FFFFFF"/>
        </w:rPr>
        <w:t>万元。与</w:t>
      </w:r>
      <w:r>
        <w:rPr>
          <w:rFonts w:ascii="Times New Roman" w:eastAsia="方正仿宋_GBK" w:hAnsi="Times New Roman" w:cs="Times New Roman"/>
          <w:sz w:val="32"/>
          <w:szCs w:val="32"/>
          <w:shd w:val="clear" w:color="auto" w:fill="FFFFFF"/>
        </w:rPr>
        <w:t>202</w:t>
      </w:r>
      <w:r>
        <w:rPr>
          <w:rFonts w:ascii="Times New Roman" w:eastAsia="方正仿宋_GBK" w:hAnsi="Times New Roman" w:cs="Times New Roman" w:hint="eastAsia"/>
          <w:sz w:val="32"/>
          <w:szCs w:val="32"/>
          <w:shd w:val="clear" w:color="auto" w:fill="FFFFFF"/>
        </w:rPr>
        <w:t>3</w:t>
      </w:r>
      <w:r>
        <w:rPr>
          <w:rFonts w:ascii="Times New Roman" w:eastAsia="方正仿宋_GBK" w:hAnsi="Times New Roman" w:cs="Times New Roman"/>
          <w:sz w:val="32"/>
          <w:szCs w:val="32"/>
          <w:shd w:val="clear" w:color="auto" w:fill="FFFFFF"/>
        </w:rPr>
        <w:t>年相比，财政拨款收、支总计各增加</w:t>
      </w:r>
      <w:r>
        <w:rPr>
          <w:rFonts w:ascii="Times New Roman" w:eastAsia="方正仿宋_GBK" w:hAnsi="Times New Roman" w:cs="Times New Roman" w:hint="eastAsia"/>
          <w:sz w:val="32"/>
          <w:szCs w:val="32"/>
          <w:shd w:val="clear" w:color="auto" w:fill="FFFFFF"/>
        </w:rPr>
        <w:t>3.8</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事业人员薪级正常晋升、社保公积金基数调整。</w:t>
      </w:r>
    </w:p>
    <w:p w:rsidR="00166C57" w:rsidRDefault="004D61A7">
      <w:pPr>
        <w:pStyle w:val="1"/>
        <w:widowControl/>
        <w:autoSpaceDE w:val="0"/>
        <w:spacing w:line="580" w:lineRule="exact"/>
        <w:ind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（三）一般公共预算财政拨款收入支出决算情况说明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Style w:val="a8"/>
          <w:rFonts w:ascii="Times New Roman" w:eastAsia="方正仿宋_GBK" w:hAnsi="Times New Roman" w:cs="Times New Roman"/>
          <w:b w:val="0"/>
          <w:bCs w:val="0"/>
          <w:sz w:val="32"/>
          <w:szCs w:val="32"/>
          <w:shd w:val="clear" w:color="auto" w:fill="FFFFFF"/>
        </w:rPr>
        <w:t>1.</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收入情况。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度一般公共预算财政拨款收入</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3.8</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事业人员薪级正常晋升、社保公积金基数调整。</w:t>
      </w:r>
      <w:r>
        <w:rPr>
          <w:rFonts w:ascii="Times New Roman" w:eastAsia="方正仿宋_GBK" w:hAnsi="Times New Roman" w:cs="Times New Roman"/>
          <w:sz w:val="32"/>
          <w:szCs w:val="32"/>
          <w:shd w:val="clear" w:color="auto" w:fill="FFFFFF"/>
        </w:rPr>
        <w:t>较年初预算数</w:t>
      </w:r>
      <w:r>
        <w:rPr>
          <w:rFonts w:ascii="Times New Roman" w:eastAsia="方正仿宋_GBK" w:hAnsi="Times New Roman" w:cs="Times New Roman" w:hint="eastAsia"/>
          <w:sz w:val="32"/>
          <w:szCs w:val="32"/>
          <w:shd w:val="clear" w:color="auto" w:fill="FFFFFF"/>
        </w:rPr>
        <w:t>增加</w:t>
      </w:r>
      <w:r>
        <w:rPr>
          <w:rFonts w:ascii="Times New Roman" w:eastAsia="方正仿宋_GBK" w:hAnsi="Times New Roman" w:cs="Times New Roman" w:hint="eastAsia"/>
          <w:sz w:val="32"/>
          <w:szCs w:val="32"/>
          <w:shd w:val="clear" w:color="auto" w:fill="FFFFFF"/>
        </w:rPr>
        <w:t>3.88</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hint="eastAsia"/>
          <w:sz w:val="32"/>
          <w:szCs w:val="32"/>
          <w:shd w:val="clear" w:color="auto" w:fill="FFFFFF"/>
        </w:rPr>
        <w:t>增长</w:t>
      </w:r>
      <w:r>
        <w:rPr>
          <w:rFonts w:ascii="Times New Roman" w:eastAsia="方正仿宋_GBK" w:hAnsi="Times New Roman" w:cs="Times New Roman" w:hint="eastAsia"/>
          <w:sz w:val="32"/>
          <w:szCs w:val="32"/>
          <w:shd w:val="clear" w:color="auto" w:fill="FFFFFF"/>
        </w:rPr>
        <w:t>1.86</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w:t>
      </w:r>
      <w:r>
        <w:rPr>
          <w:rFonts w:ascii="Times New Roman" w:eastAsia="方正仿宋_GBK" w:hAnsi="Times New Roman" w:cs="Times New Roman" w:hint="eastAsia"/>
          <w:sz w:val="32"/>
          <w:szCs w:val="32"/>
          <w:shd w:val="clear" w:color="auto" w:fill="FFFFFF"/>
        </w:rPr>
        <w:t>事业人员薪级正常晋升、补发超额绩效奖</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此外，年初财政拨款结转和结余</w:t>
      </w:r>
      <w:r>
        <w:rPr>
          <w:rFonts w:ascii="Times New Roman" w:eastAsia="方正仿宋_GBK" w:hAnsi="Times New Roman" w:cs="Times New Roman"/>
          <w:sz w:val="32"/>
          <w:szCs w:val="32"/>
        </w:rPr>
        <w:t>0.00</w:t>
      </w:r>
      <w:r>
        <w:rPr>
          <w:rFonts w:ascii="Times New Roman" w:eastAsia="方正仿宋_GBK" w:hAnsi="Times New Roman" w:cs="Times New Roman"/>
          <w:sz w:val="32"/>
          <w:szCs w:val="32"/>
          <w:shd w:val="clear" w:color="auto" w:fill="FFFFFF"/>
        </w:rPr>
        <w:t>万元。</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Style w:val="a8"/>
          <w:rFonts w:ascii="Times New Roman" w:eastAsia="方正仿宋_GBK" w:hAnsi="Times New Roman" w:cs="Times New Roman"/>
          <w:b w:val="0"/>
          <w:bCs w:val="0"/>
          <w:sz w:val="32"/>
          <w:szCs w:val="32"/>
          <w:shd w:val="clear" w:color="auto" w:fill="FFFFFF"/>
        </w:rPr>
        <w:t>2.</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支出情况</w:t>
      </w:r>
      <w:r>
        <w:rPr>
          <w:rStyle w:val="a8"/>
          <w:rFonts w:ascii="Times New Roman" w:eastAsia="方正仿宋_GBK" w:hAnsi="Times New Roman" w:cs="Times New Roman"/>
          <w:sz w:val="32"/>
          <w:szCs w:val="32"/>
          <w:shd w:val="clear" w:color="auto" w:fill="FFFFFF"/>
        </w:rPr>
        <w:t>。</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度一般公共预算财政拨款支出</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3.8</w:t>
      </w:r>
      <w:r>
        <w:rPr>
          <w:rFonts w:ascii="Times New Roman" w:eastAsia="方正仿宋_GBK" w:hAnsi="Times New Roman" w:cs="Times New Roman"/>
          <w:sz w:val="32"/>
          <w:szCs w:val="32"/>
          <w:shd w:val="clear" w:color="auto" w:fill="FFFFFF"/>
        </w:rPr>
        <w:t>万元，增长</w:t>
      </w:r>
      <w:r>
        <w:rPr>
          <w:rFonts w:ascii="Times New Roman" w:eastAsia="方正仿宋_GBK" w:hAnsi="Times New Roman" w:cs="Times New Roman" w:hint="eastAsia"/>
          <w:sz w:val="32"/>
          <w:szCs w:val="32"/>
          <w:shd w:val="clear" w:color="auto" w:fill="FFFFFF"/>
        </w:rPr>
        <w:t>1.81</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主要原因是</w:t>
      </w:r>
      <w:r>
        <w:rPr>
          <w:rFonts w:ascii="Times New Roman" w:eastAsia="方正仿宋_GBK" w:hAnsi="Times New Roman" w:cs="Times New Roman" w:hint="eastAsia"/>
          <w:sz w:val="32"/>
          <w:szCs w:val="32"/>
          <w:shd w:val="clear" w:color="auto" w:fill="FFFFFF"/>
        </w:rPr>
        <w:t>事业人员薪级正常晋升、社保公积金基数调整</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较年初预算数</w:t>
      </w:r>
      <w:r>
        <w:rPr>
          <w:rFonts w:ascii="Times New Roman" w:eastAsia="方正仿宋_GBK" w:hAnsi="Times New Roman" w:cs="Times New Roman" w:hint="eastAsia"/>
          <w:sz w:val="32"/>
          <w:szCs w:val="32"/>
          <w:shd w:val="clear" w:color="auto" w:fill="FFFFFF"/>
        </w:rPr>
        <w:t>增加</w:t>
      </w:r>
      <w:r>
        <w:rPr>
          <w:rFonts w:ascii="Times New Roman" w:eastAsia="方正仿宋_GBK" w:hAnsi="Times New Roman" w:cs="Times New Roman" w:hint="eastAsia"/>
          <w:sz w:val="32"/>
          <w:szCs w:val="32"/>
          <w:shd w:val="clear" w:color="auto" w:fill="FFFFFF"/>
        </w:rPr>
        <w:t>3.88</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hint="eastAsia"/>
          <w:sz w:val="32"/>
          <w:szCs w:val="32"/>
          <w:shd w:val="clear" w:color="auto" w:fill="FFFFFF"/>
        </w:rPr>
        <w:t>增长</w:t>
      </w:r>
      <w:r>
        <w:rPr>
          <w:rFonts w:ascii="Times New Roman" w:eastAsia="方正仿宋_GBK" w:hAnsi="Times New Roman" w:cs="Times New Roman" w:hint="eastAsia"/>
          <w:sz w:val="32"/>
          <w:szCs w:val="32"/>
          <w:shd w:val="clear" w:color="auto" w:fill="FFFFFF"/>
        </w:rPr>
        <w:t>1.86</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w:t>
      </w:r>
      <w:r>
        <w:rPr>
          <w:rFonts w:ascii="Times New Roman" w:eastAsia="方正仿宋_GBK" w:hAnsi="Times New Roman" w:cs="Times New Roman" w:hint="eastAsia"/>
          <w:sz w:val="32"/>
          <w:szCs w:val="32"/>
          <w:shd w:val="clear" w:color="auto" w:fill="FFFFFF"/>
        </w:rPr>
        <w:t>事业人员薪级正常晋升、补发超额绩效奖。</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Style w:val="a8"/>
          <w:rFonts w:ascii="Times New Roman" w:eastAsia="方正仿宋_GBK" w:hAnsi="Times New Roman" w:cs="Times New Roman"/>
          <w:b w:val="0"/>
          <w:bCs w:val="0"/>
          <w:sz w:val="32"/>
          <w:szCs w:val="32"/>
          <w:shd w:val="clear" w:color="auto" w:fill="FFFFFF"/>
        </w:rPr>
        <w:t>3.</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结转结余情况。</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度年末一般公共预算财政拨款结转和结余</w:t>
      </w:r>
      <w:r>
        <w:rPr>
          <w:rFonts w:ascii="Times New Roman" w:eastAsia="方正仿宋_GBK" w:hAnsi="Times New Roman" w:cs="Times New Roman"/>
          <w:sz w:val="32"/>
          <w:szCs w:val="32"/>
        </w:rPr>
        <w:t>0.00</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color w:val="FF0000"/>
          <w:sz w:val="32"/>
          <w:szCs w:val="32"/>
          <w:highlight w:val="cyan"/>
          <w:shd w:val="clear" w:color="auto" w:fill="FFFFFF"/>
        </w:rPr>
      </w:pPr>
      <w:r>
        <w:rPr>
          <w:rStyle w:val="a8"/>
          <w:rFonts w:ascii="Times New Roman" w:eastAsia="方正仿宋_GBK" w:hAnsi="Times New Roman" w:cs="Times New Roman"/>
          <w:b w:val="0"/>
          <w:bCs w:val="0"/>
          <w:sz w:val="32"/>
          <w:szCs w:val="32"/>
          <w:shd w:val="clear" w:color="auto" w:fill="FFFFFF"/>
        </w:rPr>
        <w:lastRenderedPageBreak/>
        <w:t>4.</w:t>
      </w:r>
      <w:r>
        <w:rPr>
          <w:rStyle w:val="a8"/>
          <w:rFonts w:ascii="Times New Roman" w:eastAsia="方正仿宋_GBK" w:hAnsi="Times New Roman" w:cs="Times New Roman"/>
          <w:b w:val="0"/>
          <w:bCs w:val="0"/>
          <w:sz w:val="32"/>
          <w:szCs w:val="32"/>
          <w:shd w:val="clear" w:color="auto" w:fill="FFFFFF"/>
        </w:rPr>
        <w:t xml:space="preserve"> </w:t>
      </w:r>
      <w:r>
        <w:rPr>
          <w:rStyle w:val="a8"/>
          <w:rFonts w:ascii="Times New Roman" w:eastAsia="方正仿宋_GBK" w:hAnsi="Times New Roman" w:cs="Times New Roman"/>
          <w:b w:val="0"/>
          <w:bCs w:val="0"/>
          <w:sz w:val="32"/>
          <w:szCs w:val="32"/>
          <w:shd w:val="clear" w:color="auto" w:fill="FFFFFF"/>
        </w:rPr>
        <w:t>比较情况</w:t>
      </w:r>
      <w:r>
        <w:rPr>
          <w:rStyle w:val="a8"/>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本部门</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度一般公共预算财政拨款支出主要用于以下几个方面：</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1</w:t>
      </w:r>
      <w:r>
        <w:rPr>
          <w:rFonts w:ascii="Times New Roman" w:eastAsia="方正仿宋_GBK" w:hAnsi="Times New Roman" w:cs="Times New Roman"/>
          <w:sz w:val="32"/>
          <w:szCs w:val="32"/>
          <w:shd w:val="clear" w:color="auto" w:fill="FFFFFF"/>
        </w:rPr>
        <w:t>）一般公共服务支出</w:t>
      </w:r>
      <w:r>
        <w:rPr>
          <w:rFonts w:ascii="Times New Roman" w:eastAsia="方正仿宋_GBK" w:hAnsi="Times New Roman" w:cs="Times New Roman" w:hint="eastAsia"/>
          <w:sz w:val="32"/>
          <w:szCs w:val="32"/>
        </w:rPr>
        <w:t>166.23</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hint="eastAsia"/>
          <w:sz w:val="32"/>
          <w:szCs w:val="32"/>
        </w:rPr>
        <w:t>78.15</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，较年初预算数</w:t>
      </w:r>
      <w:r>
        <w:rPr>
          <w:rFonts w:ascii="Times New Roman" w:eastAsia="方正仿宋_GBK" w:hAnsi="Times New Roman" w:cs="Times New Roman" w:hint="eastAsia"/>
          <w:sz w:val="32"/>
          <w:szCs w:val="32"/>
          <w:shd w:val="clear" w:color="auto" w:fill="FFFFFF"/>
        </w:rPr>
        <w:t>减少</w:t>
      </w:r>
      <w:r>
        <w:rPr>
          <w:rFonts w:ascii="Times New Roman" w:eastAsia="方正仿宋_GBK" w:hAnsi="Times New Roman" w:cs="Times New Roman" w:hint="eastAsia"/>
          <w:sz w:val="32"/>
          <w:szCs w:val="32"/>
          <w:shd w:val="clear" w:color="auto" w:fill="FFFFFF"/>
        </w:rPr>
        <w:t>4.05</w:t>
      </w:r>
      <w:r>
        <w:rPr>
          <w:rFonts w:ascii="Times New Roman" w:eastAsia="方正仿宋_GBK" w:hAnsi="Times New Roman" w:cs="Times New Roman"/>
          <w:sz w:val="32"/>
          <w:szCs w:val="32"/>
          <w:shd w:val="clear" w:color="auto" w:fill="FFFFFF"/>
        </w:rPr>
        <w:t>万元，</w:t>
      </w:r>
      <w:r>
        <w:rPr>
          <w:rFonts w:ascii="Times New Roman" w:eastAsia="方正仿宋_GBK" w:hAnsi="Times New Roman" w:cs="Times New Roman" w:hint="eastAsia"/>
          <w:sz w:val="32"/>
          <w:szCs w:val="32"/>
          <w:shd w:val="clear" w:color="auto" w:fill="FFFFFF"/>
        </w:rPr>
        <w:t>下降</w:t>
      </w:r>
      <w:r>
        <w:rPr>
          <w:rFonts w:ascii="Times New Roman" w:eastAsia="方正仿宋_GBK" w:hAnsi="Times New Roman" w:cs="Times New Roman" w:hint="eastAsia"/>
          <w:sz w:val="32"/>
          <w:szCs w:val="32"/>
          <w:shd w:val="clear" w:color="auto" w:fill="FFFFFF"/>
        </w:rPr>
        <w:t>2.38</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2</w:t>
      </w:r>
      <w:r>
        <w:rPr>
          <w:rFonts w:ascii="Times New Roman" w:eastAsia="方正仿宋_GBK" w:hAnsi="Times New Roman" w:cs="Times New Roman"/>
          <w:sz w:val="32"/>
          <w:szCs w:val="32"/>
          <w:shd w:val="clear" w:color="auto" w:fill="FFFFFF"/>
        </w:rPr>
        <w:t>）社会保障与就业支出</w:t>
      </w:r>
      <w:r>
        <w:rPr>
          <w:rFonts w:ascii="Times New Roman" w:eastAsia="方正仿宋_GBK" w:hAnsi="Times New Roman" w:cs="Times New Roman" w:hint="eastAsia"/>
          <w:sz w:val="32"/>
          <w:szCs w:val="32"/>
        </w:rPr>
        <w:t>27.76</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hint="eastAsia"/>
          <w:sz w:val="32"/>
          <w:szCs w:val="32"/>
        </w:rPr>
        <w:t>13.05</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，较年初预算数</w:t>
      </w:r>
      <w:r>
        <w:rPr>
          <w:rFonts w:ascii="Times New Roman" w:eastAsia="方正仿宋_GBK" w:hAnsi="Times New Roman" w:cs="Times New Roman" w:hint="eastAsia"/>
          <w:sz w:val="32"/>
          <w:szCs w:val="32"/>
          <w:shd w:val="clear" w:color="auto" w:fill="FFFFFF"/>
        </w:rPr>
        <w:t>增加</w:t>
      </w:r>
      <w:r>
        <w:rPr>
          <w:rFonts w:ascii="Times New Roman" w:eastAsia="方正仿宋_GBK" w:hAnsi="Times New Roman" w:cs="Times New Roman" w:hint="eastAsia"/>
          <w:sz w:val="32"/>
          <w:szCs w:val="32"/>
          <w:shd w:val="clear" w:color="auto" w:fill="FFFFFF"/>
        </w:rPr>
        <w:t>7.92</w:t>
      </w:r>
      <w:r>
        <w:rPr>
          <w:rFonts w:ascii="Times New Roman" w:eastAsia="方正仿宋_GBK" w:hAnsi="Times New Roman" w:cs="Times New Roman" w:hint="eastAsia"/>
          <w:sz w:val="32"/>
          <w:szCs w:val="32"/>
          <w:shd w:val="clear" w:color="auto" w:fill="FFFFFF"/>
        </w:rPr>
        <w:t>万元，增长</w:t>
      </w:r>
      <w:r>
        <w:rPr>
          <w:rFonts w:ascii="Times New Roman" w:eastAsia="方正仿宋_GBK" w:hAnsi="Times New Roman" w:cs="Times New Roman" w:hint="eastAsia"/>
          <w:sz w:val="32"/>
          <w:szCs w:val="32"/>
          <w:shd w:val="clear" w:color="auto" w:fill="FFFFFF"/>
        </w:rPr>
        <w:t>39.92%</w:t>
      </w:r>
      <w:r>
        <w:rPr>
          <w:rFonts w:ascii="Times New Roman" w:eastAsia="方正仿宋_GBK" w:hAnsi="Times New Roman" w:cs="Times New Roman"/>
          <w:sz w:val="32"/>
          <w:szCs w:val="32"/>
          <w:shd w:val="clear" w:color="auto" w:fill="FFFFFF"/>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3</w:t>
      </w:r>
      <w:r>
        <w:rPr>
          <w:rFonts w:ascii="Times New Roman" w:eastAsia="方正仿宋_GBK" w:hAnsi="Times New Roman" w:cs="Times New Roman"/>
          <w:sz w:val="32"/>
          <w:szCs w:val="32"/>
          <w:shd w:val="clear" w:color="auto" w:fill="FFFFFF"/>
        </w:rPr>
        <w:t>）卫生健康支出</w:t>
      </w:r>
      <w:r>
        <w:rPr>
          <w:rFonts w:ascii="Times New Roman" w:eastAsia="方正仿宋_GBK" w:hAnsi="Times New Roman" w:cs="Times New Roman" w:hint="eastAsia"/>
          <w:sz w:val="32"/>
          <w:szCs w:val="32"/>
          <w:shd w:val="clear" w:color="auto" w:fill="FFFFFF"/>
        </w:rPr>
        <w:t>8.79</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hint="eastAsia"/>
          <w:sz w:val="32"/>
          <w:szCs w:val="32"/>
        </w:rPr>
        <w:t>4.14</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hint="eastAsia"/>
          <w:sz w:val="32"/>
          <w:szCs w:val="32"/>
          <w:shd w:val="clear" w:color="auto" w:fill="FFFFFF"/>
        </w:rPr>
        <w:t>较</w:t>
      </w:r>
      <w:r>
        <w:rPr>
          <w:rFonts w:ascii="Times New Roman" w:eastAsia="方正仿宋_GBK" w:hAnsi="Times New Roman" w:cs="Times New Roman"/>
          <w:sz w:val="32"/>
          <w:szCs w:val="32"/>
          <w:shd w:val="clear" w:color="auto" w:fill="FFFFFF"/>
        </w:rPr>
        <w:t>年初预算数</w:t>
      </w:r>
      <w:r>
        <w:rPr>
          <w:rFonts w:ascii="Times New Roman" w:eastAsia="方正仿宋_GBK" w:hAnsi="Times New Roman" w:cs="Times New Roman" w:hint="eastAsia"/>
          <w:sz w:val="32"/>
          <w:szCs w:val="32"/>
          <w:shd w:val="clear" w:color="auto" w:fill="FFFFFF"/>
        </w:rPr>
        <w:t>无增减。</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4</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rPr>
        <w:t>住房保障支出</w:t>
      </w:r>
      <w:r>
        <w:rPr>
          <w:rFonts w:ascii="Times New Roman" w:eastAsia="方正仿宋_GBK" w:hAnsi="Times New Roman" w:cs="Times New Roman" w:hint="eastAsia"/>
          <w:sz w:val="32"/>
          <w:szCs w:val="32"/>
        </w:rPr>
        <w:t>9.92</w:t>
      </w:r>
      <w:r>
        <w:rPr>
          <w:rFonts w:ascii="Times New Roman" w:eastAsia="方正仿宋_GBK" w:hAnsi="Times New Roman" w:cs="Times New Roman"/>
          <w:sz w:val="32"/>
          <w:szCs w:val="32"/>
          <w:shd w:val="clear" w:color="auto" w:fill="FFFFFF"/>
        </w:rPr>
        <w:t>万元，占</w:t>
      </w:r>
      <w:r>
        <w:rPr>
          <w:rFonts w:ascii="Times New Roman" w:eastAsia="方正仿宋_GBK" w:hAnsi="Times New Roman" w:cs="Times New Roman"/>
          <w:sz w:val="32"/>
          <w:szCs w:val="32"/>
        </w:rPr>
        <w:t>4.6</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hint="eastAsia"/>
          <w:sz w:val="32"/>
          <w:szCs w:val="32"/>
          <w:shd w:val="clear" w:color="auto" w:fill="FFFFFF"/>
        </w:rPr>
        <w:t>较</w:t>
      </w:r>
      <w:r>
        <w:rPr>
          <w:rFonts w:ascii="Times New Roman" w:eastAsia="方正仿宋_GBK" w:hAnsi="Times New Roman" w:cs="Times New Roman"/>
          <w:sz w:val="32"/>
          <w:szCs w:val="32"/>
          <w:shd w:val="clear" w:color="auto" w:fill="FFFFFF"/>
        </w:rPr>
        <w:t>年初预算数</w:t>
      </w:r>
      <w:r>
        <w:rPr>
          <w:rFonts w:ascii="Times New Roman" w:eastAsia="方正仿宋_GBK" w:hAnsi="Times New Roman" w:cs="Times New Roman" w:hint="eastAsia"/>
          <w:sz w:val="32"/>
          <w:szCs w:val="32"/>
          <w:shd w:val="clear" w:color="auto" w:fill="FFFFFF"/>
        </w:rPr>
        <w:t>无增减。</w:t>
      </w:r>
    </w:p>
    <w:p w:rsidR="00166C57" w:rsidRDefault="004D61A7">
      <w:pPr>
        <w:pStyle w:val="1"/>
        <w:widowControl/>
        <w:autoSpaceDE w:val="0"/>
        <w:spacing w:line="580" w:lineRule="exact"/>
        <w:ind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（四）一般公共预算财政拨款基本支出决算情况说明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 </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度一般公共财政拨款基本支出</w:t>
      </w:r>
      <w:r>
        <w:rPr>
          <w:rFonts w:ascii="Times New Roman" w:eastAsia="方正仿宋_GBK" w:hAnsi="Times New Roman" w:cs="Times New Roman" w:hint="eastAsia"/>
          <w:sz w:val="32"/>
          <w:szCs w:val="32"/>
        </w:rPr>
        <w:t>212.7</w:t>
      </w:r>
      <w:r>
        <w:rPr>
          <w:rFonts w:ascii="Times New Roman" w:eastAsia="方正仿宋_GBK" w:hAnsi="Times New Roman" w:cs="Times New Roman"/>
          <w:sz w:val="32"/>
          <w:szCs w:val="32"/>
          <w:shd w:val="clear" w:color="auto" w:fill="FFFFFF"/>
        </w:rPr>
        <w:t>万元。其中：人员经费</w:t>
      </w:r>
      <w:r>
        <w:rPr>
          <w:rFonts w:ascii="Times New Roman" w:eastAsia="方正仿宋_GBK" w:hAnsi="Times New Roman" w:cs="Times New Roman" w:hint="eastAsia"/>
          <w:sz w:val="32"/>
          <w:szCs w:val="32"/>
        </w:rPr>
        <w:t>181.43</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0.47</w:t>
      </w:r>
      <w:r>
        <w:rPr>
          <w:rFonts w:ascii="Times New Roman" w:eastAsia="方正仿宋_GBK" w:hAnsi="Times New Roman" w:cs="Times New Roman"/>
          <w:sz w:val="32"/>
          <w:szCs w:val="32"/>
          <w:shd w:val="clear" w:color="auto" w:fill="FFFFFF"/>
        </w:rPr>
        <w:t>万元，增长</w:t>
      </w:r>
      <w:r>
        <w:rPr>
          <w:rFonts w:ascii="Times New Roman" w:eastAsia="方正仿宋_GBK" w:hAnsi="Times New Roman" w:cs="Times New Roman" w:hint="eastAsia"/>
          <w:sz w:val="32"/>
          <w:szCs w:val="32"/>
          <w:shd w:val="clear" w:color="auto" w:fill="FFFFFF"/>
        </w:rPr>
        <w:t>0.26</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w:t>
      </w:r>
      <w:r>
        <w:rPr>
          <w:rFonts w:ascii="Times New Roman" w:eastAsia="方正仿宋_GBK" w:hAnsi="Times New Roman" w:cs="Times New Roman" w:hint="eastAsia"/>
          <w:sz w:val="32"/>
          <w:szCs w:val="32"/>
          <w:shd w:val="clear" w:color="auto" w:fill="FFFFFF"/>
        </w:rPr>
        <w:t>事业人员薪级正常晋升、补发超额绩效奖</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人员经费用途主要包括</w:t>
      </w:r>
      <w:bookmarkStart w:id="0" w:name="_GoBack"/>
      <w:bookmarkEnd w:id="0"/>
      <w:r>
        <w:rPr>
          <w:rFonts w:ascii="Times New Roman" w:eastAsia="方正仿宋_GBK" w:hAnsi="Times New Roman" w:cs="Times New Roman"/>
          <w:bCs/>
          <w:sz w:val="32"/>
          <w:szCs w:val="32"/>
        </w:rPr>
        <w:t>基本工资、津贴补贴、绩效工资、</w:t>
      </w:r>
      <w:r>
        <w:rPr>
          <w:rFonts w:ascii="Times New Roman" w:eastAsia="方正仿宋_GBK" w:hAnsi="Times New Roman" w:cs="Times New Roman"/>
          <w:bCs/>
          <w:sz w:val="32"/>
          <w:szCs w:val="32"/>
        </w:rPr>
        <w:t>养老保险、职业年金</w:t>
      </w:r>
      <w:r>
        <w:rPr>
          <w:rFonts w:ascii="Times New Roman" w:eastAsia="方正仿宋_GBK" w:hAnsi="Times New Roman" w:cs="Times New Roman"/>
          <w:bCs/>
          <w:sz w:val="32"/>
          <w:szCs w:val="32"/>
        </w:rPr>
        <w:t>等</w:t>
      </w:r>
      <w:r>
        <w:rPr>
          <w:rFonts w:ascii="Times New Roman" w:eastAsia="方正仿宋_GBK" w:hAnsi="Times New Roman" w:cs="Times New Roman"/>
          <w:bCs/>
          <w:sz w:val="32"/>
          <w:szCs w:val="32"/>
        </w:rPr>
        <w:t>。</w:t>
      </w:r>
      <w:r>
        <w:rPr>
          <w:rFonts w:ascii="Times New Roman" w:eastAsia="方正仿宋_GBK" w:hAnsi="Times New Roman" w:cs="Times New Roman"/>
          <w:sz w:val="32"/>
          <w:szCs w:val="32"/>
          <w:shd w:val="clear" w:color="auto" w:fill="FFFFFF"/>
        </w:rPr>
        <w:t>公用经费</w:t>
      </w:r>
      <w:r>
        <w:rPr>
          <w:rFonts w:ascii="Times New Roman" w:eastAsia="方正仿宋_GBK" w:hAnsi="Times New Roman" w:cs="Times New Roman" w:hint="eastAsia"/>
          <w:sz w:val="32"/>
          <w:szCs w:val="32"/>
        </w:rPr>
        <w:t>31.27</w:t>
      </w:r>
      <w:r>
        <w:rPr>
          <w:rFonts w:ascii="Times New Roman" w:eastAsia="方正仿宋_GBK" w:hAnsi="Times New Roman" w:cs="Times New Roman"/>
          <w:sz w:val="32"/>
          <w:szCs w:val="32"/>
          <w:shd w:val="clear" w:color="auto" w:fill="FFFFFF"/>
        </w:rPr>
        <w:t>万元，较上年决算数增加</w:t>
      </w:r>
      <w:r>
        <w:rPr>
          <w:rFonts w:ascii="Times New Roman" w:eastAsia="方正仿宋_GBK" w:hAnsi="Times New Roman" w:cs="Times New Roman" w:hint="eastAsia"/>
          <w:sz w:val="32"/>
          <w:szCs w:val="32"/>
          <w:shd w:val="clear" w:color="auto" w:fill="FFFFFF"/>
        </w:rPr>
        <w:t>3.33</w:t>
      </w:r>
      <w:r>
        <w:rPr>
          <w:rFonts w:ascii="Times New Roman" w:eastAsia="方正仿宋_GBK" w:hAnsi="Times New Roman" w:cs="Times New Roman"/>
          <w:sz w:val="32"/>
          <w:szCs w:val="32"/>
          <w:shd w:val="clear" w:color="auto" w:fill="FFFFFF"/>
        </w:rPr>
        <w:t>万元，增长</w:t>
      </w:r>
      <w:r>
        <w:rPr>
          <w:rFonts w:ascii="Times New Roman" w:eastAsia="方正仿宋_GBK" w:hAnsi="Times New Roman" w:cs="Times New Roman" w:hint="eastAsia"/>
          <w:sz w:val="32"/>
          <w:szCs w:val="32"/>
          <w:shd w:val="clear" w:color="auto" w:fill="FFFFFF"/>
        </w:rPr>
        <w:t>11.92</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，主要原因</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年实有人数多于</w:t>
      </w:r>
      <w:r>
        <w:rPr>
          <w:rFonts w:ascii="Times New Roman" w:eastAsia="方正仿宋_GBK" w:hAnsi="Times New Roman" w:cs="Times New Roman" w:hint="eastAsia"/>
          <w:sz w:val="32"/>
          <w:szCs w:val="32"/>
          <w:shd w:val="clear" w:color="auto" w:fill="FFFFFF"/>
        </w:rPr>
        <w:t>2023</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公用经费用途主要包括</w:t>
      </w:r>
      <w:r>
        <w:rPr>
          <w:rFonts w:ascii="Times New Roman" w:eastAsia="方正仿宋_GBK" w:hAnsi="Times New Roman" w:cs="Times New Roman"/>
          <w:bCs/>
          <w:sz w:val="32"/>
          <w:szCs w:val="32"/>
        </w:rPr>
        <w:t>办公费、印刷费、咨询费、水电费</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差旅费</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劳务费等。</w:t>
      </w:r>
    </w:p>
    <w:p w:rsidR="00166C57" w:rsidRDefault="004D61A7">
      <w:pPr>
        <w:pStyle w:val="1"/>
        <w:widowControl/>
        <w:autoSpaceDE w:val="0"/>
        <w:spacing w:line="580" w:lineRule="exact"/>
        <w:ind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（五）政府性基金预算收支决算情况说明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本单位</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度无政府性基金预算财政拨款收支。</w:t>
      </w:r>
    </w:p>
    <w:p w:rsidR="00166C57" w:rsidRDefault="004D61A7">
      <w:pPr>
        <w:pStyle w:val="1"/>
        <w:widowControl/>
        <w:autoSpaceDE w:val="0"/>
        <w:spacing w:line="580" w:lineRule="exact"/>
        <w:ind w:firstLine="640"/>
        <w:outlineLvl w:val="1"/>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（六）国有资本经营预算财政拨款支出决算情况说明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lastRenderedPageBreak/>
        <w:t>本单位</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度无国有资本经营预算财政拨款支出。</w:t>
      </w:r>
    </w:p>
    <w:p w:rsidR="00166C57" w:rsidRDefault="004D61A7">
      <w:pPr>
        <w:pStyle w:val="a7"/>
        <w:shd w:val="clear" w:color="auto" w:fill="FFFFFF"/>
        <w:spacing w:before="0" w:beforeAutospacing="0" w:after="0" w:afterAutospacing="0" w:line="580" w:lineRule="exact"/>
        <w:ind w:firstLineChars="200" w:firstLine="640"/>
        <w:outlineLvl w:val="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三、</w:t>
      </w:r>
      <w:r>
        <w:rPr>
          <w:rFonts w:ascii="Times New Roman" w:eastAsia="方正黑体_GBK" w:hAnsi="Times New Roman" w:cs="Times New Roman"/>
          <w:bCs/>
          <w:sz w:val="32"/>
          <w:szCs w:val="32"/>
        </w:rPr>
        <w:t>“</w:t>
      </w:r>
      <w:r>
        <w:rPr>
          <w:rFonts w:ascii="Times New Roman" w:eastAsia="方正黑体_GBK" w:hAnsi="Times New Roman" w:cs="Times New Roman"/>
          <w:bCs/>
          <w:sz w:val="32"/>
          <w:szCs w:val="32"/>
        </w:rPr>
        <w:t>三公</w:t>
      </w:r>
      <w:r>
        <w:rPr>
          <w:rFonts w:ascii="Times New Roman" w:eastAsia="方正黑体_GBK" w:hAnsi="Times New Roman" w:cs="Times New Roman"/>
          <w:bCs/>
          <w:sz w:val="32"/>
          <w:szCs w:val="32"/>
        </w:rPr>
        <w:t>”</w:t>
      </w:r>
      <w:r>
        <w:rPr>
          <w:rFonts w:ascii="Times New Roman" w:eastAsia="方正黑体_GBK" w:hAnsi="Times New Roman" w:cs="Times New Roman"/>
          <w:bCs/>
          <w:sz w:val="32"/>
          <w:szCs w:val="32"/>
        </w:rPr>
        <w:t>经费情况说明</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彭水苗族土家族自治县人民政府政策研究室为县人民政府办公室管理的正科级一类公益性事业单位，</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三公</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经费预算在县人民政府办公室账户中体现，未单独预算。</w:t>
      </w:r>
    </w:p>
    <w:p w:rsidR="00166C57" w:rsidRDefault="004D61A7">
      <w:pPr>
        <w:pStyle w:val="a7"/>
        <w:numPr>
          <w:ilvl w:val="0"/>
          <w:numId w:val="2"/>
        </w:numPr>
        <w:shd w:val="clear" w:color="auto" w:fill="FFFFFF"/>
        <w:spacing w:before="0" w:beforeAutospacing="0" w:after="0" w:afterAutospacing="0" w:line="580" w:lineRule="exact"/>
        <w:ind w:firstLineChars="200" w:firstLine="640"/>
        <w:outlineLvl w:val="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其他需要说明的事项</w:t>
      </w:r>
    </w:p>
    <w:p w:rsidR="00166C57" w:rsidRDefault="004D61A7">
      <w:pPr>
        <w:pStyle w:val="a7"/>
        <w:shd w:val="clear" w:color="auto" w:fill="FFFFFF"/>
        <w:spacing w:before="0" w:beforeAutospacing="0" w:after="0" w:afterAutospacing="0" w:line="58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（一）财政拨款会议费和培训费情况说明</w:t>
      </w:r>
      <w:r>
        <w:rPr>
          <w:rFonts w:ascii="Times New Roman" w:eastAsia="方正楷体_GBK" w:hAnsi="Times New Roman" w:cs="Times New Roman" w:hint="eastAsia"/>
          <w:bCs/>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彭水苗族土家族自治县人民政府政策研究室为县人民政府办公室管理的正科级一类公益性事业单位，会议费、培训费在县人民政府办公室账户中体现，未单独预算。</w:t>
      </w:r>
    </w:p>
    <w:p w:rsidR="00166C57" w:rsidRDefault="004D61A7">
      <w:pPr>
        <w:pStyle w:val="1"/>
        <w:widowControl/>
        <w:autoSpaceDE w:val="0"/>
        <w:spacing w:line="580" w:lineRule="exact"/>
        <w:ind w:firstLine="640"/>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（二）机关运行经费情况说明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按照部门决算列报口径，我单位不在机关运行经费统计范围之内。</w:t>
      </w:r>
    </w:p>
    <w:p w:rsidR="00166C57" w:rsidRDefault="004D61A7">
      <w:pPr>
        <w:pStyle w:val="1"/>
        <w:widowControl/>
        <w:autoSpaceDE w:val="0"/>
        <w:spacing w:line="580" w:lineRule="exact"/>
        <w:ind w:firstLine="640"/>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（三）国有资产占用情况说明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 </w:t>
      </w:r>
      <w:r>
        <w:rPr>
          <w:rFonts w:ascii="Times New Roman" w:eastAsia="方正仿宋_GBK" w:hAnsi="Times New Roman" w:cs="Times New Roman"/>
          <w:sz w:val="32"/>
          <w:szCs w:val="32"/>
          <w:shd w:val="clear" w:color="auto" w:fill="FFFFFF"/>
        </w:rPr>
        <w:t>彭水苗族土家族自治县人民政府政策研究室为县人民政府办公室管理的正科级一类公益性事业单位，固定资产列在县人民政府办公室账户中。</w:t>
      </w:r>
    </w:p>
    <w:p w:rsidR="00166C57" w:rsidRDefault="004D61A7">
      <w:pPr>
        <w:pStyle w:val="1"/>
        <w:widowControl/>
        <w:autoSpaceDE w:val="0"/>
        <w:spacing w:line="580" w:lineRule="exact"/>
        <w:ind w:firstLine="640"/>
        <w:rPr>
          <w:rFonts w:ascii="Times New Roman" w:eastAsia="方正楷体_GBK" w:hAnsi="Times New Roman" w:cs="Times New Roman"/>
          <w:bCs/>
          <w:kern w:val="0"/>
          <w:sz w:val="32"/>
          <w:szCs w:val="32"/>
        </w:rPr>
      </w:pPr>
      <w:r>
        <w:rPr>
          <w:rFonts w:ascii="Times New Roman" w:eastAsia="方正楷体_GBK" w:hAnsi="Times New Roman" w:cs="Times New Roman"/>
          <w:bCs/>
          <w:kern w:val="0"/>
          <w:sz w:val="32"/>
          <w:szCs w:val="32"/>
        </w:rPr>
        <w:t>（四）政府采购支出情况说明</w:t>
      </w:r>
      <w:r>
        <w:rPr>
          <w:rFonts w:ascii="Times New Roman" w:eastAsia="方正楷体_GBK" w:hAnsi="Times New Roman" w:cs="Times New Roman" w:hint="eastAsia"/>
          <w:bCs/>
          <w:kern w:val="0"/>
          <w:sz w:val="32"/>
          <w:szCs w:val="32"/>
        </w:rPr>
        <w:t>。</w:t>
      </w:r>
    </w:p>
    <w:p w:rsidR="00166C57" w:rsidRDefault="004D61A7">
      <w:pPr>
        <w:pStyle w:val="a7"/>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 </w:t>
      </w:r>
      <w:r>
        <w:rPr>
          <w:rFonts w:ascii="Times New Roman" w:eastAsia="方正仿宋_GBK" w:hAnsi="Times New Roman" w:cs="Times New Roman" w:hint="eastAsia"/>
          <w:sz w:val="32"/>
          <w:szCs w:val="32"/>
          <w:shd w:val="clear" w:color="auto" w:fill="FFFFFF"/>
        </w:rPr>
        <w:t>2024</w:t>
      </w:r>
      <w:r>
        <w:rPr>
          <w:rFonts w:ascii="Times New Roman" w:eastAsia="方正仿宋_GBK" w:hAnsi="Times New Roman" w:cs="Times New Roman" w:hint="eastAsia"/>
          <w:sz w:val="32"/>
          <w:szCs w:val="32"/>
          <w:shd w:val="clear" w:color="auto" w:fill="FFFFFF"/>
        </w:rPr>
        <w:t>年</w:t>
      </w:r>
      <w:r>
        <w:rPr>
          <w:rFonts w:ascii="Times New Roman" w:eastAsia="方正仿宋_GBK" w:hAnsi="Times New Roman" w:cs="Times New Roman"/>
          <w:sz w:val="32"/>
          <w:szCs w:val="32"/>
          <w:shd w:val="clear" w:color="auto" w:fill="FFFFFF"/>
        </w:rPr>
        <w:t>度我单位未发生政府采购事项，无相关经费支出。</w:t>
      </w:r>
    </w:p>
    <w:p w:rsidR="00166C57" w:rsidRDefault="004D61A7">
      <w:pPr>
        <w:widowControl/>
        <w:spacing w:line="520" w:lineRule="exact"/>
        <w:ind w:firstLineChars="200" w:firstLine="640"/>
        <w:outlineLvl w:val="0"/>
        <w:rPr>
          <w:rFonts w:ascii="方正黑体_GBK" w:eastAsia="方正黑体_GBK" w:hAnsi="仿宋" w:cs="Times New Roman"/>
          <w:bCs/>
          <w:kern w:val="0"/>
          <w:sz w:val="32"/>
          <w:szCs w:val="32"/>
        </w:rPr>
      </w:pPr>
      <w:r>
        <w:rPr>
          <w:rFonts w:ascii="方正黑体_GBK" w:eastAsia="方正黑体_GBK" w:hAnsi="仿宋" w:cs="Times New Roman" w:hint="eastAsia"/>
          <w:bCs/>
          <w:kern w:val="0"/>
          <w:sz w:val="32"/>
          <w:szCs w:val="32"/>
        </w:rPr>
        <w:t>五</w:t>
      </w:r>
      <w:r>
        <w:rPr>
          <w:rFonts w:ascii="方正黑体_GBK" w:eastAsia="方正黑体_GBK" w:hAnsi="仿宋" w:cs="Times New Roman" w:hint="eastAsia"/>
          <w:bCs/>
          <w:kern w:val="0"/>
          <w:sz w:val="32"/>
          <w:szCs w:val="32"/>
        </w:rPr>
        <w:t>、专业名词解释</w:t>
      </w:r>
    </w:p>
    <w:p w:rsidR="00166C57" w:rsidRDefault="004D61A7">
      <w:pPr>
        <w:widowControl/>
        <w:spacing w:line="56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lastRenderedPageBreak/>
        <w:t>（一）财政拨款收入：指本年度从本级财政部门取得的财政拨款，包括一般公共预算财政拨款和政府性基金预算财政拨款。</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（二）事业收入：指事业单位开展专业业务活动及其辅助活动取得的现金流入；事业单位收到的财政专户实际核拨的教育收费等资金在此反映</w:t>
      </w:r>
      <w:r>
        <w:rPr>
          <w:rFonts w:ascii="Times New Roman" w:eastAsia="方正仿宋_GBK" w:hAnsi="Times New Roman" w:cs="Times New Roman"/>
          <w:kern w:val="0"/>
          <w:sz w:val="32"/>
          <w:szCs w:val="32"/>
        </w:rPr>
        <w:t>。</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（三）经营收入：</w:t>
      </w:r>
      <w:r>
        <w:rPr>
          <w:rFonts w:ascii="Times New Roman" w:eastAsia="方正仿宋_GBK" w:hAnsi="Times New Roman" w:cs="Times New Roman"/>
          <w:kern w:val="0"/>
          <w:sz w:val="32"/>
          <w:szCs w:val="32"/>
        </w:rPr>
        <w:t>指事业单位在专业业务活动及其辅助活动之外开展非独立核算经营活动取得的现金流入。</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 </w:t>
      </w:r>
      <w:r>
        <w:rPr>
          <w:rFonts w:ascii="Times New Roman" w:eastAsia="方正仿宋_GBK" w:hAnsi="Times New Roman" w:cs="Times New Roman"/>
          <w:bCs/>
          <w:kern w:val="0"/>
          <w:sz w:val="32"/>
          <w:szCs w:val="32"/>
        </w:rPr>
        <w:t>（四）其他收入：</w:t>
      </w:r>
      <w:r>
        <w:rPr>
          <w:rFonts w:ascii="Times New Roman" w:eastAsia="方正仿宋_GBK" w:hAnsi="Times New Roman" w:cs="Times New Roman"/>
          <w:kern w:val="0"/>
          <w:sz w:val="32"/>
          <w:szCs w:val="32"/>
        </w:rPr>
        <w:t>指单位取得的除</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财政拨款收入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事业收入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经营收入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（五）使用非财政拨款结余：</w:t>
      </w:r>
      <w:r>
        <w:rPr>
          <w:rFonts w:ascii="Times New Roman" w:eastAsia="方正仿宋_GBK" w:hAnsi="Times New Roman" w:cs="Times New Roman"/>
          <w:kern w:val="0"/>
          <w:sz w:val="32"/>
          <w:szCs w:val="32"/>
        </w:rPr>
        <w:t>指单位在当年的</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财政拨款收</w:t>
      </w:r>
      <w:r>
        <w:rPr>
          <w:rFonts w:ascii="Times New Roman" w:eastAsia="方正仿宋_GBK" w:hAnsi="Times New Roman" w:cs="Times New Roman"/>
          <w:kern w:val="0"/>
          <w:sz w:val="32"/>
          <w:szCs w:val="32"/>
        </w:rPr>
        <w:t>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事业收入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经营收入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其他收入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等不足以安排当年支出的情况下，使用以前年度积累的非财政拨款结余弥补本年度收支缺口的资金。</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（六）年初结转和结余：</w:t>
      </w:r>
      <w:r>
        <w:rPr>
          <w:rFonts w:ascii="Times New Roman" w:eastAsia="方正仿宋_GBK" w:hAnsi="Times New Roman" w:cs="Times New Roman"/>
          <w:kern w:val="0"/>
          <w:sz w:val="32"/>
          <w:szCs w:val="32"/>
        </w:rPr>
        <w:t>指单位上年结转本年使用的基本支出结转、项目支出结转和结余、经营结余。</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（七）结余分配：</w:t>
      </w:r>
      <w:r>
        <w:rPr>
          <w:rFonts w:ascii="Times New Roman" w:eastAsia="方正仿宋_GBK" w:hAnsi="Times New Roman" w:cs="Times New Roman"/>
          <w:kern w:val="0"/>
          <w:sz w:val="32"/>
          <w:szCs w:val="32"/>
        </w:rPr>
        <w:t>指单位按照国家有关规定，缴纳所得税、提取专用基金、转入非财政拨款结余等当年结余的分配情况。</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lastRenderedPageBreak/>
        <w:t>（八）年末结转和结余：</w:t>
      </w:r>
      <w:r>
        <w:rPr>
          <w:rFonts w:ascii="Times New Roman" w:eastAsia="方正仿宋_GBK" w:hAnsi="Times New Roman" w:cs="Times New Roman"/>
          <w:kern w:val="0"/>
          <w:sz w:val="32"/>
          <w:szCs w:val="32"/>
        </w:rPr>
        <w:t>指单位结转下年的基本支出结转、项目支出结转和结余、经营结余。</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（九）基本支出：</w:t>
      </w:r>
      <w:r>
        <w:rPr>
          <w:rFonts w:ascii="Times New Roman" w:eastAsia="方正仿宋_GBK" w:hAnsi="Times New Roman" w:cs="Times New Roman"/>
          <w:kern w:val="0"/>
          <w:sz w:val="32"/>
          <w:szCs w:val="32"/>
        </w:rPr>
        <w:t>指为保障机构正常运转、完成日常工作任务而发生的人员经费和公用经费。其中：人员经费指政府收支分类经济科目中的</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工资福利支出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对个人和家庭的补助</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；公用经费指政府收支分类经济科目中除</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工资福利支出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对个人和家庭的补助</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外的其他支出。</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（十）项目支出：</w:t>
      </w:r>
      <w:r>
        <w:rPr>
          <w:rFonts w:ascii="Times New Roman" w:eastAsia="方正仿宋_GBK" w:hAnsi="Times New Roman" w:cs="Times New Roman"/>
          <w:kern w:val="0"/>
          <w:sz w:val="32"/>
          <w:szCs w:val="32"/>
        </w:rPr>
        <w:t>指在基本支出之外为完成特定行政任务和事业发展目标所发生的支出。</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（十一）经营支出：</w:t>
      </w:r>
      <w:r>
        <w:rPr>
          <w:rFonts w:ascii="Times New Roman" w:eastAsia="方正仿宋_GBK" w:hAnsi="Times New Roman" w:cs="Times New Roman"/>
          <w:kern w:val="0"/>
          <w:sz w:val="32"/>
          <w:szCs w:val="32"/>
        </w:rPr>
        <w:t>指事业单位在专业业务活动及其辅助活动之外开展非独立核算经营活动发生的支出。</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（十二）</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三公</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经费：</w:t>
      </w:r>
      <w:r>
        <w:rPr>
          <w:rFonts w:ascii="Times New Roman" w:eastAsia="方正仿宋_GBK" w:hAnsi="Times New Roman" w:cs="Times New Roman"/>
          <w:kern w:val="0"/>
          <w:sz w:val="32"/>
          <w:szCs w:val="32"/>
        </w:rPr>
        <w:t>指用一般公共预算财政拨款安排的因公出国（境）费、公务用车购置及运行维护费、公务</w:t>
      </w:r>
      <w:r>
        <w:rPr>
          <w:rFonts w:ascii="Times New Roman" w:eastAsia="方正仿宋_GBK" w:hAnsi="Times New Roman" w:cs="Times New Roman"/>
          <w:kern w:val="0"/>
          <w:sz w:val="32"/>
          <w:szCs w:val="32"/>
        </w:rPr>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（十三）机关运行经费：</w:t>
      </w:r>
      <w:r>
        <w:rPr>
          <w:rFonts w:ascii="Times New Roman" w:eastAsia="方正仿宋_GBK" w:hAnsi="Times New Roman" w:cs="Times New Roman"/>
          <w:kern w:val="0"/>
          <w:sz w:val="32"/>
          <w:szCs w:val="32"/>
        </w:rPr>
        <w:t>为保障行政单位（含参照公务员法管理的事业单位）运行用于购买货物和服务等的各项公用经费，包括办公及印刷费、邮电费、差旅费、会议费、福利费、日常维</w:t>
      </w:r>
      <w:r>
        <w:rPr>
          <w:rFonts w:ascii="Times New Roman" w:eastAsia="方正仿宋_GBK" w:hAnsi="Times New Roman" w:cs="Times New Roman"/>
          <w:kern w:val="0"/>
          <w:sz w:val="32"/>
          <w:szCs w:val="32"/>
        </w:rPr>
        <w:lastRenderedPageBreak/>
        <w:t>护费、</w:t>
      </w:r>
      <w:r>
        <w:rPr>
          <w:rFonts w:ascii="Times New Roman" w:eastAsia="方正仿宋_GBK" w:hAnsi="Times New Roman" w:cs="Times New Roman"/>
          <w:kern w:val="0"/>
          <w:sz w:val="32"/>
          <w:szCs w:val="32"/>
        </w:rPr>
        <w:t>专用材料及一般设备购置费、办公用房水电费、办公用房取暖费、办公用房物业管理费、公务用车运行维护费以及其他费用。</w:t>
      </w:r>
    </w:p>
    <w:p w:rsidR="00166C57" w:rsidRDefault="004D61A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（十四）工资福利支出（支出经济分类科目类级）：</w:t>
      </w:r>
      <w:r>
        <w:rPr>
          <w:rFonts w:ascii="Times New Roman" w:eastAsia="方正仿宋_GBK" w:hAnsi="Times New Roman" w:cs="Times New Roman"/>
          <w:kern w:val="0"/>
          <w:sz w:val="32"/>
          <w:szCs w:val="32"/>
        </w:rPr>
        <w:t>反映单位开支的在职职工和编制外长期聘用人员的各类劳动报酬，以及为上述人员缴纳的各项社会保险费等。</w:t>
      </w:r>
    </w:p>
    <w:p w:rsidR="00166C57" w:rsidRDefault="004D61A7">
      <w:pPr>
        <w:widowControl/>
        <w:spacing w:line="5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（十五）商品和服务支出（支出经济分类科目类级）：</w:t>
      </w:r>
      <w:r>
        <w:rPr>
          <w:rFonts w:ascii="Times New Roman" w:eastAsia="方正仿宋_GBK" w:hAnsi="Times New Roman" w:cs="Times New Roman"/>
          <w:kern w:val="0"/>
          <w:sz w:val="32"/>
          <w:szCs w:val="32"/>
        </w:rPr>
        <w:t>反映单位购买商品和服务的支出（不包括用于购置固定资产的支出、战略性和应急储备支出）。</w:t>
      </w:r>
    </w:p>
    <w:p w:rsidR="00166C57" w:rsidRDefault="004D61A7">
      <w:pPr>
        <w:widowControl/>
        <w:spacing w:line="5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（十六）对个人和家庭的补助（支出经济分类科目类级）：</w:t>
      </w:r>
      <w:r>
        <w:rPr>
          <w:rFonts w:ascii="Times New Roman" w:eastAsia="方正仿宋_GBK" w:hAnsi="Times New Roman" w:cs="Times New Roman"/>
          <w:kern w:val="0"/>
          <w:sz w:val="32"/>
          <w:szCs w:val="32"/>
        </w:rPr>
        <w:t>反映用于对个人和家庭的补助支出。</w:t>
      </w:r>
    </w:p>
    <w:p w:rsidR="00166C57" w:rsidRDefault="004D61A7">
      <w:pPr>
        <w:widowControl/>
        <w:spacing w:line="5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kern w:val="0"/>
          <w:sz w:val="32"/>
          <w:szCs w:val="32"/>
        </w:rPr>
        <w:t>（十七）其他资本性支出（支出经济分类</w:t>
      </w:r>
      <w:r>
        <w:rPr>
          <w:rFonts w:ascii="Times New Roman" w:eastAsia="方正仿宋_GBK" w:hAnsi="Times New Roman" w:cs="Times New Roman"/>
          <w:bCs/>
          <w:kern w:val="0"/>
          <w:sz w:val="32"/>
          <w:szCs w:val="32"/>
        </w:rPr>
        <w:t>科目类级）：反</w:t>
      </w:r>
      <w:r>
        <w:rPr>
          <w:rFonts w:ascii="Times New Roman" w:eastAsia="方正仿宋_GBK" w:hAnsi="Times New Roman" w:cs="Times New Roman"/>
          <w:kern w:val="0"/>
          <w:sz w:val="32"/>
          <w:szCs w:val="32"/>
        </w:rPr>
        <w:t>映非各级发展与改革部门集中安排的用于购置固定资产、战略性和应急性储备、土地和无形资产，以及构建基础设施、大型修缮和财政支持企业更新改造所发生的支出。</w:t>
      </w:r>
    </w:p>
    <w:p w:rsidR="00166C57" w:rsidRDefault="004D61A7">
      <w:pPr>
        <w:widowControl/>
        <w:spacing w:line="520" w:lineRule="exact"/>
        <w:ind w:firstLineChars="200" w:firstLine="640"/>
        <w:outlineLvl w:val="0"/>
        <w:rPr>
          <w:rFonts w:ascii="方正黑体_GBK" w:eastAsia="方正黑体_GBK" w:hAnsi="仿宋" w:cs="Times New Roman"/>
          <w:bCs/>
          <w:kern w:val="0"/>
          <w:sz w:val="32"/>
          <w:szCs w:val="32"/>
        </w:rPr>
      </w:pPr>
      <w:r>
        <w:rPr>
          <w:rFonts w:ascii="方正黑体_GBK" w:eastAsia="方正黑体_GBK" w:hAnsi="仿宋" w:cs="Times New Roman"/>
          <w:bCs/>
          <w:kern w:val="0"/>
          <w:sz w:val="32"/>
          <w:szCs w:val="32"/>
        </w:rPr>
        <w:t>六、决算公开联系方式及信息反馈渠道</w:t>
      </w:r>
    </w:p>
    <w:p w:rsidR="00166C57" w:rsidRDefault="004D61A7">
      <w:pPr>
        <w:widowControl/>
        <w:topLinePunct/>
        <w:spacing w:line="5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联系方式：</w:t>
      </w:r>
      <w:r>
        <w:rPr>
          <w:rFonts w:ascii="Times New Roman" w:eastAsia="方正仿宋_GBK" w:hAnsi="Times New Roman" w:cs="Times New Roman"/>
          <w:kern w:val="0"/>
          <w:sz w:val="32"/>
          <w:szCs w:val="32"/>
        </w:rPr>
        <w:t>023-78442246</w:t>
      </w:r>
    </w:p>
    <w:p w:rsidR="00166C57" w:rsidRDefault="00166C57">
      <w:pPr>
        <w:pStyle w:val="a7"/>
        <w:snapToGrid w:val="0"/>
        <w:spacing w:before="0" w:beforeAutospacing="0" w:after="0" w:afterAutospacing="0" w:line="520" w:lineRule="exact"/>
        <w:ind w:firstLineChars="200" w:firstLine="640"/>
        <w:jc w:val="both"/>
        <w:rPr>
          <w:rFonts w:ascii="方正仿宋_GBK" w:eastAsia="方正仿宋_GBK" w:hAnsi="方正仿宋_GBK" w:cs="方正仿宋_GBK"/>
          <w:sz w:val="32"/>
          <w:szCs w:val="32"/>
          <w:shd w:val="clear" w:color="auto" w:fill="FFFFFF"/>
        </w:rPr>
      </w:pPr>
    </w:p>
    <w:p w:rsidR="00166C57" w:rsidRDefault="00166C57">
      <w:pPr>
        <w:pStyle w:val="a7"/>
        <w:snapToGrid w:val="0"/>
        <w:spacing w:before="0" w:beforeAutospacing="0" w:after="0" w:afterAutospacing="0" w:line="580" w:lineRule="exact"/>
        <w:ind w:firstLineChars="200" w:firstLine="640"/>
        <w:jc w:val="both"/>
        <w:rPr>
          <w:rFonts w:ascii="方正仿宋_GBK" w:eastAsia="方正仿宋_GBK" w:hAnsi="方正仿宋_GBK" w:cs="方正仿宋_GBK"/>
          <w:sz w:val="32"/>
          <w:szCs w:val="32"/>
          <w:shd w:val="clear" w:color="auto" w:fill="FFFFFF"/>
        </w:rPr>
      </w:pPr>
    </w:p>
    <w:p w:rsidR="00166C57" w:rsidRDefault="00166C57"/>
    <w:sectPr w:rsidR="00166C57">
      <w:footerReference w:type="even" r:id="rId9"/>
      <w:footerReference w:type="default" r:id="rId10"/>
      <w:pgSz w:w="11906" w:h="16838"/>
      <w:pgMar w:top="2098" w:right="1474" w:bottom="1985" w:left="1588"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A7" w:rsidRDefault="004D61A7">
      <w:r>
        <w:separator/>
      </w:r>
    </w:p>
  </w:endnote>
  <w:endnote w:type="continuationSeparator" w:id="0">
    <w:p w:rsidR="004D61A7" w:rsidRDefault="004D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5024"/>
    </w:sdtPr>
    <w:sdtEndPr>
      <w:rPr>
        <w:rFonts w:asciiTheme="minorEastAsia" w:hAnsiTheme="minorEastAsia"/>
        <w:sz w:val="28"/>
        <w:szCs w:val="28"/>
      </w:rPr>
    </w:sdtEndPr>
    <w:sdtContent>
      <w:p w:rsidR="00166C57" w:rsidRDefault="004D61A7">
        <w:pPr>
          <w:pStyle w:val="a5"/>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E40482" w:rsidRPr="00E40482">
          <w:rPr>
            <w:rFonts w:asciiTheme="minorEastAsia" w:hAnsiTheme="minorEastAsia"/>
            <w:noProof/>
            <w:sz w:val="28"/>
            <w:szCs w:val="28"/>
            <w:lang w:val="zh-CN"/>
          </w:rPr>
          <w:t>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66C57" w:rsidRDefault="00166C57">
    <w:pPr>
      <w:pStyle w:val="a5"/>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5009"/>
    </w:sdtPr>
    <w:sdtEndPr>
      <w:rPr>
        <w:rFonts w:asciiTheme="minorEastAsia" w:hAnsiTheme="minorEastAsia"/>
        <w:sz w:val="28"/>
        <w:szCs w:val="28"/>
      </w:rPr>
    </w:sdtEndPr>
    <w:sdtContent>
      <w:p w:rsidR="00166C57" w:rsidRDefault="004D61A7">
        <w:pPr>
          <w:pStyle w:val="a5"/>
          <w:jc w:val="right"/>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E40482" w:rsidRPr="00E40482">
          <w:rPr>
            <w:rFonts w:asciiTheme="minorEastAsia" w:hAnsiTheme="minorEastAsia"/>
            <w:noProof/>
            <w:sz w:val="28"/>
            <w:szCs w:val="28"/>
            <w:lang w:val="zh-CN"/>
          </w:rPr>
          <w:t>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66C57" w:rsidRDefault="00166C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A7" w:rsidRDefault="004D61A7">
      <w:r>
        <w:separator/>
      </w:r>
    </w:p>
  </w:footnote>
  <w:footnote w:type="continuationSeparator" w:id="0">
    <w:p w:rsidR="004D61A7" w:rsidRDefault="004D6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DE225"/>
    <w:multiLevelType w:val="singleLevel"/>
    <w:tmpl w:val="92EDE225"/>
    <w:lvl w:ilvl="0">
      <w:start w:val="4"/>
      <w:numFmt w:val="chineseCounting"/>
      <w:suff w:val="nothing"/>
      <w:lvlText w:val="%1、"/>
      <w:lvlJc w:val="left"/>
      <w:rPr>
        <w:rFonts w:hint="eastAsia"/>
      </w:rPr>
    </w:lvl>
  </w:abstractNum>
  <w:abstractNum w:abstractNumId="1">
    <w:nsid w:val="0EE2BEC3"/>
    <w:multiLevelType w:val="singleLevel"/>
    <w:tmpl w:val="0EE2BEC3"/>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MThkOGI1YWVhYzdlNmIxNWVhZjhlYTViMDQ0MjYifQ=="/>
  </w:docVars>
  <w:rsids>
    <w:rsidRoot w:val="00B200D1"/>
    <w:rsid w:val="000C6239"/>
    <w:rsid w:val="00166C57"/>
    <w:rsid w:val="001C4212"/>
    <w:rsid w:val="001E3550"/>
    <w:rsid w:val="002D71BF"/>
    <w:rsid w:val="0031480D"/>
    <w:rsid w:val="004D61A7"/>
    <w:rsid w:val="007570B0"/>
    <w:rsid w:val="0078250C"/>
    <w:rsid w:val="00A119C7"/>
    <w:rsid w:val="00B200D1"/>
    <w:rsid w:val="00B3126B"/>
    <w:rsid w:val="00C14711"/>
    <w:rsid w:val="00C2631C"/>
    <w:rsid w:val="00C54AD5"/>
    <w:rsid w:val="00C836D0"/>
    <w:rsid w:val="00D9233E"/>
    <w:rsid w:val="00E40482"/>
    <w:rsid w:val="00EF3CC5"/>
    <w:rsid w:val="019A236C"/>
    <w:rsid w:val="01FD1395"/>
    <w:rsid w:val="098373D6"/>
    <w:rsid w:val="0AC945BE"/>
    <w:rsid w:val="11227F4E"/>
    <w:rsid w:val="12F74B66"/>
    <w:rsid w:val="130E3162"/>
    <w:rsid w:val="18AA3F54"/>
    <w:rsid w:val="1F77356F"/>
    <w:rsid w:val="21DF34A4"/>
    <w:rsid w:val="23951BF5"/>
    <w:rsid w:val="26A45E85"/>
    <w:rsid w:val="283F6D37"/>
    <w:rsid w:val="30D9749C"/>
    <w:rsid w:val="336151A7"/>
    <w:rsid w:val="35310F7C"/>
    <w:rsid w:val="354B14FF"/>
    <w:rsid w:val="377D3079"/>
    <w:rsid w:val="393B65AB"/>
    <w:rsid w:val="451903D1"/>
    <w:rsid w:val="467B5E9B"/>
    <w:rsid w:val="48A43ECB"/>
    <w:rsid w:val="505E4C2D"/>
    <w:rsid w:val="51F341FF"/>
    <w:rsid w:val="52284F40"/>
    <w:rsid w:val="53DE2944"/>
    <w:rsid w:val="5624418E"/>
    <w:rsid w:val="577304A5"/>
    <w:rsid w:val="594F7008"/>
    <w:rsid w:val="59CF08FA"/>
    <w:rsid w:val="5B7A5C0E"/>
    <w:rsid w:val="5B805643"/>
    <w:rsid w:val="5D5E6907"/>
    <w:rsid w:val="61D14018"/>
    <w:rsid w:val="64106E2B"/>
    <w:rsid w:val="648C415D"/>
    <w:rsid w:val="64EE3811"/>
    <w:rsid w:val="67DD257B"/>
    <w:rsid w:val="68513B62"/>
    <w:rsid w:val="6B3406C6"/>
    <w:rsid w:val="6CCB4A74"/>
    <w:rsid w:val="75EE4F08"/>
    <w:rsid w:val="771E6F9F"/>
    <w:rsid w:val="7A440F4D"/>
    <w:rsid w:val="7C174E1C"/>
    <w:rsid w:val="7C2801E3"/>
    <w:rsid w:val="7E241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Pr>
      <w:b/>
      <w:bCs/>
    </w:rPr>
  </w:style>
  <w:style w:type="character" w:styleId="a9">
    <w:name w:val="Hyperlink"/>
    <w:basedOn w:val="a1"/>
    <w:uiPriority w:val="99"/>
    <w:semiHidden/>
    <w:unhideWhenUsed/>
    <w:qFormat/>
    <w:rPr>
      <w:color w:val="0000FF"/>
      <w:u w:val="single"/>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sz w:val="18"/>
      <w:szCs w:val="18"/>
    </w:rPr>
  </w:style>
  <w:style w:type="paragraph" w:customStyle="1" w:styleId="1">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Pr>
      <w:b/>
      <w:bCs/>
    </w:rPr>
  </w:style>
  <w:style w:type="character" w:styleId="a9">
    <w:name w:val="Hyperlink"/>
    <w:basedOn w:val="a1"/>
    <w:uiPriority w:val="99"/>
    <w:semiHidden/>
    <w:unhideWhenUsed/>
    <w:qFormat/>
    <w:rPr>
      <w:color w:val="0000FF"/>
      <w:u w:val="single"/>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sz w:val="18"/>
      <w:szCs w:val="18"/>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1758</Words>
  <Characters>2058</Characters>
  <Application>Microsoft Office Word</Application>
  <DocSecurity>0</DocSecurity>
  <Lines>294</Lines>
  <Paragraphs>119</Paragraphs>
  <ScaleCrop>false</ScaleCrop>
  <Company>Microsoft Corp.</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冉显娇</cp:lastModifiedBy>
  <cp:revision>8</cp:revision>
  <cp:lastPrinted>2023-08-17T06:54:00Z</cp:lastPrinted>
  <dcterms:created xsi:type="dcterms:W3CDTF">2022-08-18T03:56:00Z</dcterms:created>
  <dcterms:modified xsi:type="dcterms:W3CDTF">2025-10-23T03:16:00Z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FB1B1C47108A4D38AAC02F06EAD49F79_12</vt:lpwstr>
  </property>
</Properties>
</file>