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rPr>
          <w:rFonts w:hint="eastAsia" w:eastAsia="方正黑体_GBK"/>
          <w:color w:val="000000"/>
          <w:szCs w:val="32"/>
        </w:rPr>
      </w:pPr>
    </w:p>
    <w:p>
      <w:pPr>
        <w:pStyle w:val="9"/>
        <w:spacing w:line="560" w:lineRule="exact"/>
        <w:rPr>
          <w:rFonts w:hint="eastAsia"/>
        </w:rPr>
      </w:pPr>
    </w:p>
    <w:p>
      <w:pPr>
        <w:autoSpaceDE w:val="0"/>
        <w:autoSpaceDN w:val="0"/>
        <w:adjustRightInd w:val="0"/>
        <w:spacing w:line="560" w:lineRule="exact"/>
        <w:rPr>
          <w:rFonts w:hint="eastAsia" w:eastAsia="方正黑体_GBK"/>
          <w:color w:val="000000"/>
          <w:szCs w:val="32"/>
        </w:rPr>
      </w:pPr>
    </w:p>
    <w:p>
      <w:pPr>
        <w:autoSpaceDE w:val="0"/>
        <w:autoSpaceDN w:val="0"/>
        <w:adjustRightInd w:val="0"/>
        <w:spacing w:line="560" w:lineRule="exact"/>
        <w:rPr>
          <w:rFonts w:hint="eastAsia" w:eastAsia="方正黑体_GBK"/>
          <w:color w:val="000000"/>
          <w:szCs w:val="32"/>
        </w:rPr>
      </w:pPr>
    </w:p>
    <w:p>
      <w:pPr>
        <w:autoSpaceDE w:val="0"/>
        <w:autoSpaceDN w:val="0"/>
        <w:adjustRightInd w:val="0"/>
        <w:spacing w:line="560" w:lineRule="exact"/>
        <w:rPr>
          <w:rFonts w:hint="eastAsia" w:eastAsia="方正黑体_GBK"/>
          <w:color w:val="000000"/>
          <w:szCs w:val="32"/>
        </w:rPr>
      </w:pPr>
    </w:p>
    <w:p>
      <w:pPr>
        <w:autoSpaceDE w:val="0"/>
        <w:autoSpaceDN w:val="0"/>
        <w:adjustRightInd w:val="0"/>
        <w:spacing w:line="560" w:lineRule="exact"/>
        <w:rPr>
          <w:rFonts w:hint="eastAsia" w:eastAsia="方正黑体_GBK"/>
          <w:color w:val="000000"/>
          <w:szCs w:val="32"/>
        </w:rPr>
      </w:pPr>
    </w:p>
    <w:p>
      <w:pPr>
        <w:pStyle w:val="2"/>
        <w:spacing w:line="560" w:lineRule="exact"/>
        <w:ind w:firstLine="640"/>
        <w:rPr>
          <w:rFonts w:hint="eastAsia"/>
        </w:rPr>
      </w:pPr>
    </w:p>
    <w:p>
      <w:pPr>
        <w:spacing w:line="560" w:lineRule="exact"/>
        <w:rPr>
          <w:rFonts w:hint="eastAsia"/>
        </w:rPr>
      </w:pPr>
    </w:p>
    <w:p>
      <w:pPr>
        <w:tabs>
          <w:tab w:val="left" w:pos="8222"/>
        </w:tabs>
        <w:spacing w:line="560" w:lineRule="exact"/>
        <w:jc w:val="center"/>
        <w:rPr>
          <w:rFonts w:hint="eastAsia" w:eastAsia="方正仿宋_GBK"/>
          <w:szCs w:val="22"/>
        </w:rPr>
      </w:pPr>
      <w:r>
        <w:rPr>
          <w:rFonts w:hint="eastAsia" w:eastAsia="方正仿宋_GBK"/>
          <w:szCs w:val="22"/>
        </w:rPr>
        <w:t>彭水府办发</w:t>
      </w:r>
      <w:r>
        <w:rPr>
          <w:rFonts w:hint="eastAsia" w:ascii="方正仿宋_GBK" w:hAnsi="方正仿宋_GBK" w:eastAsia="方正仿宋_GBK" w:cs="方正仿宋_GBK"/>
          <w:szCs w:val="22"/>
        </w:rPr>
        <w:t>〔</w:t>
      </w:r>
      <w:r>
        <w:rPr>
          <w:rFonts w:hint="eastAsia" w:eastAsia="方正仿宋_GBK"/>
          <w:szCs w:val="22"/>
        </w:rPr>
        <w:t>2022</w:t>
      </w:r>
      <w:r>
        <w:rPr>
          <w:rFonts w:hint="eastAsia" w:ascii="方正仿宋_GBK" w:hAnsi="方正仿宋_GBK" w:eastAsia="方正仿宋_GBK" w:cs="方正仿宋_GBK"/>
          <w:szCs w:val="22"/>
        </w:rPr>
        <w:t>〕</w:t>
      </w:r>
      <w:r>
        <w:rPr>
          <w:rFonts w:hint="eastAsia" w:eastAsia="方正仿宋_GBK"/>
          <w:szCs w:val="22"/>
        </w:rPr>
        <w:t>44号</w:t>
      </w:r>
    </w:p>
    <w:p>
      <w:pPr>
        <w:spacing w:line="560" w:lineRule="exact"/>
        <w:rPr>
          <w:rFonts w:hint="eastAsia" w:eastAsia="方正仿宋_GBK"/>
          <w:szCs w:val="22"/>
        </w:rPr>
      </w:pPr>
    </w:p>
    <w:p>
      <w:pPr>
        <w:pStyle w:val="2"/>
        <w:spacing w:line="560" w:lineRule="exact"/>
        <w:ind w:firstLine="640"/>
        <w:rPr>
          <w:rFonts w:hint="eastAsia"/>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彭水苗族土家族自治县人民政府办公室</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20"/>
          <w:sz w:val="44"/>
          <w:szCs w:val="44"/>
        </w:rPr>
        <w:t>关于印发《</w:t>
      </w:r>
      <w:r>
        <w:rPr>
          <w:rFonts w:eastAsia="方正小标宋_GBK"/>
          <w:sz w:val="44"/>
          <w:szCs w:val="44"/>
        </w:rPr>
        <w:t>彭水自治县全民科学素质行动规划纲要实施方案（2021—2025年</w:t>
      </w:r>
      <w:r>
        <w:rPr>
          <w:rFonts w:hint="eastAsia" w:eastAsia="方正小标宋_GBK"/>
          <w:sz w:val="44"/>
          <w:szCs w:val="44"/>
        </w:rPr>
        <w:t>）</w:t>
      </w:r>
      <w:r>
        <w:rPr>
          <w:rFonts w:hint="eastAsia" w:ascii="方正小标宋_GBK" w:hAnsi="方正小标宋_GBK" w:eastAsia="方正小标宋_GBK" w:cs="方正小标宋_GBK"/>
          <w:spacing w:val="-20"/>
          <w:sz w:val="44"/>
          <w:szCs w:val="44"/>
        </w:rPr>
        <w:t>》的</w:t>
      </w:r>
      <w:r>
        <w:rPr>
          <w:rFonts w:hint="eastAsia" w:ascii="方正小标宋_GBK" w:hAnsi="方正小标宋_GBK" w:eastAsia="方正小标宋_GBK" w:cs="方正小标宋_GBK"/>
          <w:sz w:val="44"/>
          <w:szCs w:val="44"/>
        </w:rPr>
        <w:t>通知</w:t>
      </w:r>
    </w:p>
    <w:p>
      <w:pPr>
        <w:spacing w:line="560" w:lineRule="exact"/>
        <w:rPr>
          <w:rFonts w:hint="eastAsia" w:eastAsia="方正仿宋_GBK"/>
          <w:szCs w:val="22"/>
        </w:rPr>
      </w:pPr>
    </w:p>
    <w:p>
      <w:pPr>
        <w:spacing w:line="560" w:lineRule="exact"/>
        <w:rPr>
          <w:rFonts w:hint="eastAsia" w:eastAsia="方正仿宋_GBK"/>
          <w:szCs w:val="22"/>
        </w:rPr>
      </w:pPr>
      <w:r>
        <w:rPr>
          <w:rFonts w:hint="eastAsia" w:eastAsia="方正仿宋_GBK"/>
          <w:szCs w:val="22"/>
        </w:rPr>
        <w:t>各乡镇人民政府，各街道办事处，县政府各部门，各企事业单位：</w:t>
      </w:r>
    </w:p>
    <w:p>
      <w:pPr>
        <w:spacing w:line="560" w:lineRule="exact"/>
        <w:ind w:firstLine="640" w:firstLineChars="200"/>
        <w:rPr>
          <w:rFonts w:hint="eastAsia" w:eastAsia="方正仿宋_GBK"/>
          <w:szCs w:val="22"/>
        </w:rPr>
      </w:pPr>
      <w:r>
        <w:rPr>
          <w:rFonts w:hint="eastAsia" w:eastAsia="方正仿宋_GBK"/>
          <w:szCs w:val="22"/>
        </w:rPr>
        <w:t>经县政府同意，现将《</w:t>
      </w:r>
      <w:r>
        <w:rPr>
          <w:rFonts w:eastAsia="方正仿宋_GBK"/>
          <w:szCs w:val="22"/>
        </w:rPr>
        <w:t>彭水自治县全民科学素质行动规划纲要实施方案（2021—2025年</w:t>
      </w:r>
      <w:r>
        <w:rPr>
          <w:rFonts w:hint="eastAsia" w:eastAsia="方正仿宋_GBK"/>
          <w:szCs w:val="22"/>
        </w:rPr>
        <w:t>》印发给你们，</w:t>
      </w:r>
      <w:r>
        <w:rPr>
          <w:rFonts w:hint="eastAsia" w:eastAsia="方正仿宋_GBK"/>
          <w:spacing w:val="-20"/>
          <w:szCs w:val="22"/>
        </w:rPr>
        <w:t>请认真遵照执行。</w:t>
      </w:r>
    </w:p>
    <w:p>
      <w:pPr>
        <w:spacing w:line="560" w:lineRule="exact"/>
        <w:ind w:firstLine="640" w:firstLineChars="200"/>
        <w:rPr>
          <w:rFonts w:hint="eastAsia" w:eastAsia="方正仿宋_GBK"/>
          <w:szCs w:val="22"/>
        </w:rPr>
      </w:pPr>
    </w:p>
    <w:p>
      <w:pPr>
        <w:spacing w:line="560" w:lineRule="exact"/>
        <w:ind w:firstLine="2880" w:firstLineChars="900"/>
        <w:rPr>
          <w:rFonts w:hint="eastAsia" w:eastAsia="方正仿宋_GBK"/>
          <w:szCs w:val="22"/>
        </w:rPr>
      </w:pPr>
    </w:p>
    <w:p>
      <w:pPr>
        <w:tabs>
          <w:tab w:val="left" w:pos="8222"/>
          <w:tab w:val="left" w:pos="8364"/>
        </w:tabs>
        <w:spacing w:line="560" w:lineRule="exact"/>
        <w:rPr>
          <w:rFonts w:hint="eastAsia" w:eastAsia="方正仿宋_GBK"/>
          <w:szCs w:val="22"/>
        </w:rPr>
      </w:pPr>
      <w:r>
        <w:rPr>
          <w:rFonts w:hint="eastAsia" w:eastAsia="方正仿宋_GBK"/>
          <w:szCs w:val="22"/>
        </w:rPr>
        <w:t xml:space="preserve">                彭水苗族土家族自治县人民政府办公室</w:t>
      </w:r>
    </w:p>
    <w:p>
      <w:pPr>
        <w:spacing w:line="560" w:lineRule="exact"/>
        <w:ind w:firstLine="3520" w:firstLineChars="1100"/>
        <w:rPr>
          <w:rFonts w:eastAsia="方正黑体_GBK"/>
          <w:color w:val="000000"/>
          <w:szCs w:val="32"/>
        </w:rPr>
      </w:pPr>
      <w:r>
        <w:rPr>
          <w:rFonts w:hint="eastAsia" w:eastAsia="方正仿宋_GBK"/>
          <w:szCs w:val="22"/>
        </w:rPr>
        <w:t xml:space="preserve">   2022年4月21日</w:t>
      </w:r>
    </w:p>
    <w:p>
      <w:pPr>
        <w:spacing w:line="560" w:lineRule="exact"/>
        <w:jc w:val="center"/>
        <w:rPr>
          <w:rFonts w:eastAsia="方正小标宋_GBK"/>
          <w:spacing w:val="-6"/>
          <w:sz w:val="44"/>
          <w:szCs w:val="44"/>
        </w:rPr>
      </w:pPr>
      <w:r>
        <w:rPr>
          <w:rFonts w:eastAsia="方正小标宋_GBK"/>
          <w:spacing w:val="-6"/>
          <w:sz w:val="44"/>
          <w:szCs w:val="44"/>
        </w:rPr>
        <w:t>彭水自治县全民科学素质行动规划纲要</w:t>
      </w:r>
    </w:p>
    <w:p>
      <w:pPr>
        <w:spacing w:line="560" w:lineRule="exact"/>
        <w:jc w:val="center"/>
        <w:rPr>
          <w:rFonts w:eastAsia="方正小标宋_GBK"/>
          <w:spacing w:val="-6"/>
          <w:sz w:val="44"/>
          <w:szCs w:val="44"/>
        </w:rPr>
      </w:pPr>
      <w:r>
        <w:rPr>
          <w:rFonts w:eastAsia="方正小标宋_GBK"/>
          <w:spacing w:val="-6"/>
          <w:sz w:val="44"/>
          <w:szCs w:val="44"/>
        </w:rPr>
        <w:t>实施方案（2021—2025年）</w:t>
      </w:r>
    </w:p>
    <w:p>
      <w:pPr>
        <w:spacing w:line="560" w:lineRule="exact"/>
        <w:ind w:firstLine="640" w:firstLineChars="200"/>
        <w:rPr>
          <w:rFonts w:eastAsia="方正仿宋_GBK"/>
          <w:szCs w:val="32"/>
        </w:rPr>
      </w:pPr>
      <w:r>
        <w:rPr>
          <w:rFonts w:eastAsia="方正仿宋_GBK"/>
          <w:szCs w:val="32"/>
        </w:rPr>
        <w:t xml:space="preserve"> </w:t>
      </w:r>
    </w:p>
    <w:p>
      <w:pPr>
        <w:spacing w:line="560" w:lineRule="exact"/>
        <w:ind w:firstLine="640" w:firstLineChars="200"/>
        <w:rPr>
          <w:rFonts w:eastAsia="方正仿宋_GBK"/>
          <w:szCs w:val="32"/>
        </w:rPr>
      </w:pPr>
      <w:r>
        <w:rPr>
          <w:rFonts w:eastAsia="方正仿宋_GBK"/>
          <w:szCs w:val="32"/>
        </w:rPr>
        <w:t>根据《重庆市人民政府办公厅关于印发重庆市全民科学素质行动规划纲要实施方案（2021—2025年）的通知》（渝府办发〔2021〕138号)精神，为进一步明确全县“十四五”期间全民科学素质工作重点任务和保障措施，加快实施创新驱动发展战略，实现2025年全民科学素质工作目标，制定本实施方案。</w:t>
      </w:r>
    </w:p>
    <w:p>
      <w:pPr>
        <w:spacing w:line="560" w:lineRule="exact"/>
        <w:ind w:firstLine="640" w:firstLineChars="200"/>
        <w:rPr>
          <w:rFonts w:eastAsia="方正黑体_GBK"/>
          <w:szCs w:val="32"/>
        </w:rPr>
      </w:pPr>
      <w:r>
        <w:rPr>
          <w:rFonts w:eastAsia="方正黑体_GBK"/>
          <w:szCs w:val="32"/>
        </w:rPr>
        <w:t>一、背景和意义</w:t>
      </w:r>
    </w:p>
    <w:p>
      <w:pPr>
        <w:spacing w:line="560" w:lineRule="exact"/>
        <w:ind w:firstLine="640" w:firstLineChars="200"/>
        <w:rPr>
          <w:rFonts w:eastAsia="方正仿宋_GBK"/>
          <w:szCs w:val="32"/>
        </w:rPr>
      </w:pPr>
      <w:r>
        <w:rPr>
          <w:rFonts w:eastAsia="方正仿宋_GBK"/>
          <w:szCs w:val="32"/>
        </w:rPr>
        <w:t>“十三五”期间，全县全民科学素质建设工作坚持以习近平新时代中国特色社会主义思想为指导，深学笃用习近平总书记关于科普和科学素质建设的重要论述，按照“政府推动、全民参与、提升素质、促进和谐”的工作方针，聚焦责任落实，完善工作机制，强化组织保障，青少年、农民、城镇劳动者、领导干部和公务员等重点人群科学素质行动扎实推进，科普基础设施不断完善，科普资源供给更加充足，公共服务能力明显提高，科学教育、传播与普及长足发展，重大品牌活动科普功能不断释放，大众传媒科技传播能力明显增强，公民科学素质建设共建机制逐步健全，大联合大协作的局面进一步形成，为全民科学素质工作顺利开展提供了保障。</w:t>
      </w:r>
    </w:p>
    <w:p>
      <w:pPr>
        <w:spacing w:line="560" w:lineRule="exact"/>
        <w:ind w:firstLine="640" w:firstLineChars="200"/>
        <w:rPr>
          <w:rFonts w:eastAsia="方正仿宋_GBK"/>
          <w:szCs w:val="32"/>
        </w:rPr>
      </w:pPr>
      <w:r>
        <w:rPr>
          <w:rFonts w:eastAsia="方正仿宋_GBK"/>
          <w:szCs w:val="32"/>
        </w:rPr>
        <w:t>但是，我县科学素质建设也存在一些问题与不足，主要表现在：一是全民科学素质工作发展不平衡不充分，不同地区、不同人群科学素质水平差距较大；二是科普基础设施较为薄弱，缺乏集中较大科普场馆；三是科普投入不能满足公众需求，全社会参与的激励机制不完善，市场配置资源的作用发挥不够；四是科普能力有待进一步提升，传播方式单一，科普智慧化传播水平不够高，公众参与科学素质建设的积极性还未充分调动，科普产业发展和市场化机制作用发挥不够充分；五是落实“科学普及与科技创新同等重要”的制度安排尚未形成，组织领导、条件保障等有待加强。</w:t>
      </w:r>
    </w:p>
    <w:p>
      <w:pPr>
        <w:spacing w:line="560" w:lineRule="exact"/>
        <w:ind w:firstLine="640" w:firstLineChars="200"/>
        <w:rPr>
          <w:rFonts w:eastAsia="方正仿宋_GBK"/>
          <w:szCs w:val="32"/>
        </w:rPr>
      </w:pPr>
      <w:r>
        <w:rPr>
          <w:rFonts w:eastAsia="方正仿宋_GBK"/>
          <w:szCs w:val="32"/>
        </w:rPr>
        <w:t>科学素质是国民素质的重要组成部分，是社会文明进步的基础。进入新发展阶段，科学素质建设站在了新的历史起点，开启了我县大力推动科技创新支撑引领新时代彭水高质量发展的新征程。加强科学素质建设，对于提高公众终身学习能力、服务人的全面发展；对于培养高素质创新大军，服务科教兴县和人才强县行动计划；对于提高治理体系和治理能力现代化水平；对于推动高质量发展、创造高品质生活，完成“十四五”彭水经济和社会发展各项目标任务均具有重要意义。</w:t>
      </w:r>
    </w:p>
    <w:p>
      <w:pPr>
        <w:spacing w:line="560" w:lineRule="exact"/>
        <w:rPr>
          <w:rFonts w:eastAsia="方正黑体_GBK"/>
          <w:szCs w:val="32"/>
        </w:rPr>
      </w:pPr>
      <w:r>
        <w:rPr>
          <w:rFonts w:eastAsia="方正黑体_GBK"/>
          <w:szCs w:val="32"/>
        </w:rPr>
        <w:t xml:space="preserve">    二、指导思想和工作目标</w:t>
      </w:r>
    </w:p>
    <w:p>
      <w:pPr>
        <w:spacing w:line="560" w:lineRule="exact"/>
        <w:ind w:firstLine="640" w:firstLineChars="200"/>
        <w:rPr>
          <w:rFonts w:eastAsia="方正仿宋_GBK"/>
          <w:szCs w:val="32"/>
        </w:rPr>
      </w:pPr>
      <w:r>
        <w:rPr>
          <w:rFonts w:eastAsia="方正楷体_GBK"/>
          <w:bCs/>
          <w:szCs w:val="32"/>
        </w:rPr>
        <w:t>指导思想：</w:t>
      </w:r>
      <w:r>
        <w:rPr>
          <w:rFonts w:eastAsia="方正仿宋_GBK"/>
          <w:szCs w:val="32"/>
        </w:rPr>
        <w:t>以习近平新时代中国特色社会主义思想为指导，深入贯彻落实党的十九大和十九届历次全会精神，坚持党的全面领导，坚持以人民为中心，坚持新发展理念，统筹推进“五位一体”总体布局，协调推进“四个全面”战略布局，全面贯彻习近平总书记关于科普和科学素质建设的重要论述，深入落实市委，市政府关于科技创新的各项决策部署和县委、县政府工作要求，以提高全民科学素质服务高质量发展、高品质生活为目标，以践行社会主义核心价值观、弘扬科学精神为主线，以深化科普供给侧改革为重点，着力打造社会化协同、分众化覆盖、系统化集成、智慧化传播、规范化建设、科学化评价的全域科普新格局，构建良好科学素质建设生态，营造热爱科学、崇尚创新的社会氛围，提升社会文明程度，为推动彭水高质量发展创造高品质生活作出积极贡献。</w:t>
      </w:r>
    </w:p>
    <w:p>
      <w:pPr>
        <w:spacing w:line="560" w:lineRule="exact"/>
        <w:ind w:firstLine="640" w:firstLineChars="200"/>
        <w:rPr>
          <w:rFonts w:eastAsia="方正仿宋_GBK"/>
          <w:szCs w:val="32"/>
        </w:rPr>
      </w:pPr>
      <w:r>
        <w:rPr>
          <w:rFonts w:eastAsia="方正楷体_GBK"/>
          <w:bCs/>
          <w:szCs w:val="32"/>
        </w:rPr>
        <w:t>工作目标</w:t>
      </w:r>
      <w:r>
        <w:rPr>
          <w:rFonts w:eastAsia="方正仿宋_GBK"/>
          <w:szCs w:val="32"/>
        </w:rPr>
        <w:t>：到2025年，</w:t>
      </w:r>
      <w:r>
        <w:rPr>
          <w:rFonts w:hint="eastAsia" w:eastAsia="方正仿宋_GBK"/>
          <w:szCs w:val="32"/>
        </w:rPr>
        <w:t>力争</w:t>
      </w:r>
      <w:r>
        <w:rPr>
          <w:rFonts w:eastAsia="方正仿宋_GBK"/>
          <w:szCs w:val="32"/>
        </w:rPr>
        <w:t>全县公民具备科学素质的比例</w:t>
      </w:r>
      <w:r>
        <w:rPr>
          <w:rFonts w:hint="eastAsia" w:eastAsia="方正仿宋_GBK"/>
          <w:szCs w:val="32"/>
        </w:rPr>
        <w:t>达到全市平均水平</w:t>
      </w:r>
      <w:r>
        <w:rPr>
          <w:rFonts w:eastAsia="方正仿宋_GBK"/>
          <w:szCs w:val="32"/>
        </w:rPr>
        <w:t>。全县各地区、各人群科学素质发展不均衡明显改善。科普供给侧改革成效显著，科学素质公共服务能力显著提升，全域科普工作新格局初步形成，“科学普及与科技创新同等重要”的制度安排基本形成，科学精神在全社会广泛弘扬，创新文化氛围日益深厚，社会文明程度明显提升。</w:t>
      </w:r>
    </w:p>
    <w:p>
      <w:pPr>
        <w:pStyle w:val="3"/>
        <w:spacing w:after="0" w:line="560" w:lineRule="exact"/>
        <w:ind w:firstLine="640" w:firstLineChars="200"/>
        <w:rPr>
          <w:rFonts w:eastAsia="方正黑体_GBK"/>
          <w:sz w:val="32"/>
          <w:szCs w:val="32"/>
        </w:rPr>
      </w:pPr>
      <w:r>
        <w:rPr>
          <w:rFonts w:eastAsia="方正黑体_GBK"/>
          <w:sz w:val="32"/>
          <w:szCs w:val="32"/>
        </w:rPr>
        <w:t>三、提升行动</w:t>
      </w:r>
    </w:p>
    <w:p>
      <w:pPr>
        <w:pStyle w:val="3"/>
        <w:spacing w:after="0" w:line="560" w:lineRule="exact"/>
        <w:ind w:right="202" w:firstLine="640"/>
        <w:rPr>
          <w:rFonts w:eastAsia="方正仿宋_GBK"/>
          <w:sz w:val="32"/>
          <w:szCs w:val="32"/>
        </w:rPr>
      </w:pPr>
      <w:r>
        <w:rPr>
          <w:rFonts w:eastAsia="方正仿宋_GBK"/>
          <w:sz w:val="32"/>
          <w:szCs w:val="32"/>
        </w:rPr>
        <w:t>紧紧围绕践行社会主义核心价值观，大力弘扬科学精神，培育科学理性思维，养成文明、健康、绿色、环保的科学生活方式，提高劳动生产、创新创造技能，重点实施5项提升行动。</w:t>
      </w:r>
    </w:p>
    <w:p>
      <w:pPr>
        <w:numPr>
          <w:ilvl w:val="0"/>
          <w:numId w:val="1"/>
        </w:numPr>
        <w:spacing w:line="560" w:lineRule="exact"/>
        <w:ind w:firstLine="640" w:firstLineChars="200"/>
        <w:jc w:val="left"/>
        <w:rPr>
          <w:rFonts w:eastAsia="方正楷体_GBK"/>
          <w:bCs/>
          <w:szCs w:val="32"/>
        </w:rPr>
      </w:pPr>
      <w:r>
        <w:rPr>
          <w:rFonts w:eastAsia="方正楷体_GBK"/>
          <w:bCs/>
          <w:szCs w:val="32"/>
        </w:rPr>
        <w:t>实施青少年科学素质提升行动。</w:t>
      </w:r>
    </w:p>
    <w:p>
      <w:pPr>
        <w:spacing w:line="560" w:lineRule="exact"/>
        <w:ind w:firstLine="640" w:firstLineChars="200"/>
        <w:rPr>
          <w:rFonts w:eastAsia="方正仿宋_GBK"/>
          <w:szCs w:val="32"/>
        </w:rPr>
      </w:pPr>
      <w:r>
        <w:rPr>
          <w:rFonts w:eastAsia="方正仿宋_GBK"/>
          <w:szCs w:val="32"/>
        </w:rPr>
        <w:t>积极开展利用科普资源促进学校科技教育，有效支持学校开展课后服务，助推“双减”工作，根据不同年龄阶段青少年的身心特点，开展多种形式的科学教育活动，努力培养青少年的科技兴趣、科学意识、创新精神和创新实践能力，促进学生全面健康发展。</w:t>
      </w:r>
    </w:p>
    <w:p>
      <w:pPr>
        <w:spacing w:line="560" w:lineRule="exact"/>
        <w:ind w:firstLine="640" w:firstLineChars="200"/>
        <w:rPr>
          <w:rFonts w:eastAsia="方正仿宋_GBK"/>
          <w:szCs w:val="32"/>
        </w:rPr>
      </w:pPr>
      <w:r>
        <w:rPr>
          <w:rFonts w:eastAsia="方正仿宋_GBK"/>
          <w:szCs w:val="32"/>
        </w:rPr>
        <w:t>1.将弘扬科学精神贯穿于育人全过程。坚持立德树人，实施科学家精神进校园行动，将科学精神融入课堂教学和课外实践活动，持续开展院士专家科普校园行活动，激励青少年树立投身建设世界科技强国的远大志向，培养学生爱国情怀、社会责任感、创新精神和实践能力。</w:t>
      </w:r>
    </w:p>
    <w:p>
      <w:pPr>
        <w:spacing w:line="560" w:lineRule="exact"/>
        <w:ind w:firstLine="640" w:firstLineChars="200"/>
        <w:rPr>
          <w:rFonts w:eastAsia="方正仿宋_GBK"/>
          <w:szCs w:val="32"/>
        </w:rPr>
      </w:pPr>
      <w:r>
        <w:rPr>
          <w:rFonts w:eastAsia="方正仿宋_GBK"/>
          <w:szCs w:val="32"/>
        </w:rPr>
        <w:t>2.提升基础教育阶段科学教育水平。积极推进教学方式变革，倡导启发式、探究式、开放式教学，保护学生好奇心，激发求知欲和想象力，提高科学、数学、物理、化学、生物、通用技术、信息技术等学科在内的学业水平考试和综合素质评价制度，引导有创新潜质的学生个性化发展。加大中小学科学教育场地、设备、耗材及运行维护投入，加大科学教育活动和资源向农村倾斜力度，实现基层农村学校科学教育课程的全面普及。推进信息技术与科学教育深度融合，推行场景式、体验式、沉浸式学习。完善科学教育质量评价和青少年科学素质监测评估。</w:t>
      </w:r>
    </w:p>
    <w:p>
      <w:pPr>
        <w:spacing w:line="560" w:lineRule="exact"/>
        <w:ind w:firstLine="640" w:firstLineChars="200"/>
        <w:rPr>
          <w:rFonts w:eastAsia="方正仿宋_GBK"/>
          <w:szCs w:val="32"/>
        </w:rPr>
      </w:pPr>
      <w:r>
        <w:rPr>
          <w:rFonts w:eastAsia="方正仿宋_GBK"/>
          <w:szCs w:val="32"/>
        </w:rPr>
        <w:t>3.提高校内外青少年科技活动水平。完善校内外科技教育衔接机制和模式，加强协同配合，调动社会力量，充分利用科技节、科技活动周、全国科普日等活动，广泛组织开展青少年</w:t>
      </w:r>
      <w:r>
        <w:rPr>
          <w:rFonts w:hint="eastAsia" w:eastAsia="方正仿宋_GBK"/>
          <w:szCs w:val="32"/>
        </w:rPr>
        <w:t>生态环保、安全健康和科技创新方面的</w:t>
      </w:r>
      <w:r>
        <w:rPr>
          <w:rFonts w:eastAsia="方正仿宋_GBK"/>
          <w:szCs w:val="32"/>
        </w:rPr>
        <w:t>教育，定期开展安全应急演练。鼓励中小学校组织学生到青少年活动中心、农业科普展览馆和农村、社区、企业等参加科学体验和研学活动，鼓励中小学积极参观职业教育校企</w:t>
      </w:r>
      <w:r>
        <w:rPr>
          <w:rFonts w:hint="eastAsia" w:eastAsia="方正仿宋_GBK"/>
          <w:szCs w:val="32"/>
        </w:rPr>
        <w:t>融合</w:t>
      </w:r>
      <w:r>
        <w:rPr>
          <w:rFonts w:eastAsia="方正仿宋_GBK"/>
          <w:szCs w:val="32"/>
        </w:rPr>
        <w:t xml:space="preserve">实践基地。鼓励农业企业兴建农业科普基地。持续举办好全县青少年科技创新大赛、科技模型大赛等科技竞赛活动，创新活动形式、提高竞赛成效、扩大覆盖范围，继续组织科技工作者走进校园开展科技志愿服务活动。                                                                </w:t>
      </w:r>
    </w:p>
    <w:p>
      <w:pPr>
        <w:spacing w:line="560" w:lineRule="exact"/>
        <w:ind w:firstLine="640" w:firstLineChars="200"/>
        <w:rPr>
          <w:rFonts w:eastAsia="方正仿宋_GBK"/>
          <w:szCs w:val="32"/>
        </w:rPr>
      </w:pPr>
      <w:r>
        <w:rPr>
          <w:rFonts w:eastAsia="方正仿宋_GBK"/>
          <w:szCs w:val="32"/>
        </w:rPr>
        <w:t>4.实施教师科学素质提升工程。充分发挥青少年科技辅导员协会作用，加强中小学科学教师和科技辅导员队伍建设，加大对科学、数学、物理、化学、生物学、通用技术、信息技术等学科教师的培训力度。创新教师培训方式，发挥5G、人工智能等新技术助推作用，更好服务乡村教师发展。</w:t>
      </w:r>
    </w:p>
    <w:p>
      <w:pPr>
        <w:spacing w:line="560" w:lineRule="exact"/>
        <w:ind w:firstLine="640" w:firstLineChars="200"/>
        <w:rPr>
          <w:rFonts w:eastAsia="方正楷体_GBK"/>
          <w:bCs/>
          <w:szCs w:val="32"/>
        </w:rPr>
      </w:pPr>
      <w:r>
        <w:rPr>
          <w:rFonts w:eastAsia="方正楷体_GBK"/>
          <w:bCs/>
          <w:szCs w:val="32"/>
        </w:rPr>
        <w:t>（二）实施农民科学素质提升行动。</w:t>
      </w:r>
    </w:p>
    <w:p>
      <w:pPr>
        <w:spacing w:line="560" w:lineRule="exact"/>
        <w:ind w:firstLine="640" w:firstLineChars="200"/>
        <w:rPr>
          <w:rFonts w:eastAsia="方正仿宋_GBK"/>
          <w:szCs w:val="32"/>
        </w:rPr>
      </w:pPr>
      <w:r>
        <w:rPr>
          <w:rFonts w:eastAsia="方正仿宋_GBK"/>
          <w:szCs w:val="32"/>
        </w:rPr>
        <w:t>关注农村重点地区和重点人群科学素质提升，继续组织开展科技志愿服务进农村活动，提高农民文明生活、科学生产、科学经营能力，推广现代农业生产技术，造就一支适应农业农村现代化发展要求的高素质农民队伍。持续推动农村科普资源丰富充实，升级改善科普公共服务能力和科普基础设施，加快全面推进乡村振兴。</w:t>
      </w:r>
    </w:p>
    <w:p>
      <w:pPr>
        <w:spacing w:line="560" w:lineRule="exact"/>
        <w:ind w:firstLine="640" w:firstLineChars="200"/>
        <w:rPr>
          <w:rFonts w:eastAsia="方正仿宋_GBK"/>
          <w:w w:val="97"/>
          <w:szCs w:val="32"/>
        </w:rPr>
      </w:pPr>
      <w:r>
        <w:rPr>
          <w:rFonts w:eastAsia="方正仿宋_GBK"/>
          <w:szCs w:val="32"/>
        </w:rPr>
        <w:t>1.树立相信科学、和谐理性的思想观念。重点围绕保护生态环境、节约能源资源、绿色生产、防灾减灾、卫生健康、移风易俗等，深入开展文化科技卫生“三下乡”、全国科普日等群众性、基础性、经常性的科普宣传教育活动，推广新技术、新工艺，普及垃圾分类等科普知识。传播科学的生产生活理念，建立科学健</w:t>
      </w:r>
      <w:r>
        <w:rPr>
          <w:rFonts w:eastAsia="方正仿宋_GBK"/>
          <w:w w:val="97"/>
          <w:szCs w:val="32"/>
        </w:rPr>
        <w:t>康文明的生产生活方式，激发农民提升素质、振兴乡村的内生动力。</w:t>
      </w:r>
    </w:p>
    <w:p>
      <w:pPr>
        <w:spacing w:line="560" w:lineRule="exact"/>
        <w:ind w:firstLine="640" w:firstLineChars="200"/>
        <w:rPr>
          <w:rFonts w:eastAsia="方正仿宋_GBK"/>
          <w:szCs w:val="32"/>
        </w:rPr>
      </w:pPr>
      <w:r>
        <w:rPr>
          <w:rFonts w:eastAsia="方正仿宋_GBK"/>
          <w:szCs w:val="32"/>
        </w:rPr>
        <w:t>2.实施高素质农民培育计划。充分发挥党员干部现代远程教育网络、农村社区综合服务设施和便民服务中心、农业综合服务站（所）、农民田间学校等各类教育资源优势和涉农技术推广部门农业技术优势，深入开展农村实用技术培训。依托国家高素质农民培育工程培育高素质农民。积极引导农村专业技术协会发展和转型升级。引导专业技术人员到基层一线开展农民培训和农业技术服务，实施农民科学素质提升计划。大力开展巾帼致富带头人培训，实施农村妇女素质提升计划。</w:t>
      </w:r>
    </w:p>
    <w:p>
      <w:pPr>
        <w:spacing w:line="560" w:lineRule="exact"/>
        <w:ind w:firstLine="640" w:firstLineChars="200"/>
        <w:rPr>
          <w:rFonts w:eastAsia="方正仿宋_GBK"/>
          <w:szCs w:val="32"/>
        </w:rPr>
      </w:pPr>
      <w:r>
        <w:rPr>
          <w:rFonts w:eastAsia="方正仿宋_GBK"/>
          <w:szCs w:val="32"/>
        </w:rPr>
        <w:t>3.实施乡村振兴科技支撑行动。深入推进美丽乡村建设，把实施乡村振兴与发展现代农业结合起来，积极改善农村生产条件，立足资源禀赋特色，推进农业结构调整，深度开发农业的多种功能，培育和发展多业态的高效农业。鼓励科研院所和科技社团、老科技工作者协会开展乡村振兴智力服务，推广科技小院、科普示范基地、科技教育基地等农业科技社会化服务模式。支持家庭农场、农民合作社、农业社会化服务组织等新型农业经营主体和服务主体通过建立示范基地、田间学校等方式开展科技示范，实现农户和现代农业有机衔接。深入推行科技特派员制度，引导专业技术学（协）会等社会组织开展农业科技服务，将先进适用的品种、技术、装备、设施导入农户，引领现代农业发展。深入实施农村致富带头人培养行动，示范带动更多农村青年创业致富。</w:t>
      </w:r>
    </w:p>
    <w:p>
      <w:pPr>
        <w:spacing w:line="560" w:lineRule="exact"/>
        <w:ind w:firstLine="640" w:firstLineChars="200"/>
        <w:rPr>
          <w:rFonts w:eastAsia="方正仿宋_GBK"/>
          <w:szCs w:val="32"/>
        </w:rPr>
      </w:pPr>
      <w:r>
        <w:rPr>
          <w:rFonts w:eastAsia="方正仿宋_GBK"/>
          <w:szCs w:val="32"/>
        </w:rPr>
        <w:t>4.促进边远</w:t>
      </w:r>
      <w:r>
        <w:rPr>
          <w:rFonts w:hint="eastAsia" w:eastAsia="方正仿宋_GBK"/>
          <w:szCs w:val="32"/>
        </w:rPr>
        <w:t>乡镇</w:t>
      </w:r>
      <w:r>
        <w:rPr>
          <w:rFonts w:eastAsia="方正仿宋_GBK"/>
          <w:szCs w:val="32"/>
        </w:rPr>
        <w:t>农民科学素质提升。加强科普服务能力建设，积极争取流动科技馆、科普大篷车渝州行等流动科普资源。深入实施科普惠农兴村计划，发挥优秀农村专业技术协会、农村科普基地、农村科普带头人的示范带动作用，加大对农村留守妇女、儿童、老人的科普服务力度，提升农村低收入人口职业技能，增强内生发展能力。</w:t>
      </w:r>
    </w:p>
    <w:p>
      <w:pPr>
        <w:spacing w:line="560" w:lineRule="exact"/>
        <w:ind w:firstLine="640" w:firstLineChars="200"/>
        <w:rPr>
          <w:rFonts w:eastAsia="方正楷体_GBK"/>
          <w:szCs w:val="32"/>
        </w:rPr>
      </w:pPr>
      <w:r>
        <w:rPr>
          <w:rFonts w:eastAsia="方正楷体_GBK"/>
          <w:szCs w:val="32"/>
        </w:rPr>
        <w:t>（三）实施产业工人科学素质提升行动。</w:t>
      </w:r>
    </w:p>
    <w:p>
      <w:pPr>
        <w:spacing w:line="560" w:lineRule="exact"/>
        <w:ind w:firstLine="640" w:firstLineChars="200"/>
        <w:rPr>
          <w:rFonts w:eastAsia="方正仿宋_GBK"/>
          <w:szCs w:val="32"/>
        </w:rPr>
      </w:pPr>
      <w:r>
        <w:rPr>
          <w:rFonts w:eastAsia="方正仿宋_GBK"/>
          <w:szCs w:val="32"/>
        </w:rPr>
        <w:t>以提升技能素质为重点，提高产业工人职业技能和创新能力，打造一支有理想守信念、懂技术会创新、敢担当讲奉献、守规章重安全的高素质产业工人队伍。</w:t>
      </w:r>
    </w:p>
    <w:p>
      <w:pPr>
        <w:spacing w:line="560" w:lineRule="exact"/>
        <w:ind w:firstLine="640" w:firstLineChars="200"/>
        <w:rPr>
          <w:rFonts w:eastAsia="方正仿宋_GBK"/>
          <w:szCs w:val="32"/>
        </w:rPr>
      </w:pPr>
      <w:r>
        <w:rPr>
          <w:rFonts w:eastAsia="方正仿宋_GBK"/>
          <w:szCs w:val="32"/>
        </w:rPr>
        <w:t>1.开展理想信念和职业精神宣传教育。开展理想信念和职业精神宣传教育。深入开展“中国梦·劳动美”“最美职工”“最美青工”“最美应急人”“巾帼建</w:t>
      </w:r>
      <w:r>
        <w:rPr>
          <w:rFonts w:hint="eastAsia" w:eastAsia="方正仿宋_GBK"/>
          <w:szCs w:val="32"/>
        </w:rPr>
        <w:t>新</w:t>
      </w:r>
      <w:r>
        <w:rPr>
          <w:rFonts w:eastAsia="方正仿宋_GBK"/>
          <w:szCs w:val="32"/>
        </w:rPr>
        <w:t>功”等活动，大力弘扬劳模精神、劳动精神、工匠精神，营造劳动光荣的社会风尚、精益求精的敬业风气和勇于创新的文化氛围。</w:t>
      </w:r>
    </w:p>
    <w:p>
      <w:pPr>
        <w:spacing w:line="560" w:lineRule="exact"/>
        <w:ind w:firstLine="640" w:firstLineChars="200"/>
        <w:rPr>
          <w:rFonts w:eastAsia="方正仿宋_GBK"/>
          <w:szCs w:val="32"/>
        </w:rPr>
      </w:pPr>
      <w:r>
        <w:rPr>
          <w:rFonts w:eastAsia="方正仿宋_GBK"/>
          <w:szCs w:val="32"/>
        </w:rPr>
        <w:t>2.实施职业技能提升行动。在职前教育和职业培训中进一步突出科学素质、安全生产等相关内容，构建职业教育、就业培训、技能提升相统一的产业工人终身技能形成体系。实施专业技术人才知识更新工程，实施急需紧缺人才培养培训项目，开展一线创新工程师培训。通过开展职业生涯规划、基本权益保护、健康生活常识等培训和科普活动，提高职工安全健康意识和自我保护能力。深入实施农民工职业技能提升计划等，增加进城务工人员教育培训机会。</w:t>
      </w:r>
    </w:p>
    <w:p>
      <w:pPr>
        <w:spacing w:line="560" w:lineRule="exact"/>
        <w:ind w:firstLine="640" w:firstLineChars="200"/>
        <w:rPr>
          <w:rFonts w:eastAsia="方正仿宋_GBK"/>
          <w:szCs w:val="32"/>
        </w:rPr>
      </w:pPr>
      <w:r>
        <w:rPr>
          <w:rFonts w:eastAsia="方正仿宋_GBK"/>
          <w:szCs w:val="32"/>
        </w:rPr>
        <w:t>3.发挥企业家提升产业工人科学素质的示范引领作用。弘扬企业家精神，提高企业家科学素质，引导企业家在爱国、创新、诚信、社会责任和国际视野等方面不断提升，做创新发展的探索者、组织者、引领者和提升产业工人科学素质的推动者。鼓励企业积极培养使用创新型技能人才，在关键岗位、关键工序培养使用高技能人才。发挥学会、协会、研究会作用，引导、支持企业和社会组织开展职业能力水平评价。发挥“科创中国”平台作用，有条件的企业要建立企业科协、科技专家工作站，组织科技型企业进行专利申报、科技项目申请、税收政策培训等，促进企业成果转化。协调有关专家到企业开展科技咨询、技术服务、技术攻关、技术培训，提高企业的自主创新能力和市场竞争力。</w:t>
      </w:r>
    </w:p>
    <w:p>
      <w:pPr>
        <w:spacing w:line="560" w:lineRule="exact"/>
        <w:ind w:firstLine="640" w:firstLineChars="200"/>
        <w:rPr>
          <w:rFonts w:eastAsia="方正楷体_GBK"/>
          <w:szCs w:val="32"/>
        </w:rPr>
      </w:pPr>
      <w:r>
        <w:rPr>
          <w:rFonts w:eastAsia="方正楷体_GBK"/>
          <w:szCs w:val="32"/>
        </w:rPr>
        <w:t>（四）实施老年人科学素质提升行动。</w:t>
      </w:r>
    </w:p>
    <w:p>
      <w:pPr>
        <w:spacing w:line="560" w:lineRule="exact"/>
        <w:ind w:firstLine="640" w:firstLineChars="200"/>
        <w:rPr>
          <w:rFonts w:eastAsia="方正仿宋_GBK"/>
          <w:szCs w:val="32"/>
        </w:rPr>
      </w:pPr>
      <w:bookmarkStart w:id="0" w:name="1. 任务"/>
      <w:bookmarkEnd w:id="0"/>
      <w:r>
        <w:rPr>
          <w:rFonts w:eastAsia="方正仿宋_GBK"/>
          <w:szCs w:val="32"/>
        </w:rPr>
        <w:t>以提升信息素养和健康素养为重点，丰富老年人科普服务的供给内容、渠道途径、方式方法，稳步提升老年人适应社会发展能力，增强老年人获得感、幸福感、安全感，实现老有所乐、老有所学、老有所为。</w:t>
      </w:r>
    </w:p>
    <w:p>
      <w:pPr>
        <w:spacing w:line="560" w:lineRule="exact"/>
        <w:ind w:firstLine="640" w:firstLineChars="200"/>
        <w:rPr>
          <w:rFonts w:eastAsia="方正仿宋_GBK"/>
          <w:szCs w:val="32"/>
        </w:rPr>
      </w:pPr>
      <w:r>
        <w:rPr>
          <w:rFonts w:eastAsia="方正仿宋_GBK"/>
          <w:szCs w:val="32"/>
        </w:rPr>
        <w:t>1.实施智慧助老科普行动。加强家庭、社区、社会协同，通过宣传教育、体验学习、尝试应用、互助帮扶等方式，提高老年人科学素养和信息素养。聚焦老年人运用智能技术、融入智慧社会的需求和困难，依托社区老年大学、社区科普大学、养老服务机构等，开设智能手机使用、智能就医、智能消费等课程，普及智能技术知识和技能，提升老年人信息获取、识别和使用能力，增强老年人个人信息安全保护意识，有效预防和应对网络谣言、电信诈骗。</w:t>
      </w:r>
    </w:p>
    <w:p>
      <w:pPr>
        <w:spacing w:line="560" w:lineRule="exact"/>
        <w:ind w:firstLine="640" w:firstLineChars="200"/>
        <w:rPr>
          <w:rFonts w:eastAsia="方正仿宋_GBK"/>
          <w:szCs w:val="32"/>
        </w:rPr>
      </w:pPr>
      <w:r>
        <w:rPr>
          <w:rFonts w:eastAsia="方正仿宋_GBK"/>
          <w:szCs w:val="32"/>
        </w:rPr>
        <w:t>2.加强老年人健康科普服务。依托健康教育系统，推动老年人健康科普进社区、进乡村、进机构、进家庭，开展健康大讲堂、老年健康宣传周等活动，利用广播、电视、报刊、网络等各类媒体，普及合理膳食、食品安全、心理健康、体育锻炼、合理用药、防灾减灾和应急避险等知识，提高老年人健康素养。充分利用养老服务设施、科普园地、党建园地等阵地为老年人提供健康科普服务，鼓励社会工作者参与。</w:t>
      </w:r>
    </w:p>
    <w:p>
      <w:pPr>
        <w:spacing w:line="560" w:lineRule="exact"/>
        <w:ind w:firstLine="640" w:firstLineChars="200"/>
        <w:rPr>
          <w:rFonts w:eastAsia="方正仿宋_GBK"/>
          <w:szCs w:val="32"/>
        </w:rPr>
      </w:pPr>
      <w:r>
        <w:rPr>
          <w:rFonts w:eastAsia="方正仿宋_GBK"/>
          <w:szCs w:val="32"/>
        </w:rPr>
        <w:t>3.实施银龄科普专项行动。积极开发老科技工作者人力资源，发挥老科协</w:t>
      </w:r>
      <w:r>
        <w:rPr>
          <w:rFonts w:hint="eastAsia" w:eastAsia="方正仿宋_GBK"/>
          <w:szCs w:val="32"/>
        </w:rPr>
        <w:t>、</w:t>
      </w:r>
      <w:r>
        <w:rPr>
          <w:rFonts w:eastAsia="方正仿宋_GBK"/>
          <w:szCs w:val="32"/>
        </w:rPr>
        <w:t>老专家智力资源，充分发挥老专家智力资源，发展壮大老年人才科技志愿服务组织，吸纳更多优秀老专家加入老科技工作者协会、科学传播专家团等专家队伍，在社区、农村、校园科普中发挥积极作用。</w:t>
      </w:r>
    </w:p>
    <w:p>
      <w:pPr>
        <w:spacing w:line="560" w:lineRule="exact"/>
        <w:ind w:firstLine="640" w:firstLineChars="200"/>
        <w:rPr>
          <w:rFonts w:eastAsia="方正楷体_GBK"/>
          <w:szCs w:val="32"/>
        </w:rPr>
      </w:pPr>
      <w:r>
        <w:rPr>
          <w:rFonts w:eastAsia="方正楷体_GBK"/>
          <w:szCs w:val="32"/>
        </w:rPr>
        <w:t>（五）实施领导干部和公务员科学素质提升行动。</w:t>
      </w:r>
    </w:p>
    <w:p>
      <w:pPr>
        <w:spacing w:line="560" w:lineRule="exact"/>
        <w:ind w:firstLine="640" w:firstLineChars="200"/>
        <w:rPr>
          <w:rFonts w:eastAsia="方正仿宋_GBK"/>
          <w:szCs w:val="32"/>
        </w:rPr>
      </w:pPr>
      <w:r>
        <w:rPr>
          <w:rFonts w:eastAsia="方正仿宋_GBK"/>
          <w:szCs w:val="32"/>
        </w:rPr>
        <w:t>进一步强化领导干部和公务员对科教兴国战略、人才强国战略、创新驱动发展战略的认识，提高科学决策能力，树立科学精神，掌握科学方法，增强科学执政本领，在提升公民科学素质中发挥示范引领作用，为</w:t>
      </w:r>
      <w:r>
        <w:rPr>
          <w:rFonts w:hint="eastAsia" w:eastAsia="方正仿宋_GBK"/>
          <w:szCs w:val="32"/>
          <w:lang w:eastAsia="zh-CN"/>
        </w:rPr>
        <w:t>推进国家治理体系和治理能力现代化</w:t>
      </w:r>
      <w:r>
        <w:rPr>
          <w:rFonts w:eastAsia="方正仿宋_GBK"/>
          <w:szCs w:val="32"/>
        </w:rPr>
        <w:t>、提升科技创新能力、实现彭水高质量发展提供支撑和保障。</w:t>
      </w:r>
    </w:p>
    <w:p>
      <w:pPr>
        <w:adjustRightInd w:val="0"/>
        <w:spacing w:line="560" w:lineRule="exact"/>
        <w:ind w:firstLine="640" w:firstLineChars="200"/>
        <w:rPr>
          <w:rFonts w:eastAsia="方正仿宋_GBK"/>
          <w:szCs w:val="32"/>
        </w:rPr>
      </w:pPr>
      <w:r>
        <w:rPr>
          <w:rFonts w:eastAsia="方正仿宋_GBK"/>
          <w:szCs w:val="32"/>
        </w:rPr>
        <w:t>1.深入贯彻落实新发展理念。全面落实习近平总书记对重庆提出的系列重要指示要求，完整、准确、全面贯彻新发展理念，切实找准将新发展理念转化为实践的切入点、结合点和着力点，强化对科学素质建设重要性和紧迫性的认识，提高领导干部和公务员科学履职水平，更好服务党和国家事业发展。</w:t>
      </w:r>
    </w:p>
    <w:p>
      <w:pPr>
        <w:adjustRightInd w:val="0"/>
        <w:spacing w:line="560" w:lineRule="exact"/>
        <w:ind w:firstLine="640" w:firstLineChars="200"/>
        <w:rPr>
          <w:rFonts w:eastAsia="方正仿宋_GBK"/>
          <w:szCs w:val="32"/>
        </w:rPr>
      </w:pPr>
      <w:r>
        <w:rPr>
          <w:rFonts w:eastAsia="方正仿宋_GBK"/>
          <w:szCs w:val="32"/>
        </w:rPr>
        <w:t>2.加强科学素质教育培训。认真贯彻落实《干部教育培训工作条例》《公务员培训规定》，加强前沿科技知识和全球科技发展趋势学习，突出科学精神、科学思想培养，增强把握科学发展规律的能力。把科学素质教育纳入党校（行政学院）教学内容，积极利用网络化、智能化、数字化教育等培训手段，扩大科普信息覆盖面，满足领导干部和公务员多样化学习需求。在领导干部和公务员科学素质培训中增强基础科技、前沿科技、产业科技、热点科技、民生科技等科普内容。</w:t>
      </w:r>
    </w:p>
    <w:p>
      <w:pPr>
        <w:adjustRightInd w:val="0"/>
        <w:spacing w:line="560" w:lineRule="exact"/>
        <w:ind w:firstLine="640" w:firstLineChars="200"/>
        <w:rPr>
          <w:rFonts w:eastAsia="方正仿宋_GBK"/>
          <w:szCs w:val="32"/>
        </w:rPr>
      </w:pPr>
      <w:r>
        <w:rPr>
          <w:rFonts w:eastAsia="方正仿宋_GBK"/>
          <w:szCs w:val="32"/>
        </w:rPr>
        <w:t>3.在公务员考核录用中落实科学素质要求。不断完善干部考核评价机制，在公务员录用考试和任职考察中，强化科学思维、科学素养、创新能力等方面的要求，引导激励其学习掌握科技知识，提升科学素质。鼓励领导干部和公务员带头参与科普活动，宣传国家科技政策，为推动形成崇尚科学、鼓励创新的社会文化氛围作出积极贡献。</w:t>
      </w:r>
    </w:p>
    <w:p>
      <w:pPr>
        <w:pStyle w:val="3"/>
        <w:spacing w:after="0" w:line="560" w:lineRule="exact"/>
        <w:ind w:firstLine="640" w:firstLineChars="200"/>
        <w:rPr>
          <w:rFonts w:eastAsia="方正黑体_GBK"/>
          <w:sz w:val="32"/>
          <w:szCs w:val="32"/>
        </w:rPr>
      </w:pPr>
      <w:r>
        <w:rPr>
          <w:rFonts w:eastAsia="方正黑体_GBK"/>
          <w:sz w:val="32"/>
          <w:szCs w:val="32"/>
        </w:rPr>
        <w:t>四、重点工程</w:t>
      </w:r>
    </w:p>
    <w:p>
      <w:pPr>
        <w:spacing w:line="560" w:lineRule="exact"/>
        <w:ind w:firstLine="640" w:firstLineChars="200"/>
        <w:rPr>
          <w:rFonts w:eastAsia="方正仿宋_GBK"/>
          <w:szCs w:val="32"/>
        </w:rPr>
      </w:pPr>
      <w:r>
        <w:rPr>
          <w:rFonts w:eastAsia="方正仿宋_GBK"/>
          <w:szCs w:val="32"/>
        </w:rPr>
        <w:t>深化科普供给侧改革，提高供给效能，着力固根基、扬优势、补短板、强弱项，构建主体多元、手段多样、供给优质、机制有效的全域科学素质建设体系，实施5项重点工程。</w:t>
      </w:r>
    </w:p>
    <w:p>
      <w:pPr>
        <w:spacing w:line="560" w:lineRule="exact"/>
        <w:ind w:firstLine="640" w:firstLineChars="200"/>
        <w:rPr>
          <w:rFonts w:eastAsia="方正仿宋_GBK"/>
          <w:szCs w:val="32"/>
        </w:rPr>
      </w:pPr>
      <w:r>
        <w:rPr>
          <w:rFonts w:eastAsia="方正楷体_GBK"/>
          <w:szCs w:val="32"/>
        </w:rPr>
        <w:t>（一）实施科技资源科普化工程。</w:t>
      </w:r>
    </w:p>
    <w:p>
      <w:pPr>
        <w:spacing w:line="560" w:lineRule="exact"/>
        <w:ind w:firstLine="640" w:firstLineChars="200"/>
        <w:rPr>
          <w:rFonts w:eastAsia="方正仿宋_GBK"/>
          <w:szCs w:val="32"/>
        </w:rPr>
      </w:pPr>
      <w:r>
        <w:rPr>
          <w:rFonts w:eastAsia="方正仿宋_GBK"/>
          <w:szCs w:val="32"/>
        </w:rPr>
        <w:t>建立完善科技资源科普化机制，形成相对完备的科技资源科普化体系和配套政策制度体系，充分发挥科技设施的科普功能，不断增强科技创新主体的科普责任意识，提升科技工作者的科普能力。</w:t>
      </w:r>
    </w:p>
    <w:p>
      <w:pPr>
        <w:spacing w:line="560" w:lineRule="exact"/>
        <w:ind w:firstLine="640" w:firstLineChars="200"/>
        <w:rPr>
          <w:rFonts w:eastAsia="方正仿宋_GBK"/>
          <w:szCs w:val="32"/>
        </w:rPr>
      </w:pPr>
      <w:r>
        <w:rPr>
          <w:rFonts w:eastAsia="方正仿宋_GBK"/>
          <w:szCs w:val="32"/>
        </w:rPr>
        <w:t>1.建立完善科技资源科普化机制。开展科技创新主体、科技创新成果科普服务评价，引导企业和社会组织建立有效的科技资源科普转化机制。鼓励县内科技计划（专项、基金等）项目承担单位和人员，结合科研任务加强科普工作。推动将科普工作实绩作为科技人员职称评聘条件。有效集聚科研机构、企业和社会组织的科技资源。</w:t>
      </w:r>
    </w:p>
    <w:p>
      <w:pPr>
        <w:spacing w:line="560" w:lineRule="exact"/>
        <w:ind w:firstLine="640" w:firstLineChars="200"/>
        <w:rPr>
          <w:rFonts w:eastAsia="方正仿宋_GBK"/>
          <w:szCs w:val="32"/>
        </w:rPr>
      </w:pPr>
      <w:r>
        <w:rPr>
          <w:rFonts w:eastAsia="方正仿宋_GBK"/>
          <w:szCs w:val="32"/>
        </w:rPr>
        <w:t>2.实施科技资源科普转化专项行动。支持和指导科研机构、企业、社会组织等利用科技资源开展科普工作，开发科普资源，加强与传媒、专业科普组织合作，及时普及重大科技成果。拓展科技基础设施科普功能，鼓励在新建科技（科研）设施和基础工程中，同步规划、同期建设、同时开发科普功能，鼓励企业设立向公众开放的科普场馆设施。</w:t>
      </w:r>
    </w:p>
    <w:p>
      <w:pPr>
        <w:spacing w:line="560" w:lineRule="exact"/>
        <w:ind w:firstLine="640" w:firstLineChars="200"/>
        <w:rPr>
          <w:rFonts w:eastAsia="方正仿宋_GBK"/>
          <w:szCs w:val="32"/>
        </w:rPr>
      </w:pPr>
      <w:r>
        <w:rPr>
          <w:rFonts w:eastAsia="方正仿宋_GBK"/>
          <w:szCs w:val="32"/>
        </w:rPr>
        <w:t>3.弘扬科学家精神。积极推动</w:t>
      </w:r>
      <w:r>
        <w:rPr>
          <w:rFonts w:hint="eastAsia" w:eastAsia="方正仿宋_GBK"/>
          <w:szCs w:val="32"/>
        </w:rPr>
        <w:t>“重庆英才·优秀科学家”等</w:t>
      </w:r>
      <w:r>
        <w:rPr>
          <w:rFonts w:eastAsia="方正仿宋_GBK"/>
          <w:szCs w:val="32"/>
        </w:rPr>
        <w:t>科技工作者先进事迹宣传推广。加强科研诚信和科技伦理建设，深入开展科学道德和学风建设宣讲活动，引导广大科技工作者坚守社会责任，成为践行科学家精神的表率。举办全国科技工作者日、全国科普日等活动，广泛宣传科技工作者勇于探索、献身科学的生动事迹和科技创新成就，讲好中国科学家故事。深入开展创新争先行动，选树宣传最美科技工作者、科技创新巾帼建功标兵等，树立科技工作者的光辉形象。</w:t>
      </w:r>
    </w:p>
    <w:p>
      <w:pPr>
        <w:spacing w:line="560" w:lineRule="exact"/>
        <w:ind w:firstLine="640" w:firstLineChars="200"/>
        <w:rPr>
          <w:rFonts w:eastAsia="方正仿宋_GBK"/>
          <w:szCs w:val="32"/>
        </w:rPr>
      </w:pPr>
      <w:r>
        <w:rPr>
          <w:rFonts w:eastAsia="方正仿宋_GBK"/>
          <w:szCs w:val="32"/>
        </w:rPr>
        <w:t>4.提升科技工作者科普能力。引导广大科技工作者以提高全民科学素质为己任，把普及科学知识、弘扬科学精神、传播科学思想、倡导科学方法作为义不容辞的责任。推动科学技术奖获得者向公众解读、宣传、推广科技成果。鼓励更多科技工作者通过宣传教育、能力培训、榜样示范等增强科普能力，针对社会热点、焦点问题，主动、及时、准确发声，营造科学理性的社会氛围。壮大彭水县科学传播专家团和科技志愿</w:t>
      </w:r>
      <w:r>
        <w:rPr>
          <w:rFonts w:hint="eastAsia" w:eastAsia="方正仿宋_GBK"/>
          <w:szCs w:val="32"/>
        </w:rPr>
        <w:t>服务</w:t>
      </w:r>
      <w:r>
        <w:rPr>
          <w:rFonts w:eastAsia="方正仿宋_GBK"/>
          <w:szCs w:val="32"/>
        </w:rPr>
        <w:t>队伍规模。</w:t>
      </w:r>
    </w:p>
    <w:p>
      <w:pPr>
        <w:spacing w:line="560" w:lineRule="exact"/>
        <w:ind w:firstLine="640" w:firstLineChars="200"/>
        <w:rPr>
          <w:rFonts w:eastAsia="方正楷体_GBK"/>
          <w:szCs w:val="32"/>
        </w:rPr>
      </w:pPr>
      <w:r>
        <w:rPr>
          <w:rFonts w:eastAsia="方正楷体_GBK"/>
          <w:szCs w:val="32"/>
        </w:rPr>
        <w:t>（二）实施科普信息化</w:t>
      </w:r>
      <w:r>
        <w:rPr>
          <w:rFonts w:hint="eastAsia" w:eastAsia="方正楷体_GBK"/>
          <w:szCs w:val="32"/>
        </w:rPr>
        <w:t>提升</w:t>
      </w:r>
      <w:r>
        <w:rPr>
          <w:rFonts w:eastAsia="方正楷体_GBK"/>
          <w:szCs w:val="32"/>
        </w:rPr>
        <w:t>工程。</w:t>
      </w:r>
    </w:p>
    <w:p>
      <w:pPr>
        <w:spacing w:line="560" w:lineRule="exact"/>
        <w:ind w:firstLine="640" w:firstLineChars="200"/>
        <w:rPr>
          <w:rFonts w:eastAsia="方正仿宋_GBK"/>
          <w:szCs w:val="32"/>
        </w:rPr>
      </w:pPr>
      <w:r>
        <w:rPr>
          <w:rFonts w:eastAsia="方正仿宋_GBK"/>
          <w:szCs w:val="32"/>
        </w:rPr>
        <w:t>加强科普资源开发和整合，提升优质科普内容资源创作和传播能力，多渠道推进数字科普建设，推动传统媒体与新媒体深度融合，建设</w:t>
      </w:r>
      <w:r>
        <w:rPr>
          <w:rFonts w:hint="eastAsia" w:eastAsia="方正仿宋_GBK"/>
          <w:szCs w:val="32"/>
        </w:rPr>
        <w:t>即时、泛在、</w:t>
      </w:r>
      <w:r>
        <w:rPr>
          <w:rFonts w:eastAsia="方正仿宋_GBK"/>
          <w:szCs w:val="32"/>
        </w:rPr>
        <w:t>精准的信息化全媒体传播网络，服务数字社会建设，加快发展科普文化产业。</w:t>
      </w:r>
    </w:p>
    <w:p>
      <w:pPr>
        <w:spacing w:line="560" w:lineRule="exact"/>
        <w:ind w:firstLine="640" w:firstLineChars="200"/>
        <w:rPr>
          <w:rFonts w:eastAsia="方正仿宋_GBK"/>
          <w:szCs w:val="32"/>
        </w:rPr>
      </w:pPr>
      <w:r>
        <w:rPr>
          <w:rFonts w:eastAsia="方正仿宋_GBK"/>
          <w:szCs w:val="32"/>
        </w:rPr>
        <w:t>1.实施智慧科普建设工程。推进科普与大数据、云计算、人工智能等技术深度融合，强化需求感知、用户分层、情景应用理念，推动传播方式、组织动员、运营服务等创新升级。推动科普中国、科普重庆优质资源落地应用，统筹科普内容建设和传播渠道，为公众提供精细化增值服务。加快科普信息化终端设备布局，强化科普信息落地应用，与智慧教育、智慧城市、智慧社区等深度融合。</w:t>
      </w:r>
    </w:p>
    <w:p>
      <w:pPr>
        <w:adjustRightInd w:val="0"/>
        <w:spacing w:line="560" w:lineRule="exact"/>
        <w:ind w:firstLine="640" w:firstLineChars="200"/>
        <w:rPr>
          <w:rFonts w:eastAsia="方正仿宋_GBK"/>
          <w:szCs w:val="32"/>
        </w:rPr>
      </w:pPr>
      <w:r>
        <w:rPr>
          <w:rFonts w:eastAsia="方正仿宋_GBK"/>
          <w:szCs w:val="32"/>
        </w:rPr>
        <w:t>2.实施全媒体科学传播能力提升计划。推动图书、报刊、音像、电视、广播等传统媒体与新媒体深度融合，鼓励公共交通、户外电子屏、楼宇电视等各类媒介增加科学传播公益广告内容，实现科普内容多渠道全媒体传播。引导主流媒体加大科技宣传力度，增加科普内容、增设科普专栏。大力发展新媒体科学传播。加强媒体从业人员科学传播能力培训。促进媒体与科学共同体的沟通合作，增强科学传播的专业性和权威性。</w:t>
      </w:r>
    </w:p>
    <w:p>
      <w:pPr>
        <w:adjustRightInd w:val="0"/>
        <w:spacing w:line="560" w:lineRule="exact"/>
        <w:ind w:firstLine="640" w:firstLineChars="200"/>
        <w:rPr>
          <w:rFonts w:eastAsia="方正仿宋_GBK"/>
          <w:szCs w:val="32"/>
        </w:rPr>
      </w:pPr>
      <w:r>
        <w:rPr>
          <w:rFonts w:eastAsia="方正仿宋_GBK"/>
          <w:szCs w:val="32"/>
        </w:rPr>
        <w:t>3.大力发展数字科普文化产业。探索“产业+科普”模式，完善科普产业发展支持政策，持续推动科普产品研发创新与市场培育。</w:t>
      </w:r>
      <w:r>
        <w:rPr>
          <w:rFonts w:hint="eastAsia" w:eastAsia="方正仿宋_GBK"/>
          <w:szCs w:val="32"/>
        </w:rPr>
        <w:t>积极探索</w:t>
      </w:r>
      <w:r>
        <w:rPr>
          <w:rFonts w:eastAsia="方正仿宋_GBK"/>
          <w:szCs w:val="32"/>
        </w:rPr>
        <w:t>设立科幻产业发展基金，打造科普文化基地、科幻主题公园等。培育一批具有一定实力和规模的科普创意设计、科普自媒体、科普文旅、科普研学、</w:t>
      </w:r>
      <w:r>
        <w:rPr>
          <w:rFonts w:hint="eastAsia" w:eastAsia="方正仿宋_GBK"/>
          <w:szCs w:val="32"/>
        </w:rPr>
        <w:t>产品研发、</w:t>
      </w:r>
      <w:r>
        <w:rPr>
          <w:rFonts w:eastAsia="方正仿宋_GBK"/>
          <w:szCs w:val="32"/>
        </w:rPr>
        <w:t>展示展览、科普服务等特色市场主体。</w:t>
      </w:r>
    </w:p>
    <w:p>
      <w:pPr>
        <w:spacing w:line="560" w:lineRule="exact"/>
        <w:ind w:firstLine="640" w:firstLineChars="200"/>
        <w:rPr>
          <w:rFonts w:eastAsia="方正楷体_GBK"/>
          <w:szCs w:val="32"/>
        </w:rPr>
      </w:pPr>
      <w:r>
        <w:rPr>
          <w:rFonts w:eastAsia="方正楷体_GBK"/>
          <w:szCs w:val="32"/>
        </w:rPr>
        <w:t>（三）实施科普基础设施建设工程。</w:t>
      </w:r>
    </w:p>
    <w:p>
      <w:pPr>
        <w:adjustRightInd w:val="0"/>
        <w:spacing w:line="560" w:lineRule="exact"/>
        <w:ind w:firstLine="640" w:firstLineChars="200"/>
        <w:rPr>
          <w:rFonts w:eastAsia="方正仿宋_GBK"/>
          <w:szCs w:val="32"/>
        </w:rPr>
      </w:pPr>
      <w:r>
        <w:rPr>
          <w:rFonts w:eastAsia="方正仿宋_GBK"/>
          <w:szCs w:val="32"/>
        </w:rPr>
        <w:t>加强科普基础设施建设，建立政府引导、多渠道投入的机制，推动科普基础设施提质增量，实现资源合理配置、高效利用和服务均衡化、广覆盖。</w:t>
      </w:r>
    </w:p>
    <w:p>
      <w:pPr>
        <w:spacing w:line="560" w:lineRule="exact"/>
        <w:ind w:firstLine="640" w:firstLineChars="200"/>
        <w:rPr>
          <w:rFonts w:eastAsia="方正仿宋_GBK"/>
          <w:szCs w:val="32"/>
        </w:rPr>
      </w:pPr>
      <w:r>
        <w:rPr>
          <w:rFonts w:eastAsia="方正仿宋_GBK"/>
          <w:szCs w:val="32"/>
        </w:rPr>
        <w:t>1.加强统筹规划和宏观指导。制定科普基础设施发展规划，将科普基础设施建设纳入国民经济和社会发展规划。合理布局新建和既有科普基础设施，注重功能错位互补，提高覆盖面和使用效能。</w:t>
      </w:r>
      <w:r>
        <w:rPr>
          <w:rFonts w:hint="eastAsia" w:eastAsia="方正仿宋_GBK"/>
          <w:szCs w:val="32"/>
        </w:rPr>
        <w:t>落实</w:t>
      </w:r>
      <w:r>
        <w:rPr>
          <w:rFonts w:eastAsia="方正仿宋_GBK"/>
          <w:szCs w:val="32"/>
        </w:rPr>
        <w:t>科普基础设施建设管理的规范和标准。</w:t>
      </w:r>
      <w:r>
        <w:rPr>
          <w:rFonts w:hint="eastAsia" w:eastAsia="方正仿宋_GBK"/>
          <w:szCs w:val="32"/>
        </w:rPr>
        <w:t>落实</w:t>
      </w:r>
      <w:r>
        <w:rPr>
          <w:rFonts w:eastAsia="方正仿宋_GBK"/>
          <w:szCs w:val="32"/>
        </w:rPr>
        <w:t>社会资金投入科普基础设施建设的优惠政策和法规。</w:t>
      </w:r>
    </w:p>
    <w:p>
      <w:pPr>
        <w:adjustRightInd w:val="0"/>
        <w:spacing w:line="560" w:lineRule="exact"/>
        <w:ind w:firstLine="640" w:firstLineChars="200"/>
        <w:rPr>
          <w:rFonts w:eastAsia="方正仿宋_GBK"/>
          <w:szCs w:val="32"/>
        </w:rPr>
      </w:pPr>
      <w:r>
        <w:rPr>
          <w:rFonts w:eastAsia="方正仿宋_GBK"/>
          <w:szCs w:val="32"/>
        </w:rPr>
        <w:t>2.加强科普基地建设。推进彭水新城科技馆建设，积极创建市级、国家级科普基地，构建动态管理和长效激励机制。鼓励和支持各行业各部门建立科普教育（继续教育）、研学等基地，形成广覆盖、多层次的科普教育培训网络，提高科普服务能力。推动图书馆、文化馆、博物馆等公共设施开展科普活动，拓展科普服务功能。引导和促进</w:t>
      </w:r>
      <w:r>
        <w:rPr>
          <w:rFonts w:hint="eastAsia" w:eastAsia="方正仿宋_GBK"/>
          <w:szCs w:val="32"/>
        </w:rPr>
        <w:t>公园、</w:t>
      </w:r>
      <w:r>
        <w:rPr>
          <w:rFonts w:eastAsia="方正仿宋_GBK"/>
          <w:szCs w:val="32"/>
        </w:rPr>
        <w:t>自然保护区、风景名胜区、车站、电影院等公共场所强化科普服务功能。</w:t>
      </w:r>
    </w:p>
    <w:p>
      <w:pPr>
        <w:adjustRightInd w:val="0"/>
        <w:spacing w:line="560" w:lineRule="exact"/>
        <w:ind w:firstLine="640" w:firstLineChars="200"/>
        <w:rPr>
          <w:rFonts w:hint="eastAsia" w:eastAsia="方正仿宋_GBK"/>
          <w:szCs w:val="32"/>
        </w:rPr>
      </w:pPr>
      <w:r>
        <w:rPr>
          <w:rFonts w:eastAsia="方正仿宋_GBK"/>
          <w:szCs w:val="32"/>
        </w:rPr>
        <w:t>3.加强基层科普阵地建设。建好社区科普活动室、科普书屋、科普画廊、科普橱窗等传统科普阵地，推动社区科普大学转型升级。在城乡社区综合服务设施、社区图书馆等平台拓展科普服务功能，推广共享科技馆、共享图书馆、乡村科普馆等基层科普阵地建设模式。建设一批青少年科学营地。探索建立基层科普展教资源和展教活动巡展共享机制。</w:t>
      </w:r>
    </w:p>
    <w:p>
      <w:pPr>
        <w:spacing w:line="560" w:lineRule="exact"/>
        <w:ind w:firstLine="640" w:firstLineChars="200"/>
        <w:rPr>
          <w:rFonts w:eastAsia="方正楷体_GBK"/>
          <w:szCs w:val="32"/>
        </w:rPr>
      </w:pPr>
      <w:r>
        <w:rPr>
          <w:rFonts w:eastAsia="方正楷体_GBK"/>
          <w:szCs w:val="32"/>
        </w:rPr>
        <w:t>（四）实施基层科普能力提升工程。</w:t>
      </w:r>
    </w:p>
    <w:p>
      <w:pPr>
        <w:spacing w:line="560" w:lineRule="exact"/>
        <w:ind w:firstLine="640" w:firstLineChars="200"/>
        <w:rPr>
          <w:rFonts w:eastAsia="方正仿宋_GBK"/>
          <w:szCs w:val="32"/>
        </w:rPr>
      </w:pPr>
      <w:r>
        <w:rPr>
          <w:rFonts w:eastAsia="方正仿宋_GBK"/>
          <w:szCs w:val="32"/>
        </w:rPr>
        <w:t>建立健全科普协调联动机制，加强各级各类科普组织和科普人才队伍建设，显著提升基层科普工作能力，基本建成平战结合应急科普体系。</w:t>
      </w:r>
    </w:p>
    <w:p>
      <w:pPr>
        <w:pStyle w:val="3"/>
        <w:spacing w:after="0" w:line="560" w:lineRule="exact"/>
        <w:ind w:firstLine="640" w:firstLineChars="200"/>
        <w:rPr>
          <w:rFonts w:eastAsia="方正仿宋_GBK"/>
          <w:sz w:val="32"/>
          <w:szCs w:val="32"/>
        </w:rPr>
      </w:pPr>
      <w:r>
        <w:rPr>
          <w:rFonts w:eastAsia="方正仿宋_GBK"/>
          <w:sz w:val="32"/>
          <w:szCs w:val="32"/>
        </w:rPr>
        <w:t>1.建立应急科普宣教协同机制</w:t>
      </w:r>
      <w:r>
        <w:t>。</w:t>
      </w:r>
      <w:r>
        <w:rPr>
          <w:rFonts w:eastAsia="方正仿宋_GBK"/>
          <w:sz w:val="32"/>
          <w:szCs w:val="32"/>
        </w:rPr>
        <w:t>搭建应急科普宣教平台，加快建设应急科普体验场馆，常态化开展传染病防治、安全生产、防灾减灾、应急避险等主题科普宣教活动，全面推进应急科普知识进机关、进企业、进农村、进社区、进学校、进家庭。建立全方位多领域的应急科普数据资源库，储备和传播优质应急科普内容资源。建立应急科普专家队伍，提升应急管理人员和媒体人员的应急科普能力。建立应急科普部门协同机制，坚持日常宣教与应急宣传相统一，纳入各级突发事件应急工作整体规划和协调机制。建立党政部门、权威专家等多元主体协同发声机制，将应急科普与舆论引导、政策措施宣传结合，规范发声渠道，辟除虚假信息，减少信息过载。突发事件状态下，各地各部门密切协作，统筹力量直达基层开展应急科普，及时做好政策解读、知识普及和舆情引导等工作。</w:t>
      </w:r>
    </w:p>
    <w:p>
      <w:pPr>
        <w:pStyle w:val="3"/>
        <w:spacing w:after="0" w:line="560" w:lineRule="exact"/>
        <w:ind w:firstLine="640" w:firstLineChars="200"/>
        <w:rPr>
          <w:rFonts w:eastAsia="方正仿宋_GBK"/>
          <w:sz w:val="32"/>
          <w:szCs w:val="32"/>
        </w:rPr>
      </w:pPr>
      <w:r>
        <w:rPr>
          <w:rFonts w:eastAsia="方正仿宋_GBK"/>
          <w:sz w:val="32"/>
          <w:szCs w:val="32"/>
        </w:rPr>
        <w:t>2.健全基层科普服务体系。构建县级统筹政策、机制和资源，部门、乡镇（街道）组织落实，以新时代文明实践中心、党群服务中心、社区服务中心等为阵地，以基层科协“三长”（医院院长、学校校长、农技站站长）队伍为骨干力量，以志愿服务为重要手段的科普服务体系。动员学校、医院、企业和社会组织等组建科技志愿服务队，完善科技志愿服务管理制度，推进科技志愿服务专业化、规范化、常态化发展，推广群众点单、社区派单、部门领单、科技志愿服务队接单的订单认领模式。建立完善跨区域科普合作和共享机制。推动社会组织、企事业单位积极开展科技志愿服务，培育科技志愿服务先进典型。建立健全社会化动员机制、市场化运行模式，构建社会化大科普生态。</w:t>
      </w:r>
    </w:p>
    <w:p>
      <w:pPr>
        <w:pStyle w:val="3"/>
        <w:spacing w:after="0" w:line="560" w:lineRule="exact"/>
        <w:ind w:firstLine="640" w:firstLineChars="200"/>
        <w:rPr>
          <w:rFonts w:eastAsia="方正仿宋_GBK"/>
          <w:sz w:val="32"/>
          <w:szCs w:val="32"/>
        </w:rPr>
      </w:pPr>
      <w:r>
        <w:rPr>
          <w:rFonts w:eastAsia="方正仿宋_GBK"/>
          <w:sz w:val="32"/>
          <w:szCs w:val="32"/>
        </w:rPr>
        <w:t>3.培育科普品牌活动。深入实施基层科普行动计划。开展科普示范县、农村科普示范基地等创建活动。围绕生态文明建设、安全健康、心理健康、创新创造等主题，深入开展全国科普日、科技活动周等综合性科普品牌活动，坚持开展防灾减灾日、安全生产月、食品安全宣传周、公众科学日、世界环境日、世界气象日、中国航天日、世界地球日、世界粮食日、全国土地日、国家版图意识宣传周、爱国卫生运动等主题科普活动。精心打造群众喜闻乐见的健康中国重庆行动、科普文化进万家、千会千人进千户等科普专项活动。积极培育线上科普品牌活动。推动线上线下科普活动联动，进一步扩大覆盖面和影响力。</w:t>
      </w:r>
    </w:p>
    <w:p>
      <w:pPr>
        <w:pStyle w:val="3"/>
        <w:spacing w:after="0" w:line="560" w:lineRule="exact"/>
        <w:ind w:firstLine="640" w:firstLineChars="200"/>
        <w:rPr>
          <w:rFonts w:eastAsia="方正仿宋_GBK"/>
          <w:sz w:val="32"/>
          <w:szCs w:val="32"/>
        </w:rPr>
      </w:pPr>
      <w:r>
        <w:rPr>
          <w:rFonts w:eastAsia="方正仿宋_GBK"/>
          <w:sz w:val="32"/>
          <w:szCs w:val="32"/>
        </w:rPr>
        <w:t>4.加强专职科普队伍建设。建立完善科普人才培养、使用和评价机制，持续推动科普专业人才职称评定工作。大力发展科普场馆、科普基地、新媒体科普等领域科普人才队伍。鼓励学校、科研机构、企业结合自身情况设立科普岗位。扶持科普创作人才成长，培养科普创作专业人员。</w:t>
      </w:r>
      <w:bookmarkStart w:id="1" w:name="3. 分工"/>
      <w:bookmarkEnd w:id="1"/>
    </w:p>
    <w:p>
      <w:pPr>
        <w:pStyle w:val="3"/>
        <w:spacing w:after="0" w:line="560" w:lineRule="exact"/>
        <w:ind w:firstLine="640" w:firstLineChars="200"/>
        <w:rPr>
          <w:rFonts w:eastAsia="方正楷体_GBK"/>
          <w:sz w:val="32"/>
          <w:szCs w:val="32"/>
        </w:rPr>
      </w:pPr>
      <w:r>
        <w:rPr>
          <w:rFonts w:eastAsia="方正楷体_GBK"/>
          <w:sz w:val="32"/>
          <w:szCs w:val="32"/>
        </w:rPr>
        <w:t>（五）实施科学素质合作工程。</w:t>
      </w:r>
    </w:p>
    <w:p>
      <w:pPr>
        <w:adjustRightInd w:val="0"/>
        <w:spacing w:line="560" w:lineRule="exact"/>
        <w:ind w:firstLine="640" w:firstLineChars="200"/>
        <w:rPr>
          <w:rFonts w:eastAsia="方正仿宋_GBK"/>
          <w:szCs w:val="32"/>
        </w:rPr>
      </w:pPr>
      <w:r>
        <w:rPr>
          <w:rFonts w:eastAsia="方正仿宋_GBK"/>
          <w:szCs w:val="32"/>
        </w:rPr>
        <w:t>拓展科学素质建设交流渠道，搭建合作平台，丰富交流合作内容，增进文明互鉴，推动价值认同，提升</w:t>
      </w:r>
      <w:r>
        <w:rPr>
          <w:rFonts w:hint="eastAsia" w:eastAsia="方正仿宋_GBK"/>
          <w:szCs w:val="32"/>
        </w:rPr>
        <w:t>合作</w:t>
      </w:r>
      <w:r>
        <w:rPr>
          <w:rFonts w:eastAsia="方正仿宋_GBK"/>
          <w:szCs w:val="32"/>
        </w:rPr>
        <w:t>交流水平。</w:t>
      </w:r>
    </w:p>
    <w:p>
      <w:pPr>
        <w:pStyle w:val="3"/>
        <w:spacing w:after="0" w:line="560" w:lineRule="exact"/>
        <w:ind w:firstLine="640" w:firstLineChars="200"/>
        <w:rPr>
          <w:rFonts w:eastAsia="方正仿宋_GBK"/>
          <w:sz w:val="32"/>
          <w:szCs w:val="32"/>
        </w:rPr>
      </w:pPr>
      <w:r>
        <w:rPr>
          <w:rFonts w:eastAsia="方正仿宋_GBK"/>
          <w:sz w:val="32"/>
          <w:szCs w:val="32"/>
        </w:rPr>
        <w:t>1.推动科学素质交流合作。拓展科学素质建设交流渠道，积极承办市</w:t>
      </w:r>
      <w:r>
        <w:rPr>
          <w:rFonts w:hint="eastAsia" w:eastAsia="方正仿宋_GBK"/>
          <w:sz w:val="32"/>
          <w:szCs w:val="32"/>
        </w:rPr>
        <w:t>级</w:t>
      </w:r>
      <w:r>
        <w:rPr>
          <w:rFonts w:eastAsia="方正仿宋_GBK"/>
          <w:sz w:val="32"/>
          <w:szCs w:val="32"/>
        </w:rPr>
        <w:t>交流活动，发挥好各科学素质交流平台作用。提升开放交流水平，加强青少年、妇女和教育、媒体、文化等领域科技人文交流。丰富交流合作内容，开展科学传播和科学普及双边、多边合作项目，促进科普产品交流交易。</w:t>
      </w:r>
    </w:p>
    <w:p>
      <w:pPr>
        <w:pStyle w:val="3"/>
        <w:spacing w:after="0"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加强科普</w:t>
      </w:r>
      <w:r>
        <w:rPr>
          <w:rFonts w:eastAsia="方正仿宋_GBK"/>
          <w:sz w:val="32"/>
          <w:szCs w:val="32"/>
        </w:rPr>
        <w:t>协同</w:t>
      </w:r>
      <w:r>
        <w:rPr>
          <w:rFonts w:hint="eastAsia" w:eastAsia="方正仿宋_GBK"/>
          <w:sz w:val="32"/>
          <w:szCs w:val="32"/>
        </w:rPr>
        <w:t>交流合作</w:t>
      </w:r>
      <w:r>
        <w:rPr>
          <w:rFonts w:eastAsia="方正仿宋_GBK"/>
          <w:sz w:val="32"/>
          <w:szCs w:val="32"/>
        </w:rPr>
        <w:t>。</w:t>
      </w:r>
      <w:r>
        <w:rPr>
          <w:rFonts w:hint="eastAsia" w:eastAsia="方正仿宋_GBK"/>
          <w:sz w:val="32"/>
          <w:szCs w:val="32"/>
        </w:rPr>
        <w:t>强化鲁渝、川渝、</w:t>
      </w:r>
      <w:r>
        <w:rPr>
          <w:rFonts w:eastAsia="方正仿宋_GBK"/>
          <w:sz w:val="32"/>
          <w:szCs w:val="32"/>
        </w:rPr>
        <w:t>一区两群</w:t>
      </w:r>
      <w:r>
        <w:rPr>
          <w:rFonts w:hint="eastAsia" w:eastAsia="方正仿宋_GBK"/>
          <w:sz w:val="32"/>
          <w:szCs w:val="32"/>
        </w:rPr>
        <w:t>协同发展意识，</w:t>
      </w:r>
      <w:r>
        <w:rPr>
          <w:rFonts w:eastAsia="方正仿宋_GBK"/>
          <w:sz w:val="32"/>
          <w:szCs w:val="32"/>
        </w:rPr>
        <w:t>建立与</w:t>
      </w:r>
      <w:r>
        <w:rPr>
          <w:rFonts w:hint="eastAsia" w:eastAsia="方正仿宋_GBK"/>
          <w:sz w:val="32"/>
          <w:szCs w:val="32"/>
        </w:rPr>
        <w:t>山东、成都和</w:t>
      </w:r>
      <w:r>
        <w:rPr>
          <w:rFonts w:eastAsia="方正仿宋_GBK"/>
          <w:sz w:val="32"/>
          <w:szCs w:val="32"/>
        </w:rPr>
        <w:t>永川区、潼南</w:t>
      </w:r>
      <w:r>
        <w:rPr>
          <w:rFonts w:hint="eastAsia" w:eastAsia="方正仿宋_GBK"/>
          <w:sz w:val="32"/>
          <w:szCs w:val="32"/>
        </w:rPr>
        <w:t>区</w:t>
      </w:r>
      <w:r>
        <w:rPr>
          <w:rFonts w:eastAsia="方正仿宋_GBK"/>
          <w:sz w:val="32"/>
          <w:szCs w:val="32"/>
        </w:rPr>
        <w:t>协同发展结对关系。结合自身职能定位，在推动</w:t>
      </w:r>
      <w:r>
        <w:rPr>
          <w:rFonts w:hint="eastAsia" w:eastAsia="方正仿宋_GBK"/>
          <w:sz w:val="32"/>
          <w:szCs w:val="32"/>
        </w:rPr>
        <w:t>鲁渝合作、成渝地区双城经济圈和</w:t>
      </w:r>
      <w:r>
        <w:rPr>
          <w:rFonts w:eastAsia="方正仿宋_GBK"/>
          <w:sz w:val="32"/>
          <w:szCs w:val="32"/>
        </w:rPr>
        <w:t>一区两群协同发展中找准全民科学素质工作结合点、着力点和提升点，探索利用双方优势资源，共建或互建教育培训基地，大力推动建设一批集“政产学研金服用”于一体的创新创业共同体，共同致力于提升全民科学素质。</w:t>
      </w:r>
    </w:p>
    <w:p>
      <w:pPr>
        <w:spacing w:line="560" w:lineRule="exact"/>
        <w:ind w:firstLine="640" w:firstLineChars="200"/>
        <w:rPr>
          <w:rFonts w:eastAsia="方正黑体_GBK"/>
          <w:szCs w:val="32"/>
        </w:rPr>
      </w:pPr>
      <w:r>
        <w:rPr>
          <w:rFonts w:eastAsia="方正黑体_GBK"/>
          <w:szCs w:val="32"/>
        </w:rPr>
        <w:t>五、组织实施</w:t>
      </w:r>
    </w:p>
    <w:p>
      <w:pPr>
        <w:spacing w:line="560" w:lineRule="exact"/>
        <w:ind w:firstLine="640" w:firstLineChars="200"/>
        <w:rPr>
          <w:rFonts w:eastAsia="方正仿宋_GBK"/>
          <w:szCs w:val="32"/>
        </w:rPr>
      </w:pPr>
      <w:r>
        <w:rPr>
          <w:rFonts w:eastAsia="方正仿宋_GBK"/>
          <w:szCs w:val="32"/>
        </w:rPr>
        <w:t>为确保20</w:t>
      </w:r>
      <w:r>
        <w:rPr>
          <w:rFonts w:hint="eastAsia" w:eastAsia="方正仿宋_GBK"/>
          <w:szCs w:val="32"/>
        </w:rPr>
        <w:t>21—</w:t>
      </w:r>
      <w:r>
        <w:rPr>
          <w:rFonts w:eastAsia="方正仿宋_GBK"/>
          <w:szCs w:val="32"/>
        </w:rPr>
        <w:t>202</w:t>
      </w:r>
      <w:r>
        <w:rPr>
          <w:rFonts w:hint="eastAsia" w:eastAsia="方正仿宋_GBK"/>
          <w:szCs w:val="32"/>
        </w:rPr>
        <w:t>5</w:t>
      </w:r>
      <w:r>
        <w:rPr>
          <w:rFonts w:eastAsia="方正仿宋_GBK"/>
          <w:szCs w:val="32"/>
        </w:rPr>
        <w:t>年全</w:t>
      </w:r>
      <w:r>
        <w:rPr>
          <w:rFonts w:hint="eastAsia" w:eastAsia="方正仿宋_GBK"/>
          <w:szCs w:val="32"/>
        </w:rPr>
        <w:t>县</w:t>
      </w:r>
      <w:r>
        <w:rPr>
          <w:rFonts w:eastAsia="方正仿宋_GBK"/>
          <w:szCs w:val="32"/>
        </w:rPr>
        <w:t>全民科学素质建设目标的圆满完</w:t>
      </w:r>
      <w:r>
        <w:rPr>
          <w:rFonts w:eastAsia="方正仿宋_GBK"/>
          <w:w w:val="97"/>
          <w:szCs w:val="32"/>
        </w:rPr>
        <w:t>成，必须建立有效的组织领导体系、工作体制机制、支撑保障体系。</w:t>
      </w:r>
    </w:p>
    <w:p>
      <w:pPr>
        <w:spacing w:line="560" w:lineRule="exact"/>
        <w:ind w:firstLine="640" w:firstLineChars="200"/>
        <w:rPr>
          <w:rFonts w:hint="eastAsia" w:ascii="方正楷体_GBK" w:eastAsia="方正楷体_GBK"/>
          <w:szCs w:val="32"/>
        </w:rPr>
      </w:pPr>
      <w:r>
        <w:rPr>
          <w:rFonts w:hint="eastAsia" w:ascii="方正楷体_GBK" w:eastAsia="方正楷体_GBK"/>
          <w:szCs w:val="32"/>
        </w:rPr>
        <w:t>（一）加强组织领导</w:t>
      </w:r>
    </w:p>
    <w:p>
      <w:pPr>
        <w:spacing w:line="560" w:lineRule="exact"/>
        <w:ind w:firstLine="640" w:firstLineChars="200"/>
        <w:rPr>
          <w:rFonts w:eastAsia="方正仿宋_GBK"/>
          <w:szCs w:val="32"/>
        </w:rPr>
      </w:pPr>
      <w:r>
        <w:rPr>
          <w:rFonts w:eastAsia="方正仿宋_GBK"/>
          <w:szCs w:val="32"/>
        </w:rPr>
        <w:t>1.</w:t>
      </w:r>
      <w:r>
        <w:rPr>
          <w:rFonts w:hint="eastAsia" w:eastAsia="方正仿宋_GBK"/>
          <w:szCs w:val="32"/>
        </w:rPr>
        <w:t>全县</w:t>
      </w:r>
      <w:r>
        <w:rPr>
          <w:rFonts w:eastAsia="方正仿宋_GBK"/>
          <w:szCs w:val="32"/>
        </w:rPr>
        <w:t>《全民科学素质纲要》</w:t>
      </w:r>
      <w:r>
        <w:rPr>
          <w:rFonts w:hint="eastAsia" w:eastAsia="方正仿宋_GBK"/>
          <w:szCs w:val="32"/>
        </w:rPr>
        <w:t>在县</w:t>
      </w:r>
      <w:r>
        <w:rPr>
          <w:rFonts w:eastAsia="方正仿宋_GBK"/>
          <w:szCs w:val="32"/>
        </w:rPr>
        <w:t>政府</w:t>
      </w:r>
      <w:r>
        <w:rPr>
          <w:rFonts w:hint="eastAsia" w:eastAsia="方正仿宋_GBK"/>
          <w:szCs w:val="32"/>
        </w:rPr>
        <w:t>统一领导下开展工作。紧密依靠县科普联席会议及纲要实施办公室</w:t>
      </w:r>
      <w:r>
        <w:rPr>
          <w:rFonts w:eastAsia="方正仿宋_GBK"/>
          <w:szCs w:val="32"/>
        </w:rPr>
        <w:t>，强化工作职能职责，办公室要充分发挥综合协调职能，做好组织协调和日常沟通联络工作，会同有关方面共同推</w:t>
      </w:r>
      <w:r>
        <w:rPr>
          <w:rFonts w:hint="eastAsia" w:eastAsia="方正仿宋_GBK"/>
          <w:szCs w:val="32"/>
        </w:rPr>
        <w:t>进全</w:t>
      </w:r>
      <w:r>
        <w:rPr>
          <w:rFonts w:eastAsia="方正仿宋_GBK"/>
          <w:szCs w:val="32"/>
        </w:rPr>
        <w:t>民科学素质建设。</w:t>
      </w:r>
      <w:r>
        <w:rPr>
          <w:rFonts w:hint="eastAsia" w:eastAsia="方正仿宋_GBK"/>
          <w:szCs w:val="32"/>
        </w:rPr>
        <w:t>县科普联席会议</w:t>
      </w:r>
      <w:r>
        <w:rPr>
          <w:rFonts w:eastAsia="方正仿宋_GBK"/>
          <w:szCs w:val="32"/>
        </w:rPr>
        <w:t>各成员单位要按照分工安排，将有关任务纳入本部门、本系统的工作规划和计划，切实履行工作职责，密切配合，形成合力。其它有关部门、单位要按照本实施方案要求，充分发挥各自优势，全力抓好全民科学素质提升工作。</w:t>
      </w:r>
    </w:p>
    <w:p>
      <w:pPr>
        <w:spacing w:line="560" w:lineRule="exact"/>
        <w:ind w:firstLine="640" w:firstLineChars="200"/>
        <w:rPr>
          <w:rFonts w:eastAsia="方正仿宋_GBK"/>
          <w:szCs w:val="32"/>
        </w:rPr>
      </w:pPr>
      <w:r>
        <w:rPr>
          <w:rFonts w:eastAsia="方正仿宋_GBK"/>
          <w:szCs w:val="32"/>
        </w:rPr>
        <w:t>2.各</w:t>
      </w:r>
      <w:r>
        <w:rPr>
          <w:rFonts w:hint="eastAsia" w:eastAsia="方正仿宋_GBK"/>
          <w:szCs w:val="32"/>
        </w:rPr>
        <w:t>乡</w:t>
      </w:r>
      <w:r>
        <w:rPr>
          <w:rFonts w:eastAsia="方正仿宋_GBK"/>
          <w:szCs w:val="32"/>
        </w:rPr>
        <w:t>镇（街</w:t>
      </w:r>
      <w:r>
        <w:rPr>
          <w:rFonts w:hint="eastAsia" w:eastAsia="方正仿宋_GBK"/>
          <w:szCs w:val="32"/>
        </w:rPr>
        <w:t>道</w:t>
      </w:r>
      <w:r>
        <w:rPr>
          <w:rFonts w:eastAsia="方正仿宋_GBK"/>
          <w:szCs w:val="32"/>
        </w:rPr>
        <w:t>）负责本行政</w:t>
      </w:r>
      <w:r>
        <w:rPr>
          <w:rFonts w:hint="eastAsia" w:eastAsia="方正仿宋_GBK"/>
          <w:szCs w:val="32"/>
        </w:rPr>
        <w:t>区</w:t>
      </w:r>
      <w:r>
        <w:rPr>
          <w:rFonts w:eastAsia="方正仿宋_GBK"/>
          <w:szCs w:val="32"/>
        </w:rPr>
        <w:t>域内《</w:t>
      </w:r>
      <w:r>
        <w:rPr>
          <w:rFonts w:hint="eastAsia" w:eastAsia="方正仿宋_GBK"/>
          <w:szCs w:val="32"/>
        </w:rPr>
        <w:t>全民</w:t>
      </w:r>
      <w:r>
        <w:rPr>
          <w:rFonts w:eastAsia="方正仿宋_GBK"/>
          <w:szCs w:val="32"/>
        </w:rPr>
        <w:t>科学素质纲要》的推进实施工作。要把全民科学素质建设作为推动当地经济社会发展的一项重要举措，将其纳入本地</w:t>
      </w:r>
      <w:r>
        <w:rPr>
          <w:rFonts w:hint="eastAsia" w:eastAsia="方正仿宋_GBK"/>
          <w:szCs w:val="32"/>
        </w:rPr>
        <w:t>区</w:t>
      </w:r>
      <w:r>
        <w:rPr>
          <w:rFonts w:eastAsia="方正仿宋_GBK"/>
          <w:szCs w:val="32"/>
        </w:rPr>
        <w:t>“十</w:t>
      </w:r>
      <w:r>
        <w:rPr>
          <w:rFonts w:hint="eastAsia" w:eastAsia="方正仿宋_GBK"/>
          <w:szCs w:val="32"/>
        </w:rPr>
        <w:t>四</w:t>
      </w:r>
      <w:r>
        <w:rPr>
          <w:rFonts w:eastAsia="方正仿宋_GBK"/>
          <w:szCs w:val="32"/>
        </w:rPr>
        <w:t>五”总体规划和年度工作计划，加大投入、完善</w:t>
      </w:r>
      <w:r>
        <w:rPr>
          <w:rFonts w:hint="eastAsia" w:eastAsia="方正仿宋_GBK"/>
          <w:szCs w:val="32"/>
        </w:rPr>
        <w:t>措施</w:t>
      </w:r>
      <w:r>
        <w:rPr>
          <w:rFonts w:eastAsia="方正仿宋_GBK"/>
          <w:szCs w:val="32"/>
        </w:rPr>
        <w:t>，全面推进本行政</w:t>
      </w:r>
      <w:r>
        <w:rPr>
          <w:rFonts w:hint="eastAsia" w:eastAsia="方正仿宋_GBK"/>
          <w:szCs w:val="32"/>
        </w:rPr>
        <w:t>区</w:t>
      </w:r>
      <w:r>
        <w:rPr>
          <w:rFonts w:eastAsia="方正仿宋_GBK"/>
          <w:szCs w:val="32"/>
        </w:rPr>
        <w:t>域内全民科学素质建设的开展。</w:t>
      </w:r>
    </w:p>
    <w:p>
      <w:pPr>
        <w:spacing w:line="560" w:lineRule="exact"/>
        <w:ind w:firstLine="640" w:firstLineChars="200"/>
        <w:rPr>
          <w:rFonts w:hint="eastAsia" w:eastAsia="方正仿宋_GBK"/>
          <w:szCs w:val="32"/>
        </w:rPr>
      </w:pPr>
      <w:r>
        <w:rPr>
          <w:rFonts w:eastAsia="方正仿宋_GBK"/>
          <w:szCs w:val="32"/>
        </w:rPr>
        <w:t>3.加强《科学素质纲要》实施的督促检查，推动各项工作任务和目标落实。</w:t>
      </w:r>
      <w:r>
        <w:rPr>
          <w:rFonts w:hint="eastAsia" w:eastAsia="方正仿宋_GBK"/>
          <w:szCs w:val="32"/>
        </w:rPr>
        <w:t>定期组织召开科学素质纲要实施情况工作会议，分阶段对照工作计划核实完成情况，通报结果。</w:t>
      </w:r>
    </w:p>
    <w:p>
      <w:pPr>
        <w:spacing w:line="560" w:lineRule="exact"/>
        <w:ind w:firstLine="640" w:firstLineChars="200"/>
        <w:rPr>
          <w:rFonts w:hint="eastAsia" w:ascii="方正楷体_GBK" w:eastAsia="方正楷体_GBK"/>
          <w:szCs w:val="32"/>
        </w:rPr>
      </w:pPr>
      <w:r>
        <w:rPr>
          <w:rFonts w:hint="eastAsia" w:ascii="方正楷体_GBK" w:eastAsia="方正楷体_GBK"/>
          <w:szCs w:val="32"/>
        </w:rPr>
        <w:t>（二）完善体制机制</w:t>
      </w:r>
    </w:p>
    <w:p>
      <w:pPr>
        <w:spacing w:line="560" w:lineRule="exact"/>
        <w:ind w:firstLine="640" w:firstLineChars="200"/>
        <w:rPr>
          <w:rFonts w:eastAsia="方正仿宋_GBK"/>
          <w:szCs w:val="32"/>
        </w:rPr>
      </w:pPr>
      <w:r>
        <w:rPr>
          <w:rFonts w:hint="eastAsia" w:eastAsia="方正仿宋_GBK"/>
          <w:szCs w:val="32"/>
        </w:rPr>
        <w:t>1.</w:t>
      </w:r>
      <w:r>
        <w:rPr>
          <w:rFonts w:eastAsia="方正仿宋_GBK"/>
          <w:szCs w:val="32"/>
        </w:rPr>
        <w:t>完善全民科学素质建设的共建机制</w:t>
      </w:r>
      <w:r>
        <w:rPr>
          <w:rFonts w:hint="eastAsia" w:eastAsia="方正仿宋_GBK"/>
          <w:szCs w:val="32"/>
        </w:rPr>
        <w:t>。</w:t>
      </w:r>
      <w:r>
        <w:rPr>
          <w:rFonts w:eastAsia="方正仿宋_GBK"/>
          <w:szCs w:val="32"/>
        </w:rPr>
        <w:t>认真贯彻落实“政府推动、全民参与、提升素质、促进和谐”的指导方针，在</w:t>
      </w:r>
      <w:r>
        <w:rPr>
          <w:rFonts w:hint="eastAsia" w:eastAsia="方正仿宋_GBK"/>
          <w:szCs w:val="32"/>
        </w:rPr>
        <w:t>县</w:t>
      </w:r>
      <w:r>
        <w:rPr>
          <w:rFonts w:eastAsia="方正仿宋_GBK"/>
          <w:szCs w:val="32"/>
        </w:rPr>
        <w:t>政府领导下明确职责分工、推进信息共享、实施共建管理，形成部门单位和社会力量齐抓共管的良好工作格局。</w:t>
      </w:r>
    </w:p>
    <w:p>
      <w:pPr>
        <w:spacing w:line="560" w:lineRule="exact"/>
        <w:ind w:firstLine="640" w:firstLineChars="200"/>
        <w:rPr>
          <w:rFonts w:eastAsia="方正仿宋_GBK"/>
          <w:szCs w:val="32"/>
        </w:rPr>
      </w:pPr>
      <w:r>
        <w:rPr>
          <w:rFonts w:hint="eastAsia" w:eastAsia="方正仿宋_GBK"/>
          <w:szCs w:val="32"/>
        </w:rPr>
        <w:t>2.加强对全民科学素质建设的监督督导。</w:t>
      </w:r>
      <w:r>
        <w:rPr>
          <w:rFonts w:eastAsia="方正仿宋_GBK"/>
          <w:szCs w:val="32"/>
        </w:rPr>
        <w:t>定期开展公民科学素质调查，及时发现问题、解决问题，推动</w:t>
      </w:r>
      <w:r>
        <w:rPr>
          <w:rFonts w:hint="eastAsia" w:eastAsia="方正仿宋_GBK"/>
          <w:szCs w:val="32"/>
        </w:rPr>
        <w:t>全县</w:t>
      </w:r>
      <w:r>
        <w:rPr>
          <w:rFonts w:eastAsia="方正仿宋_GBK"/>
          <w:szCs w:val="32"/>
        </w:rPr>
        <w:t>全民科学素质工作的健康发展。</w:t>
      </w:r>
    </w:p>
    <w:p>
      <w:pPr>
        <w:spacing w:line="560" w:lineRule="exact"/>
        <w:ind w:firstLine="640" w:firstLineChars="200"/>
        <w:rPr>
          <w:rFonts w:hint="eastAsia" w:eastAsia="方正仿宋_GBK"/>
          <w:szCs w:val="32"/>
        </w:rPr>
      </w:pPr>
      <w:r>
        <w:rPr>
          <w:rFonts w:hint="eastAsia" w:eastAsia="方正仿宋_GBK"/>
          <w:szCs w:val="32"/>
        </w:rPr>
        <w:t>3.建立完善全民科学素质建设动员、考核机制。</w:t>
      </w:r>
      <w:r>
        <w:rPr>
          <w:rFonts w:eastAsia="方正仿宋_GBK"/>
          <w:szCs w:val="32"/>
        </w:rPr>
        <w:t>将实施《全民科学素质纲要》建设纳入对</w:t>
      </w:r>
      <w:r>
        <w:rPr>
          <w:rFonts w:hint="eastAsia" w:eastAsia="方正仿宋_GBK"/>
          <w:szCs w:val="32"/>
        </w:rPr>
        <w:t>乡</w:t>
      </w:r>
      <w:r>
        <w:rPr>
          <w:rFonts w:eastAsia="方正仿宋_GBK"/>
          <w:szCs w:val="32"/>
        </w:rPr>
        <w:t>镇（街</w:t>
      </w:r>
      <w:r>
        <w:rPr>
          <w:rFonts w:hint="eastAsia" w:eastAsia="方正仿宋_GBK"/>
          <w:szCs w:val="32"/>
        </w:rPr>
        <w:t>道</w:t>
      </w:r>
      <w:r>
        <w:rPr>
          <w:rFonts w:eastAsia="方正仿宋_GBK"/>
          <w:szCs w:val="32"/>
        </w:rPr>
        <w:t>）和有关部门的目标管理考核内容</w:t>
      </w:r>
      <w:r>
        <w:rPr>
          <w:rFonts w:hint="eastAsia" w:eastAsia="方正仿宋_GBK"/>
          <w:szCs w:val="32"/>
        </w:rPr>
        <w:t>。</w:t>
      </w:r>
    </w:p>
    <w:p>
      <w:pPr>
        <w:spacing w:line="560" w:lineRule="exact"/>
        <w:ind w:firstLine="640" w:firstLineChars="200"/>
        <w:rPr>
          <w:rFonts w:eastAsia="方正仿宋_GBK"/>
          <w:szCs w:val="32"/>
        </w:rPr>
      </w:pPr>
      <w:r>
        <w:rPr>
          <w:rFonts w:hint="eastAsia" w:eastAsia="方正仿宋_GBK"/>
          <w:szCs w:val="32"/>
        </w:rPr>
        <w:t>4.充分保障全民科学素质建设和科普活动经费。各级各有关单位统筹考虑并落实科普经费，将科普经费纳入同级财政预算，并根据工作开展情况逐步增加，积极</w:t>
      </w:r>
      <w:r>
        <w:rPr>
          <w:rFonts w:eastAsia="方正仿宋_GBK"/>
          <w:szCs w:val="32"/>
        </w:rPr>
        <w:t>引导社会资本投入全民科学素质建设工程和项目。</w:t>
      </w:r>
    </w:p>
    <w:p>
      <w:pPr>
        <w:spacing w:line="560" w:lineRule="exact"/>
        <w:ind w:firstLine="640" w:firstLineChars="200"/>
        <w:rPr>
          <w:rFonts w:hint="eastAsia" w:eastAsia="方正楷体_GBK"/>
          <w:szCs w:val="32"/>
        </w:rPr>
      </w:pPr>
      <w:r>
        <w:rPr>
          <w:rFonts w:hint="eastAsia" w:ascii="方正楷体_GBK" w:eastAsia="方正楷体_GBK"/>
          <w:szCs w:val="32"/>
        </w:rPr>
        <w:t>（三）抓好工作落实</w:t>
      </w:r>
    </w:p>
    <w:p>
      <w:pPr>
        <w:spacing w:line="560" w:lineRule="exact"/>
        <w:ind w:firstLine="640" w:firstLineChars="200"/>
        <w:rPr>
          <w:rFonts w:eastAsia="方正仿宋_GBK"/>
          <w:szCs w:val="32"/>
        </w:rPr>
      </w:pPr>
      <w:r>
        <w:rPr>
          <w:rFonts w:hint="eastAsia" w:eastAsia="方正仿宋_GBK"/>
          <w:szCs w:val="32"/>
        </w:rPr>
        <w:t>1.工作启动</w:t>
      </w:r>
      <w:r>
        <w:rPr>
          <w:rFonts w:eastAsia="方正仿宋_GBK"/>
          <w:szCs w:val="32"/>
        </w:rPr>
        <w:t>。2021年，做好“十</w:t>
      </w:r>
      <w:r>
        <w:rPr>
          <w:rFonts w:hint="eastAsia" w:eastAsia="方正仿宋_GBK"/>
          <w:szCs w:val="32"/>
        </w:rPr>
        <w:t>四</w:t>
      </w:r>
      <w:r>
        <w:rPr>
          <w:rFonts w:eastAsia="方正仿宋_GBK"/>
          <w:szCs w:val="32"/>
        </w:rPr>
        <w:t>五”时期</w:t>
      </w:r>
      <w:r>
        <w:rPr>
          <w:rFonts w:hint="eastAsia" w:eastAsia="方正仿宋_GBK"/>
          <w:szCs w:val="32"/>
        </w:rPr>
        <w:t>彭水县</w:t>
      </w:r>
      <w:r>
        <w:rPr>
          <w:rFonts w:eastAsia="方正仿宋_GBK"/>
          <w:szCs w:val="32"/>
        </w:rPr>
        <w:t>全民科学素质建设的规划谋划和动员发动工作</w:t>
      </w:r>
      <w:r>
        <w:rPr>
          <w:rFonts w:hint="eastAsia" w:eastAsia="方正仿宋_GBK"/>
          <w:szCs w:val="32"/>
        </w:rPr>
        <w:t>，2022年初</w:t>
      </w:r>
      <w:r>
        <w:rPr>
          <w:rFonts w:eastAsia="方正仿宋_GBK"/>
          <w:szCs w:val="32"/>
        </w:rPr>
        <w:t>制定《</w:t>
      </w:r>
      <w:r>
        <w:rPr>
          <w:rFonts w:hint="eastAsia" w:eastAsia="方正仿宋_GBK"/>
          <w:szCs w:val="32"/>
        </w:rPr>
        <w:t>彭水县</w:t>
      </w:r>
      <w:r>
        <w:rPr>
          <w:rFonts w:eastAsia="方正仿宋_GBK"/>
          <w:szCs w:val="32"/>
        </w:rPr>
        <w:t>全民科学素质行动计划纲要实施方案（20</w:t>
      </w:r>
      <w:r>
        <w:rPr>
          <w:rFonts w:hint="eastAsia" w:eastAsia="方正仿宋_GBK"/>
          <w:szCs w:val="32"/>
        </w:rPr>
        <w:t>21</w:t>
      </w:r>
      <w:r>
        <w:rPr>
          <w:rFonts w:eastAsia="方正仿宋_GBK"/>
          <w:szCs w:val="32"/>
        </w:rPr>
        <w:t>—20</w:t>
      </w:r>
      <w:r>
        <w:rPr>
          <w:rFonts w:hint="eastAsia" w:eastAsia="方正仿宋_GBK"/>
          <w:szCs w:val="32"/>
        </w:rPr>
        <w:t>25</w:t>
      </w:r>
      <w:r>
        <w:rPr>
          <w:rFonts w:eastAsia="方正仿宋_GBK"/>
          <w:szCs w:val="32"/>
        </w:rPr>
        <w:t>年）》，</w:t>
      </w:r>
      <w:r>
        <w:rPr>
          <w:rFonts w:hint="eastAsia" w:eastAsia="方正仿宋_GBK"/>
          <w:szCs w:val="32"/>
        </w:rPr>
        <w:t>各有关</w:t>
      </w:r>
      <w:r>
        <w:rPr>
          <w:rFonts w:eastAsia="方正仿宋_GBK"/>
          <w:szCs w:val="32"/>
        </w:rPr>
        <w:t>部门制定落实</w:t>
      </w:r>
      <w:r>
        <w:rPr>
          <w:rFonts w:hint="eastAsia" w:eastAsia="方正仿宋_GBK"/>
          <w:szCs w:val="32"/>
        </w:rPr>
        <w:t>相关工作任务的具体方案或举措</w:t>
      </w:r>
      <w:r>
        <w:rPr>
          <w:rFonts w:eastAsia="方正仿宋_GBK"/>
          <w:szCs w:val="32"/>
        </w:rPr>
        <w:t>。</w:t>
      </w:r>
    </w:p>
    <w:p>
      <w:pPr>
        <w:spacing w:line="560" w:lineRule="exact"/>
        <w:ind w:firstLine="640" w:firstLineChars="200"/>
        <w:rPr>
          <w:rFonts w:eastAsia="方正仿宋_GBK"/>
          <w:szCs w:val="32"/>
        </w:rPr>
      </w:pPr>
      <w:r>
        <w:rPr>
          <w:rFonts w:hint="eastAsia" w:eastAsia="方正仿宋_GBK"/>
          <w:szCs w:val="32"/>
        </w:rPr>
        <w:t>2.全面实施。</w:t>
      </w:r>
      <w:r>
        <w:rPr>
          <w:rFonts w:eastAsia="方正仿宋_GBK"/>
          <w:szCs w:val="32"/>
        </w:rPr>
        <w:t>20</w:t>
      </w:r>
      <w:r>
        <w:rPr>
          <w:rFonts w:hint="eastAsia" w:eastAsia="方正仿宋_GBK"/>
          <w:szCs w:val="32"/>
        </w:rPr>
        <w:t>22</w:t>
      </w:r>
      <w:r>
        <w:rPr>
          <w:rFonts w:eastAsia="方正仿宋_GBK"/>
          <w:szCs w:val="32"/>
        </w:rPr>
        <w:t>—202</w:t>
      </w:r>
      <w:r>
        <w:rPr>
          <w:rFonts w:hint="eastAsia" w:eastAsia="方正仿宋_GBK"/>
          <w:szCs w:val="32"/>
        </w:rPr>
        <w:t>5</w:t>
      </w:r>
      <w:r>
        <w:rPr>
          <w:rFonts w:eastAsia="方正仿宋_GBK"/>
          <w:szCs w:val="32"/>
        </w:rPr>
        <w:t>年，以</w:t>
      </w:r>
      <w:r>
        <w:rPr>
          <w:rFonts w:hint="eastAsia" w:eastAsia="方正仿宋_GBK"/>
          <w:szCs w:val="32"/>
        </w:rPr>
        <w:t>有力</w:t>
      </w:r>
      <w:r>
        <w:rPr>
          <w:rFonts w:eastAsia="方正仿宋_GBK"/>
          <w:szCs w:val="32"/>
        </w:rPr>
        <w:t>举措和务实作风全面推进各项重点工作任务的落实，确保</w:t>
      </w:r>
      <w:r>
        <w:rPr>
          <w:rFonts w:hint="eastAsia" w:eastAsia="方正仿宋_GBK"/>
          <w:szCs w:val="32"/>
        </w:rPr>
        <w:t>全县</w:t>
      </w:r>
      <w:r>
        <w:rPr>
          <w:rFonts w:eastAsia="方正仿宋_GBK"/>
          <w:szCs w:val="32"/>
        </w:rPr>
        <w:t>公民具备科学素质比例</w:t>
      </w:r>
      <w:r>
        <w:rPr>
          <w:rFonts w:hint="eastAsia" w:eastAsia="方正仿宋_GBK"/>
          <w:szCs w:val="32"/>
        </w:rPr>
        <w:t>达到</w:t>
      </w:r>
      <w:r>
        <w:rPr>
          <w:rFonts w:eastAsia="方正仿宋_GBK"/>
          <w:szCs w:val="32"/>
        </w:rPr>
        <w:t>全</w:t>
      </w:r>
      <w:r>
        <w:rPr>
          <w:rFonts w:hint="eastAsia" w:eastAsia="方正仿宋_GBK"/>
          <w:szCs w:val="32"/>
        </w:rPr>
        <w:t>市</w:t>
      </w:r>
      <w:r>
        <w:rPr>
          <w:rFonts w:eastAsia="方正仿宋_GBK"/>
          <w:szCs w:val="32"/>
        </w:rPr>
        <w:t>平均</w:t>
      </w:r>
      <w:r>
        <w:rPr>
          <w:rFonts w:hint="eastAsia" w:eastAsia="方正仿宋_GBK"/>
          <w:szCs w:val="32"/>
        </w:rPr>
        <w:t>水平</w:t>
      </w:r>
      <w:r>
        <w:rPr>
          <w:rFonts w:eastAsia="方正仿宋_GBK"/>
          <w:szCs w:val="32"/>
        </w:rPr>
        <w:t>。</w:t>
      </w:r>
    </w:p>
    <w:p>
      <w:pPr>
        <w:spacing w:line="560" w:lineRule="exact"/>
        <w:ind w:firstLine="640" w:firstLineChars="200"/>
        <w:rPr>
          <w:rFonts w:hint="eastAsia" w:ascii="方正仿宋_GBK" w:eastAsia="方正仿宋_GBK"/>
          <w:sz w:val="28"/>
          <w:szCs w:val="28"/>
        </w:rPr>
      </w:pPr>
      <w:r>
        <w:rPr>
          <w:rFonts w:hint="eastAsia" w:eastAsia="方正仿宋_GBK"/>
          <w:szCs w:val="32"/>
        </w:rPr>
        <w:t>3.</w:t>
      </w:r>
      <w:r>
        <w:rPr>
          <w:rFonts w:eastAsia="方正仿宋_GBK"/>
          <w:szCs w:val="32"/>
        </w:rPr>
        <w:t>总结评估。2025年，按照统一安排组织开展督查工作和专</w:t>
      </w:r>
      <w:r>
        <w:rPr>
          <w:rFonts w:eastAsia="方正仿宋_GBK"/>
          <w:w w:val="97"/>
          <w:szCs w:val="32"/>
        </w:rPr>
        <w:t>项调研，对“十四五”期间全民科学素质工作进行全面总结和评估</w:t>
      </w:r>
      <w:r>
        <w:rPr>
          <w:rFonts w:hint="eastAsia" w:eastAsia="方正仿宋_GBK"/>
          <w:w w:val="97"/>
          <w:szCs w:val="32"/>
        </w:rPr>
        <w:t>。</w:t>
      </w:r>
    </w:p>
    <w:p>
      <w:pPr>
        <w:spacing w:line="560" w:lineRule="exact"/>
        <w:ind w:firstLine="640" w:firstLineChars="200"/>
        <w:rPr>
          <w:rFonts w:eastAsia="方正仿宋_GBK"/>
          <w:szCs w:val="32"/>
        </w:rPr>
      </w:pPr>
      <w:r>
        <w:rPr>
          <w:rFonts w:eastAsia="方正仿宋_GBK"/>
          <w:szCs w:val="32"/>
        </w:rPr>
        <w:t>附件：彭水自治县全民科学素质建设重点任务分工</w:t>
      </w:r>
    </w:p>
    <w:p>
      <w:pPr>
        <w:spacing w:line="560" w:lineRule="exact"/>
        <w:ind w:firstLine="640" w:firstLineChars="200"/>
        <w:rPr>
          <w:rFonts w:eastAsia="方正仿宋_GBK"/>
          <w:szCs w:val="32"/>
        </w:rPr>
      </w:pPr>
    </w:p>
    <w:p>
      <w:pPr>
        <w:spacing w:line="560" w:lineRule="exact"/>
        <w:rPr>
          <w:rFonts w:hint="eastAsia" w:ascii="方正黑体_GBK" w:hAnsi="方正黑体_GBK" w:eastAsia="方正黑体_GBK" w:cs="方正黑体_GBK"/>
          <w:szCs w:val="32"/>
        </w:rPr>
      </w:pPr>
      <w:r>
        <w:rPr>
          <w:rFonts w:eastAsia="方正仿宋_GBK"/>
          <w:sz w:val="28"/>
          <w:szCs w:val="28"/>
        </w:rPr>
        <w:br w:type="page"/>
      </w:r>
      <w:bookmarkStart w:id="2" w:name="bookmark2"/>
      <w:bookmarkStart w:id="3" w:name="bookmark0"/>
      <w:bookmarkStart w:id="4" w:name="bookmark1"/>
      <w:r>
        <w:rPr>
          <w:rFonts w:hint="eastAsia" w:ascii="方正黑体_GBK" w:hAnsi="方正黑体_GBK" w:eastAsia="方正黑体_GBK" w:cs="方正黑体_GBK"/>
          <w:szCs w:val="32"/>
        </w:rPr>
        <w:t>附件</w:t>
      </w:r>
    </w:p>
    <w:p>
      <w:pPr>
        <w:jc w:val="center"/>
        <w:rPr>
          <w:rFonts w:eastAsia="方正小标宋_GBK"/>
          <w:w w:val="90"/>
          <w:sz w:val="44"/>
          <w:szCs w:val="44"/>
        </w:rPr>
      </w:pPr>
      <w:r>
        <w:rPr>
          <w:rFonts w:eastAsia="方正小标宋_GBK"/>
          <w:w w:val="90"/>
          <w:sz w:val="44"/>
          <w:szCs w:val="44"/>
        </w:rPr>
        <w:t>彭水自治县全民科学素质建设重点任务分工</w:t>
      </w:r>
      <w:bookmarkEnd w:id="2"/>
      <w:bookmarkEnd w:id="3"/>
      <w:bookmarkEnd w:id="4"/>
    </w:p>
    <w:tbl>
      <w:tblPr>
        <w:tblStyle w:val="6"/>
        <w:tblW w:w="0" w:type="auto"/>
        <w:jc w:val="center"/>
        <w:tblLayout w:type="fixed"/>
        <w:tblCellMar>
          <w:top w:w="0" w:type="dxa"/>
          <w:left w:w="10" w:type="dxa"/>
          <w:bottom w:w="0" w:type="dxa"/>
          <w:right w:w="10" w:type="dxa"/>
        </w:tblCellMar>
      </w:tblPr>
      <w:tblGrid>
        <w:gridCol w:w="756"/>
        <w:gridCol w:w="1346"/>
        <w:gridCol w:w="1411"/>
        <w:gridCol w:w="5486"/>
      </w:tblGrid>
      <w:tr>
        <w:tblPrEx>
          <w:tblCellMar>
            <w:top w:w="0" w:type="dxa"/>
            <w:left w:w="10" w:type="dxa"/>
            <w:bottom w:w="0" w:type="dxa"/>
            <w:right w:w="10" w:type="dxa"/>
          </w:tblCellMar>
        </w:tblPrEx>
        <w:trPr>
          <w:trHeight w:val="598" w:hRule="exact"/>
          <w:jc w:val="center"/>
        </w:trPr>
        <w:tc>
          <w:tcPr>
            <w:tcW w:w="756" w:type="dxa"/>
            <w:tcBorders>
              <w:top w:val="single" w:color="auto" w:sz="4" w:space="0"/>
              <w:left w:val="single" w:color="auto" w:sz="4" w:space="0"/>
            </w:tcBorders>
            <w:shd w:val="clear" w:color="auto" w:fill="FFFFFF"/>
            <w:noWrap w:val="0"/>
            <w:vAlign w:val="center"/>
          </w:tcPr>
          <w:p>
            <w:pPr>
              <w:pStyle w:val="1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类别</w:t>
            </w:r>
          </w:p>
        </w:tc>
        <w:tc>
          <w:tcPr>
            <w:tcW w:w="1346" w:type="dxa"/>
            <w:tcBorders>
              <w:top w:val="single" w:color="auto" w:sz="4" w:space="0"/>
              <w:left w:val="single" w:color="auto" w:sz="4" w:space="0"/>
            </w:tcBorders>
            <w:shd w:val="clear" w:color="auto" w:fill="FFFFFF"/>
            <w:noWrap w:val="0"/>
            <w:vAlign w:val="center"/>
          </w:tcPr>
          <w:p>
            <w:pPr>
              <w:pStyle w:val="1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任务内容</w:t>
            </w:r>
          </w:p>
        </w:tc>
        <w:tc>
          <w:tcPr>
            <w:tcW w:w="1411" w:type="dxa"/>
            <w:tcBorders>
              <w:top w:val="single" w:color="auto" w:sz="4" w:space="0"/>
              <w:left w:val="single" w:color="auto" w:sz="4" w:space="0"/>
            </w:tcBorders>
            <w:shd w:val="clear" w:color="auto" w:fill="FFFFFF"/>
            <w:noWrap w:val="0"/>
            <w:vAlign w:val="center"/>
          </w:tcPr>
          <w:p>
            <w:pPr>
              <w:pStyle w:val="1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牵头部门</w:t>
            </w:r>
          </w:p>
        </w:tc>
        <w:tc>
          <w:tcPr>
            <w:tcW w:w="5486" w:type="dxa"/>
            <w:tcBorders>
              <w:top w:val="single" w:color="auto" w:sz="4" w:space="0"/>
              <w:left w:val="single" w:color="auto" w:sz="4" w:space="0"/>
              <w:right w:val="single" w:color="auto" w:sz="4" w:space="0"/>
            </w:tcBorders>
            <w:shd w:val="clear" w:color="auto" w:fill="FFFFFF"/>
            <w:noWrap w:val="0"/>
            <w:vAlign w:val="center"/>
          </w:tcPr>
          <w:p>
            <w:pPr>
              <w:pStyle w:val="1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责任部门</w:t>
            </w:r>
          </w:p>
        </w:tc>
      </w:tr>
      <w:tr>
        <w:tblPrEx>
          <w:tblCellMar>
            <w:top w:w="0" w:type="dxa"/>
            <w:left w:w="10" w:type="dxa"/>
            <w:bottom w:w="0" w:type="dxa"/>
            <w:right w:w="10" w:type="dxa"/>
          </w:tblCellMar>
        </w:tblPrEx>
        <w:trPr>
          <w:trHeight w:val="2275" w:hRule="exact"/>
          <w:jc w:val="center"/>
        </w:trPr>
        <w:tc>
          <w:tcPr>
            <w:tcW w:w="756" w:type="dxa"/>
            <w:vMerge w:val="restart"/>
            <w:tcBorders>
              <w:top w:val="single" w:color="auto" w:sz="4" w:space="0"/>
              <w:left w:val="single" w:color="auto" w:sz="4" w:space="0"/>
            </w:tcBorders>
            <w:shd w:val="clear" w:color="auto" w:fill="FFFFFF"/>
            <w:noWrap w:val="0"/>
            <w:vAlign w:val="center"/>
          </w:tcPr>
          <w:p>
            <w:pPr>
              <w:pStyle w:val="10"/>
              <w:spacing w:line="359" w:lineRule="exact"/>
              <w:jc w:val="center"/>
              <w:rPr>
                <w:rFonts w:ascii="Times New Roman" w:hAnsi="Times New Roman" w:eastAsia="方正仿宋_GBK" w:cs="Times New Roman"/>
                <w:sz w:val="24"/>
                <w:szCs w:val="24"/>
                <w:lang w:val="en-US" w:eastAsia="zh-CN"/>
              </w:rPr>
            </w:pPr>
            <w:r>
              <w:rPr>
                <w:rFonts w:ascii="Times New Roman" w:hAnsi="Times New Roman" w:eastAsia="方正仿宋_GBK" w:cs="Times New Roman"/>
                <w:sz w:val="24"/>
                <w:szCs w:val="24"/>
                <w:lang w:val="en-US" w:eastAsia="zh-CN"/>
              </w:rPr>
              <w:t>提升</w:t>
            </w:r>
          </w:p>
          <w:p>
            <w:pPr>
              <w:pStyle w:val="10"/>
              <w:spacing w:line="359" w:lineRule="exact"/>
              <w:jc w:val="center"/>
              <w:rPr>
                <w:rFonts w:ascii="Times New Roman" w:hAnsi="Times New Roman" w:eastAsia="方正仿宋_GBK" w:cs="Times New Roman"/>
                <w:sz w:val="24"/>
                <w:szCs w:val="24"/>
                <w:lang w:val="en-US" w:eastAsia="zh-CN"/>
              </w:rPr>
            </w:pPr>
            <w:r>
              <w:rPr>
                <w:rFonts w:ascii="Times New Roman" w:hAnsi="Times New Roman" w:eastAsia="方正仿宋_GBK" w:cs="Times New Roman"/>
                <w:sz w:val="24"/>
                <w:szCs w:val="24"/>
                <w:lang w:val="en-US" w:eastAsia="zh-CN"/>
              </w:rPr>
              <w:t>行动</w:t>
            </w:r>
          </w:p>
        </w:tc>
        <w:tc>
          <w:tcPr>
            <w:tcW w:w="1346"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val="en-US" w:eastAsia="zh-CN"/>
              </w:rPr>
              <w:t>1.</w:t>
            </w:r>
            <w:r>
              <w:rPr>
                <w:rFonts w:ascii="Times New Roman" w:hAnsi="Times New Roman" w:eastAsia="方正仿宋_GBK" w:cs="Times New Roman"/>
                <w:sz w:val="24"/>
                <w:szCs w:val="24"/>
              </w:rPr>
              <w:t>实施青少年科学素质提升行动</w:t>
            </w:r>
          </w:p>
        </w:tc>
        <w:tc>
          <w:tcPr>
            <w:tcW w:w="1411"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教委、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科协</w:t>
            </w:r>
          </w:p>
        </w:tc>
        <w:tc>
          <w:tcPr>
            <w:tcW w:w="5486" w:type="dxa"/>
            <w:tcBorders>
              <w:top w:val="single" w:color="auto" w:sz="4" w:space="0"/>
              <w:left w:val="single" w:color="auto" w:sz="4" w:space="0"/>
              <w:righ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委宣传部、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委网信办、</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经济信息委、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民族宗教委、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民政局、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人力社保局、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规划自然资源局、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生态环境局、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城</w:t>
            </w:r>
            <w:r>
              <w:rPr>
                <w:rFonts w:ascii="Times New Roman" w:hAnsi="Times New Roman" w:eastAsia="方正仿宋_GBK" w:cs="Times New Roman"/>
                <w:sz w:val="24"/>
                <w:szCs w:val="24"/>
                <w:lang w:eastAsia="zh-CN"/>
              </w:rPr>
              <w:t>市</w:t>
            </w:r>
            <w:r>
              <w:rPr>
                <w:rFonts w:ascii="Times New Roman" w:hAnsi="Times New Roman" w:eastAsia="方正仿宋_GBK" w:cs="Times New Roman"/>
                <w:sz w:val="24"/>
                <w:szCs w:val="24"/>
              </w:rPr>
              <w:t>管理局、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文化旅游委、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卫生健康委、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应急局、</w:t>
            </w:r>
            <w:r>
              <w:rPr>
                <w:rFonts w:ascii="Times New Roman" w:hAnsi="Times New Roman" w:eastAsia="方正仿宋_GBK" w:cs="Times New Roman"/>
                <w:sz w:val="24"/>
                <w:szCs w:val="24"/>
                <w:lang w:eastAsia="zh-CN"/>
              </w:rPr>
              <w:t>县市</w:t>
            </w:r>
            <w:r>
              <w:rPr>
                <w:rFonts w:ascii="Times New Roman" w:hAnsi="Times New Roman" w:eastAsia="方正仿宋_GBK" w:cs="Times New Roman"/>
                <w:sz w:val="24"/>
                <w:szCs w:val="24"/>
              </w:rPr>
              <w:t>场监管局、团</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妇联、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社科联、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气象局</w:t>
            </w:r>
          </w:p>
        </w:tc>
      </w:tr>
      <w:tr>
        <w:tblPrEx>
          <w:tblCellMar>
            <w:top w:w="0" w:type="dxa"/>
            <w:left w:w="10" w:type="dxa"/>
            <w:bottom w:w="0" w:type="dxa"/>
            <w:right w:w="10" w:type="dxa"/>
          </w:tblCellMar>
        </w:tblPrEx>
        <w:trPr>
          <w:trHeight w:val="1901" w:hRule="exact"/>
          <w:jc w:val="center"/>
        </w:trPr>
        <w:tc>
          <w:tcPr>
            <w:tcW w:w="756" w:type="dxa"/>
            <w:vMerge w:val="continue"/>
            <w:tcBorders>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p>
        </w:tc>
        <w:tc>
          <w:tcPr>
            <w:tcW w:w="1346"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val="en-US" w:eastAsia="zh-CN"/>
              </w:rPr>
              <w:t>2.</w:t>
            </w:r>
            <w:r>
              <w:rPr>
                <w:rFonts w:ascii="Times New Roman" w:hAnsi="Times New Roman" w:eastAsia="方正仿宋_GBK" w:cs="Times New Roman"/>
                <w:sz w:val="24"/>
                <w:szCs w:val="24"/>
              </w:rPr>
              <w:t>实施农民科学素质提升行动</w:t>
            </w:r>
          </w:p>
        </w:tc>
        <w:tc>
          <w:tcPr>
            <w:tcW w:w="1411"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农业农村委、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科协</w:t>
            </w:r>
          </w:p>
        </w:tc>
        <w:tc>
          <w:tcPr>
            <w:tcW w:w="5486" w:type="dxa"/>
            <w:tcBorders>
              <w:top w:val="single" w:color="auto" w:sz="4" w:space="0"/>
              <w:left w:val="single" w:color="auto" w:sz="4" w:space="0"/>
              <w:right w:val="single" w:color="auto" w:sz="4" w:space="0"/>
            </w:tcBorders>
            <w:shd w:val="clear" w:color="auto" w:fill="FFFFFF"/>
            <w:noWrap w:val="0"/>
            <w:vAlign w:val="top"/>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委宣传部、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委网信办、</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教委、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lang w:val="en-US" w:eastAsia="zh-CN"/>
              </w:rPr>
              <w:t>经济信息委</w:t>
            </w:r>
            <w:r>
              <w:rPr>
                <w:rFonts w:ascii="Times New Roman" w:hAnsi="Times New Roman" w:eastAsia="方正仿宋_GBK" w:cs="Times New Roman"/>
                <w:sz w:val="24"/>
                <w:szCs w:val="24"/>
              </w:rPr>
              <w:t>、</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民族宗教委、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民政局、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人力社保局、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规划自然资源局、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生态环境局、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文化旅游委、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卫生健康委、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应急局、</w:t>
            </w:r>
            <w:r>
              <w:rPr>
                <w:rFonts w:ascii="Times New Roman" w:hAnsi="Times New Roman" w:eastAsia="方正仿宋_GBK" w:cs="Times New Roman"/>
                <w:sz w:val="24"/>
                <w:szCs w:val="24"/>
                <w:lang w:eastAsia="zh-CN"/>
              </w:rPr>
              <w:t>县市</w:t>
            </w:r>
            <w:r>
              <w:rPr>
                <w:rFonts w:ascii="Times New Roman" w:hAnsi="Times New Roman" w:eastAsia="方正仿宋_GBK" w:cs="Times New Roman"/>
                <w:sz w:val="24"/>
                <w:szCs w:val="24"/>
              </w:rPr>
              <w:t>场监管局、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乡村振兴局、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总工会、团</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妇联、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气象局</w:t>
            </w:r>
          </w:p>
        </w:tc>
      </w:tr>
      <w:tr>
        <w:tblPrEx>
          <w:tblCellMar>
            <w:top w:w="0" w:type="dxa"/>
            <w:left w:w="10" w:type="dxa"/>
            <w:bottom w:w="0" w:type="dxa"/>
            <w:right w:w="10" w:type="dxa"/>
          </w:tblCellMar>
        </w:tblPrEx>
        <w:trPr>
          <w:trHeight w:val="1915" w:hRule="exact"/>
          <w:jc w:val="center"/>
        </w:trPr>
        <w:tc>
          <w:tcPr>
            <w:tcW w:w="756" w:type="dxa"/>
            <w:vMerge w:val="continue"/>
            <w:tcBorders>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p>
        </w:tc>
        <w:tc>
          <w:tcPr>
            <w:tcW w:w="1346"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val="en-US" w:eastAsia="zh-CN"/>
              </w:rPr>
              <w:t>3.</w:t>
            </w:r>
            <w:r>
              <w:rPr>
                <w:rFonts w:ascii="Times New Roman" w:hAnsi="Times New Roman" w:eastAsia="方正仿宋_GBK" w:cs="Times New Roman"/>
                <w:sz w:val="24"/>
                <w:szCs w:val="24"/>
              </w:rPr>
              <w:t>实施</w:t>
            </w:r>
            <w:r>
              <w:rPr>
                <w:rFonts w:ascii="Times New Roman" w:hAnsi="Times New Roman" w:eastAsia="方正仿宋_GBK" w:cs="Times New Roman"/>
                <w:sz w:val="24"/>
                <w:szCs w:val="24"/>
                <w:lang w:val="en-US" w:eastAsia="zh-CN"/>
              </w:rPr>
              <w:t>产业工人</w:t>
            </w:r>
            <w:r>
              <w:rPr>
                <w:rFonts w:ascii="Times New Roman" w:hAnsi="Times New Roman" w:eastAsia="方正仿宋_GBK" w:cs="Times New Roman"/>
                <w:sz w:val="24"/>
                <w:szCs w:val="24"/>
              </w:rPr>
              <w:t>科学素质提升行动</w:t>
            </w:r>
          </w:p>
        </w:tc>
        <w:tc>
          <w:tcPr>
            <w:tcW w:w="1411" w:type="dxa"/>
            <w:tcBorders>
              <w:top w:val="single" w:color="auto" w:sz="4" w:space="0"/>
              <w:left w:val="single" w:color="auto" w:sz="4" w:space="0"/>
            </w:tcBorders>
            <w:shd w:val="clear" w:color="auto" w:fill="FFFFFF"/>
            <w:noWrap w:val="0"/>
            <w:vAlign w:val="top"/>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总工会、</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人力社保局、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经济信息委、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应急局</w:t>
            </w:r>
          </w:p>
        </w:tc>
        <w:tc>
          <w:tcPr>
            <w:tcW w:w="5486" w:type="dxa"/>
            <w:tcBorders>
              <w:top w:val="single" w:color="auto" w:sz="4" w:space="0"/>
              <w:left w:val="single" w:color="auto" w:sz="4" w:space="0"/>
              <w:righ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委宣传部、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教委、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规划自然资源局、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生态环境局、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农业农村委、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商务委、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文化旅游委、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卫生健康委、</w:t>
            </w:r>
            <w:r>
              <w:rPr>
                <w:rFonts w:ascii="Times New Roman" w:hAnsi="Times New Roman" w:eastAsia="方正仿宋_GBK" w:cs="Times New Roman"/>
                <w:sz w:val="24"/>
                <w:szCs w:val="24"/>
                <w:lang w:eastAsia="zh-CN"/>
              </w:rPr>
              <w:t>县市</w:t>
            </w:r>
            <w:r>
              <w:rPr>
                <w:rFonts w:ascii="Times New Roman" w:hAnsi="Times New Roman" w:eastAsia="方正仿宋_GBK" w:cs="Times New Roman"/>
                <w:sz w:val="24"/>
                <w:szCs w:val="24"/>
              </w:rPr>
              <w:t>场监管局、团</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妇联、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科协、</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气象局</w:t>
            </w:r>
          </w:p>
        </w:tc>
      </w:tr>
      <w:tr>
        <w:tblPrEx>
          <w:tblCellMar>
            <w:top w:w="0" w:type="dxa"/>
            <w:left w:w="10" w:type="dxa"/>
            <w:bottom w:w="0" w:type="dxa"/>
            <w:right w:w="10" w:type="dxa"/>
          </w:tblCellMar>
        </w:tblPrEx>
        <w:trPr>
          <w:trHeight w:val="1915" w:hRule="exact"/>
          <w:jc w:val="center"/>
        </w:trPr>
        <w:tc>
          <w:tcPr>
            <w:tcW w:w="756" w:type="dxa"/>
            <w:vMerge w:val="continue"/>
            <w:tcBorders>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p>
        </w:tc>
        <w:tc>
          <w:tcPr>
            <w:tcW w:w="1346"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val="en-US" w:eastAsia="zh-CN"/>
              </w:rPr>
              <w:t>4.</w:t>
            </w:r>
            <w:r>
              <w:rPr>
                <w:rFonts w:ascii="Times New Roman" w:hAnsi="Times New Roman" w:eastAsia="方正仿宋_GBK" w:cs="Times New Roman"/>
                <w:sz w:val="24"/>
                <w:szCs w:val="24"/>
              </w:rPr>
              <w:t>实施老年人科学素质提升行动</w:t>
            </w:r>
          </w:p>
        </w:tc>
        <w:tc>
          <w:tcPr>
            <w:tcW w:w="1411"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科协、</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卫生健康委、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委网信办</w:t>
            </w:r>
          </w:p>
        </w:tc>
        <w:tc>
          <w:tcPr>
            <w:tcW w:w="5486" w:type="dxa"/>
            <w:tcBorders>
              <w:top w:val="single" w:color="auto" w:sz="4" w:space="0"/>
              <w:left w:val="single" w:color="auto" w:sz="4" w:space="0"/>
              <w:right w:val="single" w:color="auto" w:sz="4" w:space="0"/>
            </w:tcBorders>
            <w:shd w:val="clear" w:color="auto" w:fill="FFFFFF"/>
            <w:noWrap w:val="0"/>
            <w:vAlign w:val="top"/>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委宣传部、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委直属机关工委、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委老干</w:t>
            </w:r>
            <w:r>
              <w:rPr>
                <w:rFonts w:hint="eastAsia" w:ascii="Times New Roman" w:hAnsi="Times New Roman" w:eastAsia="方正仿宋_GBK" w:cs="Times New Roman"/>
                <w:sz w:val="24"/>
                <w:szCs w:val="24"/>
                <w:lang w:val="en-US" w:eastAsia="zh-CN"/>
              </w:rPr>
              <w:t>部</w:t>
            </w:r>
            <w:bookmarkStart w:id="5" w:name="_GoBack"/>
            <w:bookmarkEnd w:id="5"/>
            <w:r>
              <w:rPr>
                <w:rFonts w:ascii="Times New Roman" w:hAnsi="Times New Roman" w:eastAsia="方正仿宋_GBK" w:cs="Times New Roman"/>
                <w:sz w:val="24"/>
                <w:szCs w:val="24"/>
              </w:rPr>
              <w:t>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教委、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经济信息委、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民族宗教委、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民政局、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人力社保局、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规划自然资源局、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生态环境局、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文化旅游委、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应急局、</w:t>
            </w:r>
            <w:r>
              <w:rPr>
                <w:rFonts w:ascii="Times New Roman" w:hAnsi="Times New Roman" w:eastAsia="方正仿宋_GBK" w:cs="Times New Roman"/>
                <w:sz w:val="24"/>
                <w:szCs w:val="24"/>
                <w:lang w:eastAsia="zh-CN"/>
              </w:rPr>
              <w:t>县市</w:t>
            </w:r>
            <w:r>
              <w:rPr>
                <w:rFonts w:ascii="Times New Roman" w:hAnsi="Times New Roman" w:eastAsia="方正仿宋_GBK" w:cs="Times New Roman"/>
                <w:sz w:val="24"/>
                <w:szCs w:val="24"/>
              </w:rPr>
              <w:t>场监管局、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总工会、</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妇联、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气象局</w:t>
            </w:r>
          </w:p>
        </w:tc>
      </w:tr>
      <w:tr>
        <w:tblPrEx>
          <w:tblCellMar>
            <w:top w:w="0" w:type="dxa"/>
            <w:left w:w="10" w:type="dxa"/>
            <w:bottom w:w="0" w:type="dxa"/>
            <w:right w:w="10" w:type="dxa"/>
          </w:tblCellMar>
        </w:tblPrEx>
        <w:trPr>
          <w:trHeight w:val="1937" w:hRule="exact"/>
          <w:jc w:val="center"/>
        </w:trPr>
        <w:tc>
          <w:tcPr>
            <w:tcW w:w="756" w:type="dxa"/>
            <w:vMerge w:val="continue"/>
            <w:tcBorders>
              <w:left w:val="single" w:color="auto" w:sz="4" w:space="0"/>
              <w:bottom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p>
        </w:tc>
        <w:tc>
          <w:tcPr>
            <w:tcW w:w="1346" w:type="dxa"/>
            <w:tcBorders>
              <w:top w:val="single" w:color="auto" w:sz="4" w:space="0"/>
              <w:left w:val="single" w:color="auto" w:sz="4" w:space="0"/>
              <w:bottom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val="en-US" w:eastAsia="zh-CN"/>
              </w:rPr>
              <w:t>5.</w:t>
            </w:r>
            <w:r>
              <w:rPr>
                <w:rFonts w:ascii="Times New Roman" w:hAnsi="Times New Roman" w:eastAsia="方正仿宋_GBK" w:cs="Times New Roman"/>
                <w:sz w:val="24"/>
                <w:szCs w:val="24"/>
              </w:rPr>
              <w:t>实施领导干部和公务员科学素质提升行动</w:t>
            </w:r>
          </w:p>
        </w:tc>
        <w:tc>
          <w:tcPr>
            <w:tcW w:w="1411" w:type="dxa"/>
            <w:tcBorders>
              <w:top w:val="single" w:color="auto" w:sz="4" w:space="0"/>
              <w:left w:val="single" w:color="auto" w:sz="4" w:space="0"/>
              <w:bottom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委组织部、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人力社保局、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科协</w:t>
            </w:r>
          </w:p>
        </w:tc>
        <w:tc>
          <w:tcPr>
            <w:tcW w:w="548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委宣传部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委直属机关工委、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lang w:val="en-US" w:eastAsia="zh-CN"/>
              </w:rPr>
              <w:t>经济信息委</w:t>
            </w:r>
            <w:r>
              <w:rPr>
                <w:rFonts w:ascii="Times New Roman" w:hAnsi="Times New Roman" w:eastAsia="方正仿宋_GBK" w:cs="Times New Roman"/>
                <w:sz w:val="24"/>
                <w:szCs w:val="24"/>
              </w:rPr>
              <w:t>、</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规划自然资源局、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生态环境局、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文化旅游委、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卫生健康委、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应急局、</w:t>
            </w:r>
            <w:r>
              <w:rPr>
                <w:rFonts w:ascii="Times New Roman" w:hAnsi="Times New Roman" w:eastAsia="方正仿宋_GBK" w:cs="Times New Roman"/>
                <w:sz w:val="24"/>
                <w:szCs w:val="24"/>
                <w:lang w:eastAsia="zh-CN"/>
              </w:rPr>
              <w:t>县市</w:t>
            </w:r>
            <w:r>
              <w:rPr>
                <w:rFonts w:ascii="Times New Roman" w:hAnsi="Times New Roman" w:eastAsia="方正仿宋_GBK" w:cs="Times New Roman"/>
                <w:sz w:val="24"/>
                <w:szCs w:val="24"/>
              </w:rPr>
              <w:t>场监管局、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总工会、团</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妇联、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社科联、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委党校、</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气象局</w:t>
            </w:r>
          </w:p>
        </w:tc>
      </w:tr>
    </w:tbl>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br w:type="page"/>
      </w:r>
    </w:p>
    <w:tbl>
      <w:tblPr>
        <w:tblStyle w:val="6"/>
        <w:tblW w:w="0" w:type="auto"/>
        <w:jc w:val="center"/>
        <w:tblLayout w:type="fixed"/>
        <w:tblCellMar>
          <w:top w:w="0" w:type="dxa"/>
          <w:left w:w="10" w:type="dxa"/>
          <w:bottom w:w="0" w:type="dxa"/>
          <w:right w:w="10" w:type="dxa"/>
        </w:tblCellMar>
      </w:tblPr>
      <w:tblGrid>
        <w:gridCol w:w="756"/>
        <w:gridCol w:w="1346"/>
        <w:gridCol w:w="1418"/>
        <w:gridCol w:w="5494"/>
      </w:tblGrid>
      <w:tr>
        <w:tblPrEx>
          <w:tblCellMar>
            <w:top w:w="0" w:type="dxa"/>
            <w:left w:w="10" w:type="dxa"/>
            <w:bottom w:w="0" w:type="dxa"/>
            <w:right w:w="10" w:type="dxa"/>
          </w:tblCellMar>
        </w:tblPrEx>
        <w:trPr>
          <w:trHeight w:val="598" w:hRule="exact"/>
          <w:jc w:val="center"/>
        </w:trPr>
        <w:tc>
          <w:tcPr>
            <w:tcW w:w="756" w:type="dxa"/>
            <w:tcBorders>
              <w:top w:val="single" w:color="auto" w:sz="4" w:space="0"/>
              <w:left w:val="single" w:color="auto" w:sz="4" w:space="0"/>
            </w:tcBorders>
            <w:shd w:val="clear" w:color="auto" w:fill="FFFFFF"/>
            <w:noWrap w:val="0"/>
            <w:vAlign w:val="center"/>
          </w:tcPr>
          <w:p>
            <w:pPr>
              <w:pStyle w:val="1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类别</w:t>
            </w:r>
          </w:p>
        </w:tc>
        <w:tc>
          <w:tcPr>
            <w:tcW w:w="1346" w:type="dxa"/>
            <w:tcBorders>
              <w:top w:val="single" w:color="auto" w:sz="4" w:space="0"/>
              <w:left w:val="single" w:color="auto" w:sz="4" w:space="0"/>
            </w:tcBorders>
            <w:shd w:val="clear" w:color="auto" w:fill="FFFFFF"/>
            <w:noWrap w:val="0"/>
            <w:vAlign w:val="center"/>
          </w:tcPr>
          <w:p>
            <w:pPr>
              <w:pStyle w:val="1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任务内容</w:t>
            </w:r>
          </w:p>
        </w:tc>
        <w:tc>
          <w:tcPr>
            <w:tcW w:w="1418" w:type="dxa"/>
            <w:tcBorders>
              <w:top w:val="single" w:color="auto" w:sz="4" w:space="0"/>
              <w:left w:val="single" w:color="auto" w:sz="4" w:space="0"/>
            </w:tcBorders>
            <w:shd w:val="clear" w:color="auto" w:fill="FFFFFF"/>
            <w:noWrap w:val="0"/>
            <w:vAlign w:val="center"/>
          </w:tcPr>
          <w:p>
            <w:pPr>
              <w:pStyle w:val="1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牵头部门</w:t>
            </w:r>
          </w:p>
        </w:tc>
        <w:tc>
          <w:tcPr>
            <w:tcW w:w="5494" w:type="dxa"/>
            <w:tcBorders>
              <w:top w:val="single" w:color="auto" w:sz="4" w:space="0"/>
              <w:left w:val="single" w:color="auto" w:sz="4" w:space="0"/>
              <w:right w:val="single" w:color="auto" w:sz="4" w:space="0"/>
            </w:tcBorders>
            <w:shd w:val="clear" w:color="auto" w:fill="FFFFFF"/>
            <w:noWrap w:val="0"/>
            <w:vAlign w:val="center"/>
          </w:tcPr>
          <w:p>
            <w:pPr>
              <w:pStyle w:val="1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责任部门</w:t>
            </w:r>
          </w:p>
        </w:tc>
      </w:tr>
      <w:tr>
        <w:tblPrEx>
          <w:tblCellMar>
            <w:top w:w="0" w:type="dxa"/>
            <w:left w:w="10" w:type="dxa"/>
            <w:bottom w:w="0" w:type="dxa"/>
            <w:right w:w="10" w:type="dxa"/>
          </w:tblCellMar>
        </w:tblPrEx>
        <w:trPr>
          <w:trHeight w:val="2628" w:hRule="exact"/>
          <w:jc w:val="center"/>
        </w:trPr>
        <w:tc>
          <w:tcPr>
            <w:tcW w:w="756" w:type="dxa"/>
            <w:vMerge w:val="restart"/>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重点</w:t>
            </w:r>
          </w:p>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工程</w:t>
            </w:r>
          </w:p>
        </w:tc>
        <w:tc>
          <w:tcPr>
            <w:tcW w:w="1346"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val="en-US" w:eastAsia="zh-CN"/>
              </w:rPr>
              <w:t>1.</w:t>
            </w:r>
            <w:r>
              <w:rPr>
                <w:rFonts w:ascii="Times New Roman" w:hAnsi="Times New Roman" w:eastAsia="方正仿宋_GBK" w:cs="Times New Roman"/>
                <w:sz w:val="24"/>
                <w:szCs w:val="24"/>
              </w:rPr>
              <w:t>实施科技资源科普化工程</w:t>
            </w:r>
          </w:p>
        </w:tc>
        <w:tc>
          <w:tcPr>
            <w:tcW w:w="1418"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lang w:val="en-US" w:eastAsia="zh-CN"/>
              </w:rPr>
              <w:t>经济信息委</w:t>
            </w:r>
            <w:r>
              <w:rPr>
                <w:rFonts w:ascii="Times New Roman" w:hAnsi="Times New Roman" w:eastAsia="方正仿宋_GBK" w:cs="Times New Roman"/>
                <w:sz w:val="24"/>
                <w:szCs w:val="24"/>
              </w:rPr>
              <w:t>、</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科协</w:t>
            </w:r>
          </w:p>
        </w:tc>
        <w:tc>
          <w:tcPr>
            <w:tcW w:w="5494" w:type="dxa"/>
            <w:tcBorders>
              <w:top w:val="single" w:color="auto" w:sz="4" w:space="0"/>
              <w:left w:val="single" w:color="auto" w:sz="4" w:space="0"/>
              <w:right w:val="single" w:color="auto" w:sz="4" w:space="0"/>
            </w:tcBorders>
            <w:shd w:val="clear" w:color="auto" w:fill="FFFFFF"/>
            <w:noWrap w:val="0"/>
            <w:vAlign w:val="top"/>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委组织部、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委宣传部、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发展改革委、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教委、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民政局、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财政局、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人力社保局、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规划自然资源局、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生态环境局、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住房城乡建委、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城</w:t>
            </w:r>
            <w:r>
              <w:rPr>
                <w:rFonts w:ascii="Times New Roman" w:hAnsi="Times New Roman" w:eastAsia="方正仿宋_GBK" w:cs="Times New Roman"/>
                <w:sz w:val="24"/>
                <w:szCs w:val="24"/>
                <w:lang w:eastAsia="zh-CN"/>
              </w:rPr>
              <w:t>市</w:t>
            </w:r>
            <w:r>
              <w:rPr>
                <w:rFonts w:ascii="Times New Roman" w:hAnsi="Times New Roman" w:eastAsia="方正仿宋_GBK" w:cs="Times New Roman"/>
                <w:sz w:val="24"/>
                <w:szCs w:val="24"/>
              </w:rPr>
              <w:t>管理局、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农业农村委、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文化旅游委、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卫生健康委、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应急局、</w:t>
            </w:r>
            <w:r>
              <w:rPr>
                <w:rFonts w:ascii="Times New Roman" w:hAnsi="Times New Roman" w:eastAsia="方正仿宋_GBK" w:cs="Times New Roman"/>
                <w:sz w:val="24"/>
                <w:szCs w:val="24"/>
                <w:lang w:eastAsia="zh-CN"/>
              </w:rPr>
              <w:t>县市</w:t>
            </w:r>
            <w:r>
              <w:rPr>
                <w:rFonts w:ascii="Times New Roman" w:hAnsi="Times New Roman" w:eastAsia="方正仿宋_GBK" w:cs="Times New Roman"/>
                <w:sz w:val="24"/>
                <w:szCs w:val="24"/>
              </w:rPr>
              <w:t>场监管局、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人民防空办、</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总工会、团</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妇联、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社科联、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气象局</w:t>
            </w:r>
          </w:p>
        </w:tc>
      </w:tr>
      <w:tr>
        <w:tblPrEx>
          <w:tblCellMar>
            <w:top w:w="0" w:type="dxa"/>
            <w:left w:w="10" w:type="dxa"/>
            <w:bottom w:w="0" w:type="dxa"/>
            <w:right w:w="10" w:type="dxa"/>
          </w:tblCellMar>
        </w:tblPrEx>
        <w:trPr>
          <w:trHeight w:val="1915" w:hRule="exact"/>
          <w:jc w:val="center"/>
        </w:trPr>
        <w:tc>
          <w:tcPr>
            <w:tcW w:w="756" w:type="dxa"/>
            <w:vMerge w:val="continue"/>
            <w:tcBorders>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p>
        </w:tc>
        <w:tc>
          <w:tcPr>
            <w:tcW w:w="1346"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val="en-US" w:eastAsia="zh-CN"/>
              </w:rPr>
              <w:t>2.</w:t>
            </w:r>
            <w:r>
              <w:rPr>
                <w:rFonts w:ascii="Times New Roman" w:hAnsi="Times New Roman" w:eastAsia="方正仿宋_GBK" w:cs="Times New Roman"/>
                <w:sz w:val="24"/>
                <w:szCs w:val="24"/>
              </w:rPr>
              <w:t>实施科普信息化提升工程</w:t>
            </w:r>
          </w:p>
        </w:tc>
        <w:tc>
          <w:tcPr>
            <w:tcW w:w="1418"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委宣</w:t>
            </w:r>
            <w:r>
              <w:rPr>
                <w:rFonts w:ascii="Times New Roman" w:hAnsi="Times New Roman" w:eastAsia="方正仿宋_GBK" w:cs="Times New Roman"/>
                <w:sz w:val="24"/>
                <w:szCs w:val="24"/>
                <w:lang w:val="en-US" w:eastAsia="zh-CN"/>
              </w:rPr>
              <w:t>传部</w:t>
            </w:r>
            <w:r>
              <w:rPr>
                <w:rFonts w:ascii="Times New Roman" w:hAnsi="Times New Roman" w:eastAsia="方正仿宋_GBK" w:cs="Times New Roman"/>
                <w:sz w:val="24"/>
                <w:szCs w:val="24"/>
              </w:rPr>
              <w:t>、</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科协、</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lang w:val="en-US" w:eastAsia="zh-CN"/>
              </w:rPr>
              <w:t>经济信息委</w:t>
            </w:r>
          </w:p>
        </w:tc>
        <w:tc>
          <w:tcPr>
            <w:tcW w:w="5494" w:type="dxa"/>
            <w:tcBorders>
              <w:top w:val="single" w:color="auto" w:sz="4" w:space="0"/>
              <w:left w:val="single" w:color="auto" w:sz="4" w:space="0"/>
              <w:right w:val="single" w:color="auto" w:sz="4" w:space="0"/>
            </w:tcBorders>
            <w:shd w:val="clear" w:color="auto" w:fill="FFFFFF"/>
            <w:noWrap w:val="0"/>
            <w:vAlign w:val="top"/>
          </w:tcPr>
          <w:p>
            <w:pPr>
              <w:pStyle w:val="10"/>
              <w:spacing w:line="359" w:lineRule="exact"/>
              <w:rPr>
                <w:rFonts w:ascii="Times New Roman" w:hAnsi="Times New Roman" w:eastAsia="方正仿宋_GBK" w:cs="Times New Roman"/>
                <w:sz w:val="24"/>
                <w:szCs w:val="24"/>
                <w:lang w:val="en-US" w:eastAsia="zh-CN"/>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委网信办、</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发展改革委、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财政局、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规划自然资源局、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生态环境局、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文化旅游委、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卫生健康委、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应急局、</w:t>
            </w:r>
            <w:r>
              <w:rPr>
                <w:rFonts w:ascii="Times New Roman" w:hAnsi="Times New Roman" w:eastAsia="方正仿宋_GBK" w:cs="Times New Roman"/>
                <w:sz w:val="24"/>
                <w:szCs w:val="24"/>
                <w:lang w:eastAsia="zh-CN"/>
              </w:rPr>
              <w:t>县市</w:t>
            </w:r>
            <w:r>
              <w:rPr>
                <w:rFonts w:ascii="Times New Roman" w:hAnsi="Times New Roman" w:eastAsia="方正仿宋_GBK" w:cs="Times New Roman"/>
                <w:sz w:val="24"/>
                <w:szCs w:val="24"/>
              </w:rPr>
              <w:t>场监管局、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社科联、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文联、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气象局</w:t>
            </w: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lang w:val="en-US" w:eastAsia="zh-CN"/>
              </w:rPr>
              <w:t>县融媒体中心</w:t>
            </w:r>
          </w:p>
        </w:tc>
      </w:tr>
      <w:tr>
        <w:tblPrEx>
          <w:tblCellMar>
            <w:top w:w="0" w:type="dxa"/>
            <w:left w:w="10" w:type="dxa"/>
            <w:bottom w:w="0" w:type="dxa"/>
            <w:right w:w="10" w:type="dxa"/>
          </w:tblCellMar>
        </w:tblPrEx>
        <w:trPr>
          <w:trHeight w:val="2628" w:hRule="exact"/>
          <w:jc w:val="center"/>
        </w:trPr>
        <w:tc>
          <w:tcPr>
            <w:tcW w:w="756" w:type="dxa"/>
            <w:vMerge w:val="continue"/>
            <w:tcBorders>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p>
        </w:tc>
        <w:tc>
          <w:tcPr>
            <w:tcW w:w="1346"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val="en-US" w:eastAsia="zh-CN"/>
              </w:rPr>
              <w:t>3.</w:t>
            </w:r>
            <w:r>
              <w:rPr>
                <w:rFonts w:ascii="Times New Roman" w:hAnsi="Times New Roman" w:eastAsia="方正仿宋_GBK" w:cs="Times New Roman"/>
                <w:sz w:val="24"/>
                <w:szCs w:val="24"/>
              </w:rPr>
              <w:t>实施科普基础设施工程</w:t>
            </w:r>
          </w:p>
        </w:tc>
        <w:tc>
          <w:tcPr>
            <w:tcW w:w="1418"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lang w:val="en-US" w:eastAsia="zh-CN"/>
              </w:rPr>
              <w:t>经济信息委</w:t>
            </w:r>
            <w:r>
              <w:rPr>
                <w:rFonts w:ascii="Times New Roman" w:hAnsi="Times New Roman" w:eastAsia="方正仿宋_GBK" w:cs="Times New Roman"/>
                <w:sz w:val="24"/>
                <w:szCs w:val="24"/>
              </w:rPr>
              <w:t>、</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科协</w:t>
            </w:r>
          </w:p>
        </w:tc>
        <w:tc>
          <w:tcPr>
            <w:tcW w:w="5494" w:type="dxa"/>
            <w:tcBorders>
              <w:top w:val="single" w:color="auto" w:sz="4" w:space="0"/>
              <w:left w:val="single" w:color="auto" w:sz="4" w:space="0"/>
              <w:right w:val="single" w:color="auto" w:sz="4" w:space="0"/>
            </w:tcBorders>
            <w:shd w:val="clear" w:color="auto" w:fill="FFFFFF"/>
            <w:noWrap w:val="0"/>
            <w:vAlign w:val="top"/>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委宣传部、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发展改革委、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教委、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民政局、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财政局、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规划自然资源局、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生态环境局、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住房城乡建委、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城</w:t>
            </w:r>
            <w:r>
              <w:rPr>
                <w:rFonts w:ascii="Times New Roman" w:hAnsi="Times New Roman" w:eastAsia="方正仿宋_GBK" w:cs="Times New Roman"/>
                <w:sz w:val="24"/>
                <w:szCs w:val="24"/>
                <w:lang w:val="en-US" w:eastAsia="zh-CN"/>
              </w:rPr>
              <w:t>市</w:t>
            </w:r>
            <w:r>
              <w:rPr>
                <w:rFonts w:ascii="Times New Roman" w:hAnsi="Times New Roman" w:eastAsia="方正仿宋_GBK" w:cs="Times New Roman"/>
                <w:sz w:val="24"/>
                <w:szCs w:val="24"/>
              </w:rPr>
              <w:t>管理局、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交通局、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水利局、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农业农村委、</w:t>
            </w:r>
            <w:r>
              <w:rPr>
                <w:rFonts w:ascii="Times New Roman" w:hAnsi="Times New Roman" w:eastAsia="方正仿宋_GBK" w:cs="Times New Roman"/>
                <w:sz w:val="24"/>
                <w:szCs w:val="24"/>
                <w:lang w:val="en-US" w:eastAsia="zh-CN"/>
              </w:rPr>
              <w:t>县林业局、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文化旅游委、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卫生健康委、</w:t>
            </w:r>
            <w:r>
              <w:rPr>
                <w:rFonts w:ascii="Times New Roman" w:hAnsi="Times New Roman" w:eastAsia="方正仿宋_GBK" w:cs="Times New Roman"/>
                <w:sz w:val="24"/>
                <w:szCs w:val="24"/>
                <w:lang w:eastAsia="zh-CN"/>
              </w:rPr>
              <w:t>县市</w:t>
            </w:r>
            <w:r>
              <w:rPr>
                <w:rFonts w:ascii="Times New Roman" w:hAnsi="Times New Roman" w:eastAsia="方正仿宋_GBK" w:cs="Times New Roman"/>
                <w:sz w:val="24"/>
                <w:szCs w:val="24"/>
              </w:rPr>
              <w:t>场监管局、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应急局、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人民防空办、团</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妇联、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社科联、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气象局</w:t>
            </w:r>
          </w:p>
        </w:tc>
      </w:tr>
      <w:tr>
        <w:tblPrEx>
          <w:tblCellMar>
            <w:top w:w="0" w:type="dxa"/>
            <w:left w:w="10" w:type="dxa"/>
            <w:bottom w:w="0" w:type="dxa"/>
            <w:right w:w="10" w:type="dxa"/>
          </w:tblCellMar>
        </w:tblPrEx>
        <w:trPr>
          <w:trHeight w:val="1908" w:hRule="exact"/>
          <w:jc w:val="center"/>
        </w:trPr>
        <w:tc>
          <w:tcPr>
            <w:tcW w:w="756" w:type="dxa"/>
            <w:vMerge w:val="continue"/>
            <w:tcBorders>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p>
        </w:tc>
        <w:tc>
          <w:tcPr>
            <w:tcW w:w="1346"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val="en-US" w:eastAsia="zh-CN"/>
              </w:rPr>
              <w:t>4.</w:t>
            </w:r>
            <w:r>
              <w:rPr>
                <w:rFonts w:ascii="Times New Roman" w:hAnsi="Times New Roman" w:eastAsia="方正仿宋_GBK" w:cs="Times New Roman"/>
                <w:sz w:val="24"/>
                <w:szCs w:val="24"/>
              </w:rPr>
              <w:t>实施基层科普能力提升工程</w:t>
            </w:r>
          </w:p>
        </w:tc>
        <w:tc>
          <w:tcPr>
            <w:tcW w:w="1418" w:type="dxa"/>
            <w:tcBorders>
              <w:top w:val="single" w:color="auto" w:sz="4" w:space="0"/>
              <w:left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科协、</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应急局、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lang w:val="en-US" w:eastAsia="zh-CN"/>
              </w:rPr>
              <w:t>经济信息委</w:t>
            </w:r>
            <w:r>
              <w:rPr>
                <w:rFonts w:ascii="Times New Roman" w:hAnsi="Times New Roman" w:eastAsia="方正仿宋_GBK" w:cs="Times New Roman"/>
                <w:sz w:val="24"/>
                <w:szCs w:val="24"/>
              </w:rPr>
              <w:t>、</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卫生健康委</w:t>
            </w:r>
          </w:p>
        </w:tc>
        <w:tc>
          <w:tcPr>
            <w:tcW w:w="5494" w:type="dxa"/>
            <w:tcBorders>
              <w:top w:val="single" w:color="auto" w:sz="4" w:space="0"/>
              <w:left w:val="single" w:color="auto" w:sz="4" w:space="0"/>
              <w:right w:val="single" w:color="auto" w:sz="4" w:space="0"/>
            </w:tcBorders>
            <w:shd w:val="clear" w:color="auto" w:fill="FFFFFF"/>
            <w:noWrap w:val="0"/>
            <w:vAlign w:val="top"/>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委宣传部、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委网信办、</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教委、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民政局、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财政局、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人力社保局、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规划自然资源局、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生态环境局、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文化旅游委、</w:t>
            </w:r>
            <w:r>
              <w:rPr>
                <w:rFonts w:ascii="Times New Roman" w:hAnsi="Times New Roman" w:eastAsia="方正仿宋_GBK" w:cs="Times New Roman"/>
                <w:sz w:val="24"/>
                <w:szCs w:val="24"/>
                <w:lang w:eastAsia="zh-CN"/>
              </w:rPr>
              <w:t>县市</w:t>
            </w:r>
            <w:r>
              <w:rPr>
                <w:rFonts w:ascii="Times New Roman" w:hAnsi="Times New Roman" w:eastAsia="方正仿宋_GBK" w:cs="Times New Roman"/>
                <w:sz w:val="24"/>
                <w:szCs w:val="24"/>
              </w:rPr>
              <w:t>场监管局、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总工会、团</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妇联、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社科联、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文联、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气象局</w:t>
            </w:r>
          </w:p>
        </w:tc>
      </w:tr>
      <w:tr>
        <w:tblPrEx>
          <w:tblCellMar>
            <w:top w:w="0" w:type="dxa"/>
            <w:left w:w="10" w:type="dxa"/>
            <w:bottom w:w="0" w:type="dxa"/>
            <w:right w:w="10" w:type="dxa"/>
          </w:tblCellMar>
        </w:tblPrEx>
        <w:trPr>
          <w:trHeight w:val="1577" w:hRule="exact"/>
          <w:jc w:val="center"/>
        </w:trPr>
        <w:tc>
          <w:tcPr>
            <w:tcW w:w="756" w:type="dxa"/>
            <w:vMerge w:val="continue"/>
            <w:tcBorders>
              <w:left w:val="single" w:color="auto" w:sz="4" w:space="0"/>
              <w:bottom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p>
        </w:tc>
        <w:tc>
          <w:tcPr>
            <w:tcW w:w="1346" w:type="dxa"/>
            <w:tcBorders>
              <w:top w:val="single" w:color="auto" w:sz="4" w:space="0"/>
              <w:left w:val="single" w:color="auto" w:sz="4" w:space="0"/>
              <w:bottom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val="en-US" w:eastAsia="zh-CN"/>
              </w:rPr>
              <w:t>5.</w:t>
            </w:r>
            <w:r>
              <w:rPr>
                <w:rFonts w:ascii="Times New Roman" w:hAnsi="Times New Roman" w:eastAsia="方正仿宋_GBK" w:cs="Times New Roman"/>
                <w:sz w:val="24"/>
                <w:szCs w:val="24"/>
              </w:rPr>
              <w:t>实施科学素质开放合作工程</w:t>
            </w:r>
          </w:p>
        </w:tc>
        <w:tc>
          <w:tcPr>
            <w:tcW w:w="1418" w:type="dxa"/>
            <w:tcBorders>
              <w:top w:val="single" w:color="auto" w:sz="4" w:space="0"/>
              <w:left w:val="single" w:color="auto" w:sz="4" w:space="0"/>
              <w:bottom w:val="single" w:color="auto" w:sz="4" w:space="0"/>
            </w:tcBorders>
            <w:shd w:val="clear" w:color="auto" w:fill="FFFFFF"/>
            <w:noWrap w:val="0"/>
            <w:vAlign w:val="center"/>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科协、</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lang w:val="en-US" w:eastAsia="zh-CN"/>
              </w:rPr>
              <w:t>经济信息委</w:t>
            </w:r>
          </w:p>
        </w:tc>
        <w:tc>
          <w:tcPr>
            <w:tcW w:w="549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0"/>
              <w:spacing w:line="359"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委组织部、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委宣传部、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委统战部、</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教委、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民政局、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人力社保局、</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文化旅游委、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政府外办、</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总工会、团</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妇联、</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气象局</w:t>
            </w:r>
            <w:r>
              <w:rPr>
                <w:rFonts w:hint="eastAsia" w:ascii="Times New Roman" w:hAnsi="Times New Roman" w:eastAsia="方正仿宋_GBK" w:cs="Times New Roman"/>
                <w:sz w:val="24"/>
                <w:szCs w:val="24"/>
                <w:lang w:eastAsia="zh-CN"/>
              </w:rPr>
              <w:t>、</w:t>
            </w:r>
            <w:r>
              <w:rPr>
                <w:rFonts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乡村振兴局</w:t>
            </w:r>
          </w:p>
        </w:tc>
      </w:tr>
    </w:tbl>
    <w:p>
      <w:pPr>
        <w:autoSpaceDE w:val="0"/>
        <w:autoSpaceDN w:val="0"/>
        <w:adjustRightInd w:val="0"/>
        <w:spacing w:line="600" w:lineRule="exact"/>
        <w:rPr>
          <w:rFonts w:eastAsia="方正仿宋_GBK"/>
          <w:kern w:val="0"/>
          <w:szCs w:val="32"/>
          <w:shd w:val="clear" w:color="auto" w:fill="FFFFFF"/>
          <w:lang w:bidi="ar"/>
        </w:rPr>
      </w:pPr>
    </w:p>
    <w:p>
      <w:pPr>
        <w:autoSpaceDE w:val="0"/>
        <w:autoSpaceDN w:val="0"/>
        <w:adjustRightInd w:val="0"/>
        <w:spacing w:line="600" w:lineRule="exact"/>
        <w:rPr>
          <w:rFonts w:eastAsia="方正仿宋_GBK"/>
          <w:kern w:val="0"/>
          <w:szCs w:val="32"/>
          <w:shd w:val="clear" w:color="auto" w:fill="FFFFFF"/>
          <w:lang w:bidi="ar"/>
        </w:rPr>
      </w:pPr>
    </w:p>
    <w:p>
      <w:pPr>
        <w:autoSpaceDE w:val="0"/>
        <w:autoSpaceDN w:val="0"/>
        <w:adjustRightInd w:val="0"/>
        <w:spacing w:line="600" w:lineRule="exact"/>
        <w:rPr>
          <w:rFonts w:eastAsia="方正仿宋_GBK"/>
          <w:kern w:val="0"/>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spacing w:line="600" w:lineRule="exact"/>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Style w:val="11"/>
        <w:rPr>
          <w:rFonts w:eastAsia="方正仿宋_GBK"/>
          <w:kern w:val="0"/>
          <w:sz w:val="32"/>
          <w:szCs w:val="32"/>
          <w:shd w:val="clear" w:color="auto" w:fill="FFFFFF"/>
          <w:lang w:bidi="ar"/>
        </w:rPr>
      </w:pPr>
    </w:p>
    <w:p>
      <w:pPr>
        <w:pBdr>
          <w:top w:val="none" w:color="auto" w:sz="0" w:space="1"/>
          <w:left w:val="none" w:color="auto" w:sz="0" w:space="4"/>
          <w:bottom w:val="none" w:color="auto" w:sz="0" w:space="1"/>
          <w:right w:val="none" w:color="auto" w:sz="0" w:space="4"/>
        </w:pBdr>
        <w:tabs>
          <w:tab w:val="right" w:pos="8844"/>
        </w:tabs>
        <w:spacing w:line="560" w:lineRule="exact"/>
        <w:ind w:left="1050" w:hanging="1050" w:hangingChars="500"/>
        <w:rPr>
          <w:rFonts w:eastAsia="方正仿宋_GBK"/>
          <w:sz w:val="28"/>
          <w:szCs w:val="28"/>
        </w:rPr>
      </w:pPr>
      <w:r>
        <w:rPr>
          <w:rFonts w:eastAsia="宋体"/>
          <w:sz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44450</wp:posOffset>
                </wp:positionV>
                <wp:extent cx="561975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97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5pt;height:0.05pt;width:442.5pt;z-index:251659264;mso-width-relative:page;mso-height-relative:page;" filled="f" stroked="t" coordsize="21600,21600" o:gfxdata="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mPgN0gAAAAQBAAAPAAAAAAAAAAEAIAAAACIAAABkcnMvZG93bnJldi54bWxQSwEC&#10;FAAUAAAACACHTuJA6MmuOvoBAAD0AwAADgAAAAAAAAABACAAAAAhAQAAZHJzL2Uyb0RvYy54bWxQ&#10;SwUGAAAAAAYABgBZAQAAjQUAAAAA&#10;">
                <v:fill on="f" focussize="0,0"/>
                <v:stroke color="#000000" joinstyle="round"/>
                <v:imagedata o:title=""/>
                <o:lock v:ext="edit" aspectratio="f"/>
              </v:line>
            </w:pict>
          </mc:Fallback>
        </mc:AlternateContent>
      </w:r>
      <w:r>
        <w:rPr>
          <w:rFonts w:eastAsia="宋体"/>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756920</wp:posOffset>
                </wp:positionV>
                <wp:extent cx="561975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97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59.6pt;height:0.05pt;width:442.5pt;z-index:251660288;mso-width-relative:page;mso-height-relative:page;" filled="f" stroked="t" coordsize="21600,21600" o:gfxdata="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r/H7g1AAAAAkBAAAPAAAAAAAAAAEAIAAAACIAAABkcnMvZG93bnJldi54bWxQ&#10;SwECFAAUAAAACACHTuJA6At9AvsBAAD0AwAADgAAAAAAAAABACAAAAAjAQAAZHJzL2Uyb0RvYy54&#10;bWxQSwUGAAAAAAYABgBZAQAAkAUAAAAA&#10;">
                <v:fill on="f" focussize="0,0"/>
                <v:stroke color="#000000" joinstyle="round"/>
                <v:imagedata o:title=""/>
                <o:lock v:ext="edit" aspectratio="f"/>
              </v:line>
            </w:pict>
          </mc:Fallback>
        </mc:AlternateContent>
      </w:r>
      <w:r>
        <w:rPr>
          <w:rFonts w:eastAsia="方正仿宋_GBK"/>
          <w:sz w:val="28"/>
          <w:szCs w:val="28"/>
        </w:rPr>
        <w:t xml:space="preserve"> 抄送：县委各部委，县人大办，县政协办，县监委，县法院，县检察院，县人武部，各人民团体。</w:t>
      </w:r>
    </w:p>
    <w:p>
      <w:pPr>
        <w:spacing w:line="560" w:lineRule="exact"/>
        <w:rPr>
          <w:rFonts w:eastAsia="方正仿宋_GBK"/>
          <w:sz w:val="33"/>
          <w:szCs w:val="33"/>
        </w:rPr>
      </w:pPr>
      <w:r>
        <w:rPr>
          <w:rFonts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401955</wp:posOffset>
                </wp:positionV>
                <wp:extent cx="561975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975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31.65pt;height:0.05pt;width:442.5pt;z-index:251661312;mso-width-relative:page;mso-height-relative:page;" filled="f" stroked="t" coordsize="21600,21600" o:gfxdata="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Id6wtQAAAAHAQAADwAAAAAAAAABACAAAAAiAAAAZHJzL2Rvd25yZXYueG1s&#10;UEsBAhQAFAAAAAgAh07iQOj9Vgr8AQAA9AMAAA4AAAAAAAAAAQAgAAAAIwEAAGRycy9lMm9Eb2Mu&#10;eG1sUEsFBgAAAAAGAAYAWQEAAJEFAAAAAA==&#10;">
                <v:fill on="f" focussize="0,0"/>
                <v:stroke color="#000000" joinstyle="round"/>
                <v:imagedata o:title=""/>
                <o:lock v:ext="edit" aspectratio="f"/>
              </v:line>
            </w:pict>
          </mc:Fallback>
        </mc:AlternateContent>
      </w:r>
      <w:r>
        <w:rPr>
          <w:rFonts w:eastAsia="方正仿宋_GBK"/>
          <w:sz w:val="28"/>
          <w:szCs w:val="28"/>
        </w:rPr>
        <w:t xml:space="preserve"> 彭水苗族土家族自治县人民政府办公室    2022年</w:t>
      </w:r>
      <w:r>
        <w:rPr>
          <w:rFonts w:hint="eastAsia" w:eastAsia="方正仿宋_GBK"/>
          <w:sz w:val="28"/>
          <w:szCs w:val="28"/>
        </w:rPr>
        <w:t>4</w:t>
      </w:r>
      <w:r>
        <w:rPr>
          <w:rFonts w:eastAsia="方正仿宋_GBK"/>
          <w:sz w:val="28"/>
          <w:szCs w:val="28"/>
        </w:rPr>
        <w:t>月</w:t>
      </w:r>
      <w:r>
        <w:rPr>
          <w:rFonts w:hint="eastAsia" w:eastAsia="方正仿宋_GBK"/>
          <w:sz w:val="28"/>
          <w:szCs w:val="28"/>
        </w:rPr>
        <w:t>21</w:t>
      </w:r>
      <w:r>
        <w:rPr>
          <w:rFonts w:eastAsia="方正仿宋_GBK"/>
          <w:sz w:val="28"/>
          <w:szCs w:val="28"/>
        </w:rPr>
        <w:t>日印发</w:t>
      </w:r>
    </w:p>
    <w:p/>
    <w:sectPr>
      <w:footerReference r:id="rId3" w:type="default"/>
      <w:footerReference r:id="rId4" w:type="even"/>
      <w:pgSz w:w="11906" w:h="16838"/>
      <w:pgMar w:top="2098" w:right="1588" w:bottom="1985" w:left="1474"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80" w:leftChars="150" w:right="480" w:rightChars="150"/>
      <w:rPr>
        <w:rStyle w:val="8"/>
        <w:sz w:val="28"/>
        <w:szCs w:val="28"/>
      </w:rPr>
    </w:pPr>
    <w:r>
      <w:rPr>
        <w:rStyle w:val="8"/>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1</w:t>
    </w:r>
    <w:r>
      <w:rPr>
        <w:sz w:val="28"/>
        <w:szCs w:val="28"/>
      </w:rPr>
      <w:fldChar w:fldCharType="end"/>
    </w:r>
    <w:r>
      <w:rPr>
        <w:rStyle w:val="8"/>
        <w:sz w:val="28"/>
        <w:szCs w:val="28"/>
      </w:rPr>
      <w:t xml:space="preserve"> —</w:t>
    </w:r>
  </w:p>
  <w:p>
    <w:pPr>
      <w:pStyle w:val="5"/>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80" w:leftChars="150" w:right="480" w:rightChars="15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NjkxNWUzZmFhYTQ0ZTdmYTUzMTlmZTYyMzk0MjAifQ=="/>
  </w:docVars>
  <w:rsids>
    <w:rsidRoot w:val="2BD41600"/>
    <w:rsid w:val="2BD41600"/>
    <w:rsid w:val="3E572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4"/>
    <w:qFormat/>
    <w:uiPriority w:val="0"/>
    <w:pPr>
      <w:spacing w:after="120" w:afterLines="0"/>
    </w:pPr>
    <w:rPr>
      <w:kern w:val="2"/>
      <w:sz w:val="21"/>
      <w:szCs w:val="24"/>
    </w:rPr>
  </w:style>
  <w:style w:type="paragraph" w:styleId="4">
    <w:name w:val="index 7"/>
    <w:basedOn w:val="1"/>
    <w:next w:val="1"/>
    <w:qFormat/>
    <w:uiPriority w:val="0"/>
    <w:pPr>
      <w:ind w:left="2520"/>
    </w:pPr>
  </w:style>
  <w:style w:type="paragraph" w:styleId="5">
    <w:name w:val="footer"/>
    <w:basedOn w:val="1"/>
    <w:unhideWhenUsed/>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
    <w:name w:val="Other|1"/>
    <w:basedOn w:val="1"/>
    <w:qFormat/>
    <w:uiPriority w:val="0"/>
    <w:pPr>
      <w:widowControl w:val="0"/>
      <w:shd w:val="clear" w:color="auto" w:fill="auto"/>
      <w:spacing w:line="358" w:lineRule="exact"/>
    </w:pPr>
    <w:rPr>
      <w:rFonts w:ascii="宋体" w:hAnsi="宋体" w:eastAsia="宋体" w:cs="宋体"/>
      <w:sz w:val="20"/>
      <w:szCs w:val="20"/>
      <w:u w:val="none"/>
      <w:shd w:val="clear" w:color="auto" w:fill="auto"/>
      <w:lang w:val="zh-TW" w:eastAsia="zh-TW" w:bidi="zh-TW"/>
    </w:rPr>
  </w:style>
  <w:style w:type="paragraph" w:customStyle="1" w:styleId="11">
    <w:name w:val="Normal Indent"/>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11498</Words>
  <Characters>11642</Characters>
  <Lines>0</Lines>
  <Paragraphs>0</Paragraphs>
  <TotalTime>0</TotalTime>
  <ScaleCrop>false</ScaleCrop>
  <LinksUpToDate>false</LinksUpToDate>
  <CharactersWithSpaces>11736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2023-06-13T02:07:00Z</dcterms:created>
  <dc:creator>秃尾巴狼</dc:creator>
  <cp:lastModifiedBy>秃尾巴狼</cp:lastModifiedBy>
  <dcterms:modified xsi:type="dcterms:W3CDTF">2023-09-20T01:17:16Z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86E2CFE34C3E4412997A47FE291C485B_11</vt:lpwstr>
  </property>
</Properties>
</file>