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833"/>
      </w:tblGrid>
      <w:tr w14:paraId="35A29C2E">
        <w:trPr>
          <w:trHeight w:val="1445" w:hRule="exact"/>
          <w:jc w:val="center"/>
        </w:trPr>
        <w:tc>
          <w:tcPr>
            <w:tcW w:w="8833" w:type="dxa"/>
            <w:noWrap w:val="0"/>
            <w:vAlign w:val="center"/>
          </w:tcPr>
          <w:p w14:paraId="7FA0155F">
            <w:pPr>
              <w:jc w:val="center"/>
              <w:rPr>
                <w:rFonts w:hint="eastAsia" w:eastAsia="方正小标宋_GBK"/>
                <w:b/>
                <w:color w:val="FF0000"/>
                <w:w w:val="44"/>
                <w:sz w:val="130"/>
                <w:szCs w:val="130"/>
              </w:rPr>
            </w:pPr>
            <w:bookmarkStart w:id="0" w:name="_Toc142890354"/>
            <w:r>
              <w:rPr>
                <w:b/>
                <w:bCs w:val="0"/>
                <w:w w:val="52"/>
                <w:sz w:val="96"/>
                <w:szCs w:val="9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913130</wp:posOffset>
                      </wp:positionV>
                      <wp:extent cx="5618480" cy="0"/>
                      <wp:effectExtent l="0" t="9525" r="1270" b="952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71.9pt;height:0pt;width:442.4pt;z-index:251659264;mso-width-relative:page;mso-height-relative:page;" filled="f" stroked="t" coordsize="21600,21600" o:gfxdata="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MRVu2QAAAAsBAAAPAAAAAAAAAAEAIAAAACIAAABkcnMvZG93bnJldi54bWxQ&#10;SwECFAAUAAAACACHTuJAsyby1PYBAADlAwAADgAAAAAAAAABACAAAAAoAQAAZHJzL2Uyb0RvYy54&#10;bWxQSwUGAAAAAAYABgBZAQAAkAUAAAAA&#10;">
                      <v:fill on="f" focussize="0,0"/>
                      <v:stroke weight="1.5pt" color="#FF0000" joinstyle="round"/>
                      <v:imagedata o:title=""/>
                      <o:lock v:ext="edit" aspectratio="f"/>
                    </v:line>
                  </w:pict>
                </mc:Fallback>
              </mc:AlternateContent>
            </w:r>
            <w:r>
              <w:rPr>
                <w:rFonts w:hint="eastAsia" w:eastAsia="方正小标宋_GBK"/>
                <w:b/>
                <w:bCs w:val="0"/>
                <w:color w:val="FF0000"/>
                <w:w w:val="52"/>
                <w:sz w:val="96"/>
                <w:szCs w:val="96"/>
              </w:rPr>
              <w:t>彭水苗族土家族自治县生态环境</w:t>
            </w:r>
            <w:r>
              <w:rPr>
                <w:rFonts w:hint="eastAsia" w:hAnsi="Times New Roman" w:eastAsia="方正小标宋_GBK" w:cs="Times New Roman"/>
                <w:b/>
                <w:bCs w:val="0"/>
                <w:color w:val="FF0000"/>
                <w:w w:val="52"/>
                <w:sz w:val="96"/>
                <w:szCs w:val="96"/>
              </w:rPr>
              <w:t>局</w:t>
            </w:r>
            <w:r>
              <w:rPr>
                <w:rFonts w:hint="eastAsia" w:hAnsi="Times New Roman" w:eastAsia="方正小标宋_GBK" w:cs="Times New Roman"/>
                <w:b/>
                <w:bCs w:val="0"/>
                <w:color w:val="FF0000"/>
                <w:w w:val="52"/>
                <w:sz w:val="96"/>
                <w:szCs w:val="96"/>
                <w:lang w:eastAsia="zh-CN"/>
              </w:rPr>
              <w:t>文</w:t>
            </w:r>
            <w:r>
              <w:rPr>
                <w:rFonts w:hint="eastAsia" w:eastAsia="方正小标宋_GBK"/>
                <w:b/>
                <w:bCs w:val="0"/>
                <w:color w:val="FF0000"/>
                <w:w w:val="52"/>
                <w:sz w:val="96"/>
                <w:szCs w:val="96"/>
                <w:lang w:eastAsia="zh-CN"/>
              </w:rPr>
              <w:t>件</w:t>
            </w:r>
          </w:p>
        </w:tc>
      </w:tr>
    </w:tbl>
    <w:p w14:paraId="00C1934B">
      <w:pPr>
        <w:spacing w:line="360" w:lineRule="exact"/>
        <w:jc w:val="right"/>
        <w:rPr>
          <w:rFonts w:hint="default" w:ascii="Times New Roman" w:hAnsi="Times New Roman" w:eastAsia="方正仿宋_GBK" w:cs="Times New Roman"/>
          <w:spacing w:val="-4"/>
          <w:sz w:val="32"/>
          <w:szCs w:val="32"/>
        </w:rPr>
      </w:pPr>
    </w:p>
    <w:p w14:paraId="2432CD64">
      <w:pPr>
        <w:spacing w:line="360" w:lineRule="exact"/>
        <w:jc w:val="right"/>
        <w:rPr>
          <w:spacing w:val="-5"/>
          <w:szCs w:val="21"/>
        </w:rPr>
      </w:pPr>
      <w:r>
        <w:rPr>
          <w:rFonts w:hint="default" w:ascii="Times New Roman" w:hAnsi="Times New Roman" w:eastAsia="方正仿宋_GBK" w:cs="Times New Roman"/>
          <w:spacing w:val="-4"/>
          <w:sz w:val="32"/>
          <w:szCs w:val="32"/>
        </w:rPr>
        <w:t>渝（彭）环排口审〔202</w:t>
      </w:r>
      <w:r>
        <w:rPr>
          <w:rFonts w:hint="default" w:ascii="Times New Roman" w:hAnsi="Times New Roman" w:eastAsia="方正仿宋_GBK" w:cs="Times New Roman"/>
          <w:spacing w:val="-4"/>
          <w:sz w:val="32"/>
          <w:szCs w:val="32"/>
          <w:lang w:val="en-US" w:eastAsia="zh-CN"/>
        </w:rPr>
        <w:t>5</w:t>
      </w:r>
      <w:r>
        <w:rPr>
          <w:rFonts w:hint="default" w:ascii="Times New Roman" w:hAnsi="Times New Roman" w:eastAsia="方正仿宋_GBK" w:cs="Times New Roman"/>
          <w:spacing w:val="-4"/>
          <w:sz w:val="32"/>
          <w:szCs w:val="32"/>
        </w:rPr>
        <w:t>〕</w:t>
      </w:r>
      <w:r>
        <w:rPr>
          <w:rFonts w:hint="eastAsia" w:eastAsia="方正仿宋_GBK" w:cs="Times New Roman"/>
          <w:spacing w:val="-4"/>
          <w:sz w:val="32"/>
          <w:szCs w:val="32"/>
          <w:lang w:val="en-US" w:eastAsia="zh-CN"/>
        </w:rPr>
        <w:t>2</w:t>
      </w:r>
      <w:r>
        <w:rPr>
          <w:rFonts w:hint="default" w:ascii="Times New Roman" w:hAnsi="Times New Roman" w:eastAsia="方正仿宋_GBK" w:cs="Times New Roman"/>
          <w:spacing w:val="-4"/>
          <w:sz w:val="32"/>
          <w:szCs w:val="32"/>
        </w:rPr>
        <w:t xml:space="preserve">号  </w:t>
      </w:r>
    </w:p>
    <w:p w14:paraId="6270FF0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p>
    <w:p w14:paraId="5C6857E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5"/>
          <w:sz w:val="44"/>
          <w:szCs w:val="44"/>
          <w:lang w:eastAsia="zh-CN"/>
        </w:rPr>
      </w:pPr>
      <w:r>
        <w:rPr>
          <w:rFonts w:hint="eastAsia" w:ascii="方正小标宋_GBK" w:hAnsi="方正小标宋_GBK" w:eastAsia="方正小标宋_GBK" w:cs="方正小标宋_GBK"/>
          <w:spacing w:val="-5"/>
          <w:sz w:val="44"/>
          <w:szCs w:val="44"/>
          <w:lang w:eastAsia="zh-CN"/>
        </w:rPr>
        <w:t>彭水苗族土家族自治县生态环境局</w:t>
      </w:r>
    </w:p>
    <w:p w14:paraId="1F169765">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同意设置</w:t>
      </w:r>
      <w:bookmarkStart w:id="1" w:name="_GoBack"/>
      <w:r>
        <w:rPr>
          <w:rFonts w:hint="eastAsia" w:ascii="方正小标宋_GBK" w:hAnsi="方正小标宋_GBK" w:eastAsia="方正小标宋_GBK" w:cs="方正小标宋_GBK"/>
          <w:spacing w:val="-4"/>
          <w:sz w:val="44"/>
          <w:szCs w:val="44"/>
          <w:lang w:val="en-US" w:eastAsia="zh-CN"/>
        </w:rPr>
        <w:t>彭水县长生镇叶家湾方解石矿开采（改建）项目</w:t>
      </w:r>
      <w:r>
        <w:rPr>
          <w:rFonts w:hint="eastAsia" w:ascii="方正小标宋_GBK" w:hAnsi="方正小标宋_GBK" w:eastAsia="方正小标宋_GBK" w:cs="方正小标宋_GBK"/>
          <w:spacing w:val="-4"/>
          <w:sz w:val="44"/>
          <w:szCs w:val="44"/>
        </w:rPr>
        <w:t>入河排污口</w:t>
      </w:r>
      <w:bookmarkEnd w:id="1"/>
      <w:r>
        <w:rPr>
          <w:rFonts w:hint="eastAsia" w:ascii="方正小标宋_GBK" w:hAnsi="方正小标宋_GBK" w:eastAsia="方正小标宋_GBK" w:cs="方正小标宋_GBK"/>
          <w:spacing w:val="-4"/>
          <w:sz w:val="44"/>
          <w:szCs w:val="44"/>
        </w:rPr>
        <w:t>的决定书</w:t>
      </w:r>
    </w:p>
    <w:p w14:paraId="2DF6C061">
      <w:pPr>
        <w:adjustRightInd w:val="0"/>
        <w:spacing w:line="360" w:lineRule="exact"/>
        <w:ind w:right="808"/>
        <w:jc w:val="right"/>
        <w:rPr>
          <w:rFonts w:ascii="宋体" w:hAnsi="宋体"/>
          <w:spacing w:val="-4"/>
          <w:szCs w:val="21"/>
        </w:rPr>
      </w:pPr>
      <w:r>
        <w:rPr>
          <w:rFonts w:hint="default" w:ascii="Times New Roman" w:hAnsi="Times New Roman" w:eastAsia="方正仿宋_GBK" w:cs="Times New Roman"/>
          <w:spacing w:val="-4"/>
          <w:sz w:val="32"/>
          <w:szCs w:val="32"/>
        </w:rPr>
        <w:t xml:space="preserve"> </w:t>
      </w:r>
      <w:r>
        <w:rPr>
          <w:rFonts w:ascii="宋体" w:hAnsi="宋体"/>
          <w:spacing w:val="-4"/>
          <w:szCs w:val="21"/>
        </w:rPr>
        <w:t xml:space="preserve">      </w:t>
      </w:r>
    </w:p>
    <w:p w14:paraId="07BD7641">
      <w:pPr>
        <w:pStyle w:val="10"/>
        <w:keepNext w:val="0"/>
        <w:keepLines w:val="0"/>
        <w:pageBreakBefore w:val="0"/>
        <w:widowControl w:val="0"/>
        <w:kinsoku/>
        <w:wordWrap/>
        <w:overflowPunct/>
        <w:topLinePunct w:val="0"/>
        <w:autoSpaceDE/>
        <w:autoSpaceDN/>
        <w:bidi w:val="0"/>
        <w:adjustRightInd w:val="0"/>
        <w:snapToGrid/>
        <w:spacing w:before="0" w:line="560" w:lineRule="exact"/>
        <w:ind w:left="0" w:leftChars="0" w:right="107" w:firstLine="0" w:firstLineChars="0"/>
        <w:jc w:val="left"/>
        <w:textAlignment w:val="auto"/>
        <w:rPr>
          <w:rFonts w:hint="default" w:ascii="Times New Roman" w:hAnsi="Times New Roman" w:eastAsia="方正仿宋_GBK" w:cs="Times New Roman"/>
          <w:spacing w:val="-6"/>
          <w:sz w:val="32"/>
          <w:szCs w:val="32"/>
          <w:lang w:val="zh-TW" w:eastAsia="zh-TW"/>
        </w:rPr>
      </w:pPr>
      <w:r>
        <w:rPr>
          <w:rFonts w:hint="eastAsia" w:ascii="Times New Roman" w:hAnsi="Times New Roman" w:eastAsia="方正仿宋_GBK" w:cs="Times New Roman"/>
          <w:spacing w:val="-6"/>
          <w:sz w:val="32"/>
          <w:szCs w:val="32"/>
          <w:lang w:val="en-US" w:eastAsia="zh-CN"/>
        </w:rPr>
        <w:t>彭水县康源矿业发展有限公司</w:t>
      </w:r>
      <w:r>
        <w:rPr>
          <w:rFonts w:hint="default" w:ascii="Times New Roman" w:hAnsi="Times New Roman" w:eastAsia="方正仿宋_GBK" w:cs="Times New Roman"/>
          <w:spacing w:val="-6"/>
          <w:sz w:val="32"/>
          <w:szCs w:val="32"/>
          <w:lang w:val="zh-TW" w:eastAsia="zh-TW"/>
        </w:rPr>
        <w:t>：</w:t>
      </w:r>
    </w:p>
    <w:p w14:paraId="5B3627E9">
      <w:pPr>
        <w:pStyle w:val="10"/>
        <w:keepNext w:val="0"/>
        <w:keepLines w:val="0"/>
        <w:pageBreakBefore w:val="0"/>
        <w:widowControl w:val="0"/>
        <w:kinsoku/>
        <w:wordWrap/>
        <w:overflowPunct/>
        <w:topLinePunct w:val="0"/>
        <w:autoSpaceDE/>
        <w:autoSpaceDN/>
        <w:bidi w:val="0"/>
        <w:adjustRightInd w:val="0"/>
        <w:snapToGrid/>
        <w:spacing w:before="0" w:line="560" w:lineRule="exact"/>
        <w:ind w:left="0" w:leftChars="0" w:right="107" w:firstLine="616" w:firstLineChars="20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你单位于</w:t>
      </w:r>
      <w:r>
        <w:rPr>
          <w:rFonts w:hint="default" w:ascii="Times New Roman" w:hAnsi="Times New Roman" w:eastAsia="方正仿宋_GBK" w:cs="Times New Roman"/>
          <w:spacing w:val="-6"/>
          <w:sz w:val="32"/>
          <w:szCs w:val="32"/>
          <w:lang w:val="en-US" w:eastAsia="zh-CN"/>
        </w:rPr>
        <w:t>2025</w:t>
      </w:r>
      <w:r>
        <w:rPr>
          <w:rFonts w:hint="default" w:ascii="Times New Roman" w:hAnsi="Times New Roman" w:eastAsia="方正仿宋_GBK" w:cs="Times New Roman"/>
          <w:spacing w:val="-6"/>
          <w:sz w:val="32"/>
          <w:szCs w:val="32"/>
          <w:lang w:eastAsia="zh-CN"/>
        </w:rPr>
        <w:t>年</w:t>
      </w:r>
      <w:r>
        <w:rPr>
          <w:rFonts w:hint="eastAsia" w:ascii="Times New Roman" w:hAnsi="Times New Roman" w:eastAsia="方正仿宋_GBK" w:cs="Times New Roman"/>
          <w:spacing w:val="-6"/>
          <w:sz w:val="32"/>
          <w:szCs w:val="32"/>
          <w:lang w:val="en-US" w:eastAsia="zh-CN"/>
        </w:rPr>
        <w:t>6</w:t>
      </w:r>
      <w:r>
        <w:rPr>
          <w:rFonts w:hint="default" w:ascii="Times New Roman" w:hAnsi="Times New Roman" w:eastAsia="方正仿宋_GBK" w:cs="Times New Roman"/>
          <w:spacing w:val="-6"/>
          <w:sz w:val="32"/>
          <w:szCs w:val="32"/>
          <w:lang w:eastAsia="zh-CN"/>
        </w:rPr>
        <w:t>月</w:t>
      </w:r>
      <w:r>
        <w:rPr>
          <w:rFonts w:hint="eastAsia" w:ascii="Times New Roman" w:hAnsi="Times New Roman" w:eastAsia="方正仿宋_GBK" w:cs="Times New Roman"/>
          <w:spacing w:val="-6"/>
          <w:sz w:val="32"/>
          <w:szCs w:val="32"/>
          <w:lang w:val="en-US" w:eastAsia="zh-CN"/>
        </w:rPr>
        <w:t>25</w:t>
      </w:r>
      <w:r>
        <w:rPr>
          <w:rFonts w:hint="default" w:ascii="Times New Roman" w:hAnsi="Times New Roman" w:eastAsia="方正仿宋_GBK" w:cs="Times New Roman"/>
          <w:spacing w:val="-6"/>
          <w:sz w:val="32"/>
          <w:szCs w:val="32"/>
          <w:lang w:eastAsia="zh-CN"/>
        </w:rPr>
        <w:t>日向我部门提出了</w:t>
      </w:r>
      <w:r>
        <w:rPr>
          <w:rFonts w:hint="eastAsia" w:ascii="Times New Roman" w:hAnsi="Times New Roman" w:eastAsia="方正仿宋_GBK" w:cs="Times New Roman"/>
          <w:spacing w:val="-6"/>
          <w:sz w:val="32"/>
          <w:szCs w:val="32"/>
          <w:lang w:val="en-US" w:eastAsia="zh-CN"/>
        </w:rPr>
        <w:t>彭水县长生镇叶家湾方解石矿开采（改建）项目</w:t>
      </w:r>
      <w:r>
        <w:rPr>
          <w:rFonts w:hint="default" w:ascii="Times New Roman" w:hAnsi="Times New Roman" w:eastAsia="方正仿宋_GBK" w:cs="Times New Roman"/>
          <w:spacing w:val="-6"/>
          <w:sz w:val="32"/>
          <w:szCs w:val="32"/>
          <w:lang w:eastAsia="zh-CN"/>
        </w:rPr>
        <w:t>入河排污口设置申请。经审查，根据《中华人民共和国行政许可法》《入河排污口监督管理办法》（生态环境部令第35号）的规定，同意</w:t>
      </w:r>
      <w:r>
        <w:rPr>
          <w:rFonts w:hint="eastAsia" w:ascii="Times New Roman" w:hAnsi="Times New Roman" w:eastAsia="方正仿宋_GBK" w:cs="Times New Roman"/>
          <w:spacing w:val="-6"/>
          <w:sz w:val="32"/>
          <w:szCs w:val="32"/>
          <w:lang w:val="en-US" w:eastAsia="zh-CN"/>
        </w:rPr>
        <w:t>彭水县长生镇叶家湾方解石矿开采（改建）项目</w:t>
      </w:r>
      <w:r>
        <w:rPr>
          <w:rFonts w:hint="default" w:ascii="Times New Roman" w:hAnsi="Times New Roman" w:eastAsia="方正仿宋_GBK" w:cs="Times New Roman"/>
          <w:spacing w:val="-6"/>
          <w:sz w:val="32"/>
          <w:szCs w:val="32"/>
          <w:lang w:eastAsia="zh-CN"/>
        </w:rPr>
        <w:t>入河排污口设置决定如下：</w:t>
      </w:r>
    </w:p>
    <w:tbl>
      <w:tblPr>
        <w:tblStyle w:val="2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528E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066E8913">
            <w:pPr>
              <w:pStyle w:val="10"/>
              <w:spacing w:before="0" w:line="360" w:lineRule="exact"/>
              <w:ind w:left="0"/>
              <w:jc w:val="center"/>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sz w:val="28"/>
                <w:szCs w:val="28"/>
                <w:lang w:eastAsia="zh-CN"/>
              </w:rPr>
              <w:br w:type="page"/>
            </w:r>
            <w:r>
              <w:rPr>
                <w:rFonts w:hint="default" w:ascii="Times New Roman" w:hAnsi="Times New Roman" w:eastAsia="方正仿宋_GBK" w:cs="Times New Roman"/>
                <w:kern w:val="2"/>
                <w:sz w:val="28"/>
                <w:szCs w:val="28"/>
                <w:lang w:eastAsia="zh-CN"/>
              </w:rPr>
              <w:t>入河排污口类型</w:t>
            </w:r>
          </w:p>
        </w:tc>
        <w:tc>
          <w:tcPr>
            <w:tcW w:w="6115" w:type="dxa"/>
            <w:gridSpan w:val="6"/>
            <w:vAlign w:val="center"/>
          </w:tcPr>
          <w:p w14:paraId="2061CD5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工矿企业入河排污口</w:t>
            </w:r>
          </w:p>
          <w:p w14:paraId="06EABB70">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工业及其他各类园区污水处理厂入河排污口</w:t>
            </w:r>
          </w:p>
          <w:p w14:paraId="07F6723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A8"/>
            </w:r>
            <w:r>
              <w:rPr>
                <w:rFonts w:hint="default" w:ascii="Times New Roman" w:hAnsi="Times New Roman" w:eastAsia="方正仿宋_GBK" w:cs="Times New Roman"/>
                <w:sz w:val="28"/>
                <w:szCs w:val="28"/>
              </w:rPr>
              <w:t>城镇污水处理厂入河排污口</w:t>
            </w:r>
          </w:p>
          <w:p w14:paraId="08AD2371">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其他参照上述管理的入河排污口_______________</w:t>
            </w:r>
          </w:p>
        </w:tc>
      </w:tr>
      <w:tr w14:paraId="243F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830" w:type="dxa"/>
            <w:vAlign w:val="center"/>
          </w:tcPr>
          <w:p w14:paraId="4193C16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入河排污口名称</w:t>
            </w:r>
          </w:p>
        </w:tc>
        <w:tc>
          <w:tcPr>
            <w:tcW w:w="6115" w:type="dxa"/>
            <w:gridSpan w:val="6"/>
            <w:vAlign w:val="center"/>
          </w:tcPr>
          <w:p w14:paraId="13D097CF">
            <w:pPr>
              <w:widowControl/>
              <w:spacing w:line="36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彭水县长生镇叶家湾方解石矿开采（改建）项目入河排污口</w:t>
            </w:r>
          </w:p>
        </w:tc>
      </w:tr>
      <w:tr w14:paraId="45EB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626511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入河排污口编码</w:t>
            </w:r>
          </w:p>
        </w:tc>
        <w:tc>
          <w:tcPr>
            <w:tcW w:w="6115" w:type="dxa"/>
            <w:gridSpan w:val="6"/>
            <w:vAlign w:val="center"/>
          </w:tcPr>
          <w:p w14:paraId="723919C3">
            <w:pPr>
              <w:widowControl/>
              <w:spacing w:line="360" w:lineRule="exact"/>
              <w:rPr>
                <w:rFonts w:hint="default" w:ascii="Times New Roman" w:hAnsi="Times New Roman" w:eastAsia="方正仿宋_GBK" w:cs="Times New Roman"/>
                <w:sz w:val="28"/>
                <w:szCs w:val="28"/>
              </w:rPr>
            </w:pPr>
          </w:p>
        </w:tc>
      </w:tr>
      <w:tr w14:paraId="49E7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7D411F9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设置类型</w:t>
            </w:r>
          </w:p>
        </w:tc>
        <w:tc>
          <w:tcPr>
            <w:tcW w:w="6115" w:type="dxa"/>
            <w:gridSpan w:val="6"/>
            <w:vAlign w:val="center"/>
          </w:tcPr>
          <w:p w14:paraId="7BB502CF">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新设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改设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扩大</w:t>
            </w:r>
            <w:r>
              <w:rPr>
                <w:rFonts w:hint="default" w:ascii="Times New Roman" w:hAnsi="Times New Roman" w:eastAsia="方正仿宋_GBK" w:cs="Times New Roman"/>
                <w:sz w:val="28"/>
                <w:szCs w:val="28"/>
                <w:lang w:val="en"/>
              </w:rPr>
              <w:t xml:space="preserve"> </w:t>
            </w:r>
            <w:r>
              <w:rPr>
                <w:rFonts w:hint="default" w:ascii="Times New Roman" w:hAnsi="Times New Roman" w:eastAsia="方正仿宋_GBK" w:cs="Times New Roman"/>
                <w:sz w:val="28"/>
                <w:szCs w:val="28"/>
              </w:rPr>
              <w:t xml:space="preserve"> </w:t>
            </w:r>
          </w:p>
        </w:tc>
      </w:tr>
      <w:tr w14:paraId="04B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D571CB">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责任主体基本情况</w:t>
            </w:r>
          </w:p>
        </w:tc>
      </w:tr>
      <w:tr w14:paraId="7185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vAlign w:val="center"/>
          </w:tcPr>
          <w:p w14:paraId="01C7B0FE">
            <w:pPr>
              <w:widowControl/>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责任主体名称：</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彭水县康源矿业发展有限公司</w:t>
            </w:r>
          </w:p>
        </w:tc>
      </w:tr>
      <w:tr w14:paraId="4571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1ADF8AD4">
            <w:pPr>
              <w:widowControl/>
              <w:spacing w:line="36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详细地址</w:t>
            </w:r>
          </w:p>
        </w:tc>
        <w:tc>
          <w:tcPr>
            <w:tcW w:w="6115" w:type="dxa"/>
            <w:gridSpan w:val="6"/>
            <w:vAlign w:val="center"/>
          </w:tcPr>
          <w:p w14:paraId="0096292F">
            <w:pPr>
              <w:widowControl/>
              <w:spacing w:line="360" w:lineRule="exact"/>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重庆市彭水自治县长生镇三合社区三组（叶家湾）</w:t>
            </w:r>
          </w:p>
        </w:tc>
      </w:tr>
      <w:tr w14:paraId="63D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742BE99C">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统一社会信用代码</w:t>
            </w:r>
          </w:p>
        </w:tc>
        <w:tc>
          <w:tcPr>
            <w:tcW w:w="6115" w:type="dxa"/>
            <w:gridSpan w:val="6"/>
            <w:vAlign w:val="center"/>
          </w:tcPr>
          <w:p w14:paraId="29163B35">
            <w:pPr>
              <w:widowControl/>
              <w:spacing w:line="36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91500243686235719P</w:t>
            </w:r>
          </w:p>
        </w:tc>
      </w:tr>
      <w:tr w14:paraId="46B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3F9B3E2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法定代表人及联系电话</w:t>
            </w:r>
          </w:p>
        </w:tc>
        <w:tc>
          <w:tcPr>
            <w:tcW w:w="6115" w:type="dxa"/>
            <w:gridSpan w:val="6"/>
            <w:vAlign w:val="center"/>
          </w:tcPr>
          <w:p w14:paraId="5D064964">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r>
              <w:rPr>
                <w:rFonts w:hint="eastAsia" w:ascii="Times New Roman" w:hAnsi="Times New Roman" w:eastAsia="方正仿宋_GBK" w:cs="Times New Roman"/>
                <w:sz w:val="28"/>
                <w:szCs w:val="28"/>
              </w:rPr>
              <w:t>吴万华</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联系电话：</w:t>
            </w:r>
            <w:r>
              <w:rPr>
                <w:rFonts w:hint="eastAsia" w:ascii="Times New Roman" w:hAnsi="Times New Roman" w:eastAsia="方正仿宋_GBK" w:cs="Times New Roman"/>
                <w:sz w:val="28"/>
                <w:szCs w:val="28"/>
              </w:rPr>
              <w:t>15823611777</w:t>
            </w:r>
            <w:r>
              <w:rPr>
                <w:rFonts w:hint="default" w:ascii="Times New Roman" w:hAnsi="Times New Roman" w:eastAsia="方正仿宋_GBK" w:cs="Times New Roman"/>
                <w:sz w:val="28"/>
                <w:szCs w:val="28"/>
              </w:rPr>
              <w:t xml:space="preserve">               </w:t>
            </w:r>
          </w:p>
        </w:tc>
      </w:tr>
      <w:tr w14:paraId="3E4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6481C301">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行业类别</w:t>
            </w:r>
          </w:p>
        </w:tc>
        <w:tc>
          <w:tcPr>
            <w:tcW w:w="6115" w:type="dxa"/>
            <w:gridSpan w:val="6"/>
            <w:vAlign w:val="center"/>
          </w:tcPr>
          <w:p w14:paraId="73426DB1">
            <w:pPr>
              <w:widowControl/>
              <w:spacing w:line="360" w:lineRule="exact"/>
              <w:rPr>
                <w:rFonts w:hint="default" w:ascii="Times New Roman" w:hAnsi="Times New Roman" w:eastAsia="方正仿宋_GBK" w:cs="Times New Roman"/>
                <w:sz w:val="28"/>
                <w:szCs w:val="28"/>
                <w:lang w:eastAsia="zh-CN"/>
              </w:rPr>
            </w:pPr>
            <w:r>
              <w:rPr>
                <w:rFonts w:hint="eastAsia" w:ascii="Times New Roman" w:hAnsi="Times New Roman" w:eastAsia="方正仿宋_GBK" w:cs="Times New Roman"/>
                <w:color w:val="000000" w:themeColor="text1"/>
                <w:sz w:val="28"/>
                <w:szCs w:val="28"/>
                <w14:textFill>
                  <w14:solidFill>
                    <w14:schemeClr w14:val="tx1"/>
                  </w14:solidFill>
                </w14:textFill>
              </w:rPr>
              <w:t>B1099-其他未列明非金属矿采选</w:t>
            </w:r>
          </w:p>
        </w:tc>
      </w:tr>
      <w:tr w14:paraId="30D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Align w:val="center"/>
          </w:tcPr>
          <w:p w14:paraId="0DF3E79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排污许可证或排污登记编号</w:t>
            </w:r>
          </w:p>
        </w:tc>
        <w:tc>
          <w:tcPr>
            <w:tcW w:w="6115" w:type="dxa"/>
            <w:gridSpan w:val="6"/>
            <w:vAlign w:val="center"/>
          </w:tcPr>
          <w:p w14:paraId="43F57093">
            <w:pPr>
              <w:widowControl/>
              <w:spacing w:line="360" w:lineRule="exact"/>
              <w:rPr>
                <w:rFonts w:hint="default" w:ascii="Times New Roman" w:hAnsi="Times New Roman" w:eastAsia="方正仿宋_GBK" w:cs="Times New Roman"/>
                <w:sz w:val="28"/>
                <w:szCs w:val="28"/>
                <w:lang w:val="en-US" w:eastAsia="zh-CN"/>
              </w:rPr>
            </w:pPr>
          </w:p>
        </w:tc>
      </w:tr>
      <w:tr w14:paraId="7298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30" w:type="dxa"/>
            <w:vMerge w:val="restart"/>
            <w:vAlign w:val="center"/>
          </w:tcPr>
          <w:p w14:paraId="76A6F90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w:t>
            </w:r>
          </w:p>
          <w:p w14:paraId="6ACF426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设置地点</w:t>
            </w:r>
          </w:p>
        </w:tc>
        <w:tc>
          <w:tcPr>
            <w:tcW w:w="6115" w:type="dxa"/>
            <w:gridSpan w:val="6"/>
            <w:vAlign w:val="center"/>
          </w:tcPr>
          <w:p w14:paraId="119FD20C">
            <w:pPr>
              <w:widowControl/>
              <w:spacing w:line="36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彭水自治县保家镇镇鹿山社区枸树坪村</w:t>
            </w:r>
          </w:p>
        </w:tc>
      </w:tr>
      <w:tr w14:paraId="54A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57B9FB75">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16AC00F8">
            <w:pPr>
              <w:widowControl/>
              <w:spacing w:line="360" w:lineRule="exact"/>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排入水体名称：</w:t>
            </w:r>
            <w:r>
              <w:rPr>
                <w:rFonts w:hint="eastAsia" w:eastAsia="方正仿宋_GBK" w:cs="Times New Roman"/>
                <w:sz w:val="28"/>
                <w:szCs w:val="28"/>
                <w:lang w:eastAsia="zh-CN"/>
              </w:rPr>
              <w:t>郁江</w:t>
            </w:r>
          </w:p>
        </w:tc>
      </w:tr>
      <w:tr w14:paraId="3033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024D14E1">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6723AEEC">
            <w:pPr>
              <w:widowControl/>
              <w:spacing w:line="36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所在流域：</w:t>
            </w:r>
            <w:r>
              <w:rPr>
                <w:rFonts w:hint="default" w:ascii="Times New Roman" w:hAnsi="Times New Roman" w:eastAsia="方正仿宋_GBK" w:cs="Times New Roman"/>
                <w:sz w:val="28"/>
                <w:szCs w:val="28"/>
                <w:lang w:eastAsia="zh-CN"/>
              </w:rPr>
              <w:t>长江</w:t>
            </w:r>
          </w:p>
        </w:tc>
      </w:tr>
      <w:tr w14:paraId="39B0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1493B2FF">
            <w:pPr>
              <w:widowControl/>
              <w:spacing w:line="360" w:lineRule="exact"/>
              <w:jc w:val="center"/>
              <w:rPr>
                <w:rFonts w:hint="default" w:ascii="Times New Roman" w:hAnsi="Times New Roman" w:eastAsia="方正仿宋_GBK" w:cs="Times New Roman"/>
                <w:sz w:val="28"/>
                <w:szCs w:val="28"/>
              </w:rPr>
            </w:pPr>
          </w:p>
        </w:tc>
        <w:tc>
          <w:tcPr>
            <w:tcW w:w="6115" w:type="dxa"/>
            <w:gridSpan w:val="6"/>
            <w:vAlign w:val="center"/>
          </w:tcPr>
          <w:p w14:paraId="1E84FC18">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经度：</w:t>
            </w:r>
            <w:r>
              <w:rPr>
                <w:rFonts w:hint="eastAsia"/>
                <w:szCs w:val="20"/>
                <w:lang w:val="en-US" w:eastAsia="zh-CN"/>
              </w:rPr>
              <w:t>108.160001</w:t>
            </w:r>
            <w:r>
              <w:rPr>
                <w:rFonts w:hint="default" w:ascii="Times New Roman" w:hAnsi="Times New Roman" w:eastAsia="方正仿宋_GBK" w:cs="Times New Roman"/>
                <w:color w:val="000000" w:themeColor="text1"/>
                <w:spacing w:val="-13"/>
                <w:kern w:val="0"/>
                <w:sz w:val="28"/>
                <w:szCs w:val="28"/>
                <w14:textFill>
                  <w14:solidFill>
                    <w14:schemeClr w14:val="tx1"/>
                  </w14:solidFill>
                </w14:textFill>
              </w:rPr>
              <w:t>°</w:t>
            </w:r>
          </w:p>
          <w:p w14:paraId="3A85392C">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纬度：</w:t>
            </w:r>
            <w:r>
              <w:rPr>
                <w:rFonts w:hint="eastAsia"/>
                <w:szCs w:val="20"/>
                <w:lang w:val="en-US" w:eastAsia="zh-CN"/>
              </w:rPr>
              <w:t>29.231989</w:t>
            </w:r>
            <w:r>
              <w:rPr>
                <w:rFonts w:hint="default" w:ascii="Times New Roman" w:hAnsi="Times New Roman" w:eastAsia="方正仿宋_GBK" w:cs="Times New Roman"/>
                <w:color w:val="000000" w:themeColor="text1"/>
                <w:spacing w:val="-13"/>
                <w:kern w:val="0"/>
                <w:sz w:val="28"/>
                <w:szCs w:val="28"/>
                <w14:textFill>
                  <w14:solidFill>
                    <w14:schemeClr w14:val="tx1"/>
                  </w14:solidFill>
                </w14:textFill>
              </w:rPr>
              <w:t>°</w:t>
            </w:r>
          </w:p>
        </w:tc>
      </w:tr>
      <w:tr w14:paraId="0721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70273312">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污水排放方式</w:t>
            </w:r>
          </w:p>
        </w:tc>
        <w:tc>
          <w:tcPr>
            <w:tcW w:w="1133" w:type="dxa"/>
            <w:vAlign w:val="center"/>
          </w:tcPr>
          <w:p w14:paraId="095B623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连续 </w:t>
            </w:r>
          </w:p>
          <w:p w14:paraId="44A6DF52">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间歇</w:t>
            </w:r>
          </w:p>
        </w:tc>
        <w:tc>
          <w:tcPr>
            <w:tcW w:w="851" w:type="dxa"/>
            <w:vMerge w:val="restart"/>
            <w:vAlign w:val="center"/>
          </w:tcPr>
          <w:p w14:paraId="4489C89D">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w:t>
            </w:r>
          </w:p>
          <w:p w14:paraId="27E381E9">
            <w:pPr>
              <w:widowControl/>
              <w:spacing w:line="360" w:lineRule="exact"/>
              <w:ind w:right="-105" w:rightChars="-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4131" w:type="dxa"/>
            <w:gridSpan w:val="4"/>
            <w:vMerge w:val="restart"/>
            <w:vAlign w:val="center"/>
          </w:tcPr>
          <w:p w14:paraId="0547E421">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 xml:space="preserve">明渠  </w:t>
            </w:r>
            <w:r>
              <w:rPr>
                <w:rFonts w:hint="default" w:ascii="Times New Roman" w:hAnsi="Times New Roman" w:eastAsia="方正仿宋_GBK" w:cs="Times New Roman"/>
                <w:sz w:val="28"/>
                <w:szCs w:val="28"/>
              </w:rPr>
              <w:sym w:font="Wingdings" w:char="00A8"/>
            </w:r>
            <w:r>
              <w:rPr>
                <w:rFonts w:hint="default" w:ascii="Times New Roman" w:hAnsi="Times New Roman" w:eastAsia="方正仿宋_GBK" w:cs="Times New Roman"/>
                <w:sz w:val="28"/>
                <w:szCs w:val="28"/>
              </w:rPr>
              <w:t>管道</w:t>
            </w:r>
          </w:p>
          <w:p w14:paraId="1BFDE023">
            <w:pPr>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泵站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涵闸</w:t>
            </w:r>
          </w:p>
          <w:p w14:paraId="3AA33006">
            <w:pPr>
              <w:widowControl/>
              <w:spacing w:line="36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 xml:space="preserve">箱涵  </w:t>
            </w: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其他：_______</w:t>
            </w:r>
          </w:p>
        </w:tc>
      </w:tr>
      <w:tr w14:paraId="0154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8A80F5E">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是否共用</w:t>
            </w:r>
          </w:p>
        </w:tc>
        <w:tc>
          <w:tcPr>
            <w:tcW w:w="1133" w:type="dxa"/>
            <w:vAlign w:val="center"/>
          </w:tcPr>
          <w:p w14:paraId="54A826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A3"/>
            </w:r>
            <w:r>
              <w:rPr>
                <w:rFonts w:hint="default" w:ascii="Times New Roman" w:hAnsi="Times New Roman" w:eastAsia="方正仿宋_GBK" w:cs="Times New Roman"/>
                <w:sz w:val="28"/>
                <w:szCs w:val="28"/>
              </w:rPr>
              <w:t>是</w:t>
            </w:r>
          </w:p>
          <w:p w14:paraId="4D229AF6">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否</w:t>
            </w:r>
          </w:p>
        </w:tc>
        <w:tc>
          <w:tcPr>
            <w:tcW w:w="851" w:type="dxa"/>
            <w:vMerge w:val="continue"/>
            <w:vAlign w:val="center"/>
          </w:tcPr>
          <w:p w14:paraId="74E84AC4">
            <w:pPr>
              <w:widowControl/>
              <w:spacing w:line="360" w:lineRule="exact"/>
              <w:rPr>
                <w:rFonts w:hint="default" w:ascii="Times New Roman" w:hAnsi="Times New Roman" w:eastAsia="方正仿宋_GBK" w:cs="Times New Roman"/>
                <w:sz w:val="28"/>
                <w:szCs w:val="28"/>
              </w:rPr>
            </w:pPr>
          </w:p>
        </w:tc>
        <w:tc>
          <w:tcPr>
            <w:tcW w:w="4131" w:type="dxa"/>
            <w:gridSpan w:val="4"/>
            <w:vMerge w:val="continue"/>
            <w:vAlign w:val="center"/>
          </w:tcPr>
          <w:p w14:paraId="57A688D9">
            <w:pPr>
              <w:widowControl/>
              <w:spacing w:line="360" w:lineRule="exact"/>
              <w:rPr>
                <w:rFonts w:hint="default" w:ascii="Times New Roman" w:hAnsi="Times New Roman" w:eastAsia="方正仿宋_GBK" w:cs="Times New Roman"/>
                <w:sz w:val="28"/>
                <w:szCs w:val="28"/>
              </w:rPr>
            </w:pPr>
          </w:p>
        </w:tc>
      </w:tr>
      <w:tr w14:paraId="3CC0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6F7E8982">
            <w:pPr>
              <w:widowControl/>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入河排污口截面信息</w:t>
            </w:r>
          </w:p>
        </w:tc>
        <w:tc>
          <w:tcPr>
            <w:tcW w:w="6115" w:type="dxa"/>
            <w:gridSpan w:val="6"/>
            <w:vAlign w:val="center"/>
          </w:tcPr>
          <w:p w14:paraId="35DAE19A">
            <w:pPr>
              <w:widowControl/>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圆形截面：d=   m，S=   m</w:t>
            </w:r>
            <w:r>
              <w:rPr>
                <w:rFonts w:hint="default" w:ascii="Times New Roman" w:hAnsi="Times New Roman" w:eastAsia="方正仿宋_GBK" w:cs="Times New Roman"/>
                <w:color w:val="auto"/>
                <w:sz w:val="28"/>
                <w:szCs w:val="28"/>
                <w:vertAlign w:val="superscript"/>
              </w:rPr>
              <w:t>2</w:t>
            </w:r>
          </w:p>
        </w:tc>
      </w:tr>
      <w:tr w14:paraId="64DB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49E24F5E">
            <w:pPr>
              <w:widowControl/>
              <w:spacing w:line="360" w:lineRule="exact"/>
              <w:rPr>
                <w:rFonts w:hint="default" w:ascii="Times New Roman" w:hAnsi="Times New Roman" w:eastAsia="方正仿宋_GBK" w:cs="Times New Roman"/>
                <w:color w:val="auto"/>
                <w:sz w:val="28"/>
                <w:szCs w:val="28"/>
              </w:rPr>
            </w:pPr>
          </w:p>
        </w:tc>
        <w:tc>
          <w:tcPr>
            <w:tcW w:w="6115" w:type="dxa"/>
            <w:gridSpan w:val="6"/>
            <w:vAlign w:val="center"/>
          </w:tcPr>
          <w:p w14:paraId="7D9701DE">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2" w:char="00A3"/>
            </w:r>
            <w:r>
              <w:rPr>
                <w:rFonts w:hint="default" w:ascii="Times New Roman" w:hAnsi="Times New Roman" w:eastAsia="方正仿宋_GBK" w:cs="Times New Roman"/>
                <w:color w:val="auto"/>
                <w:sz w:val="28"/>
                <w:szCs w:val="28"/>
              </w:rPr>
              <w:t>方形截面：L×B=   m×  m，S=   m</w:t>
            </w:r>
            <w:r>
              <w:rPr>
                <w:rFonts w:hint="default" w:ascii="Times New Roman" w:hAnsi="Times New Roman" w:eastAsia="方正仿宋_GBK" w:cs="Times New Roman"/>
                <w:color w:val="auto"/>
                <w:sz w:val="28"/>
                <w:szCs w:val="28"/>
                <w:vertAlign w:val="superscript"/>
              </w:rPr>
              <w:t>2</w:t>
            </w:r>
          </w:p>
        </w:tc>
      </w:tr>
      <w:tr w14:paraId="5CB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2B2789E1">
            <w:pPr>
              <w:widowControl/>
              <w:spacing w:line="360" w:lineRule="exact"/>
              <w:rPr>
                <w:rFonts w:hint="default" w:ascii="Times New Roman" w:hAnsi="Times New Roman" w:eastAsia="方正仿宋_GBK" w:cs="Times New Roman"/>
                <w:color w:val="auto"/>
                <w:sz w:val="28"/>
                <w:szCs w:val="28"/>
              </w:rPr>
            </w:pPr>
          </w:p>
        </w:tc>
        <w:tc>
          <w:tcPr>
            <w:tcW w:w="6115" w:type="dxa"/>
            <w:gridSpan w:val="6"/>
            <w:vAlign w:val="center"/>
          </w:tcPr>
          <w:p w14:paraId="0CEF5309">
            <w:pPr>
              <w:spacing w:line="36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sym w:font="Wingdings" w:char="00FE"/>
            </w:r>
            <w:r>
              <w:rPr>
                <w:rFonts w:hint="default" w:ascii="Times New Roman" w:hAnsi="Times New Roman" w:eastAsia="方正仿宋_GBK" w:cs="Times New Roman"/>
                <w:color w:val="auto"/>
                <w:sz w:val="28"/>
                <w:szCs w:val="28"/>
              </w:rPr>
              <w:t>其他形状截面：S=</w:t>
            </w:r>
            <w:r>
              <w:rPr>
                <w:rFonts w:hint="default" w:ascii="Times New Roman" w:hAnsi="Times New Roman" w:eastAsia="方正仿宋_GBK" w:cs="Times New Roman"/>
                <w:color w:val="auto"/>
                <w:sz w:val="28"/>
                <w:szCs w:val="28"/>
                <w:lang w:val="en-US" w:eastAsia="zh-CN"/>
              </w:rPr>
              <w:t>0.</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m</w:t>
            </w:r>
            <w:r>
              <w:rPr>
                <w:rFonts w:hint="default" w:ascii="Times New Roman" w:hAnsi="Times New Roman" w:eastAsia="方正仿宋_GBK" w:cs="Times New Roman"/>
                <w:color w:val="auto"/>
                <w:sz w:val="28"/>
                <w:szCs w:val="28"/>
                <w:vertAlign w:val="superscript"/>
              </w:rPr>
              <w:t>2</w:t>
            </w:r>
          </w:p>
        </w:tc>
      </w:tr>
      <w:tr w14:paraId="4E63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36B374D">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入河排污口污水排放量，入河排污口重点污染物排放种类、排放浓度和排放量</w:t>
            </w:r>
          </w:p>
        </w:tc>
      </w:tr>
      <w:tr w14:paraId="3FF1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075D75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污染物种类</w:t>
            </w:r>
          </w:p>
        </w:tc>
        <w:tc>
          <w:tcPr>
            <w:tcW w:w="1133" w:type="dxa"/>
            <w:vMerge w:val="restart"/>
            <w:vAlign w:val="center"/>
          </w:tcPr>
          <w:p w14:paraId="00FD804B">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排放浓度（mg/L）</w:t>
            </w:r>
          </w:p>
        </w:tc>
        <w:tc>
          <w:tcPr>
            <w:tcW w:w="2411" w:type="dxa"/>
            <w:gridSpan w:val="3"/>
            <w:vAlign w:val="center"/>
          </w:tcPr>
          <w:p w14:paraId="2F811465">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全年</w:t>
            </w:r>
          </w:p>
        </w:tc>
        <w:tc>
          <w:tcPr>
            <w:tcW w:w="2571" w:type="dxa"/>
            <w:gridSpan w:val="2"/>
            <w:vAlign w:val="center"/>
          </w:tcPr>
          <w:p w14:paraId="72717F7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特殊时段（__月至__月）</w:t>
            </w:r>
          </w:p>
        </w:tc>
      </w:tr>
      <w:tr w14:paraId="2171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830" w:type="dxa"/>
            <w:vMerge w:val="continue"/>
            <w:vAlign w:val="center"/>
          </w:tcPr>
          <w:p w14:paraId="5DC60037">
            <w:pPr>
              <w:spacing w:line="360" w:lineRule="exact"/>
              <w:rPr>
                <w:rFonts w:hint="default" w:ascii="Times New Roman" w:hAnsi="Times New Roman" w:eastAsia="方正仿宋_GBK" w:cs="Times New Roman"/>
                <w:sz w:val="28"/>
                <w:szCs w:val="28"/>
              </w:rPr>
            </w:pPr>
          </w:p>
        </w:tc>
        <w:tc>
          <w:tcPr>
            <w:tcW w:w="1133" w:type="dxa"/>
            <w:vMerge w:val="continue"/>
            <w:vAlign w:val="center"/>
          </w:tcPr>
          <w:p w14:paraId="7EDAF81D">
            <w:pPr>
              <w:widowControl/>
              <w:spacing w:line="360" w:lineRule="exact"/>
              <w:jc w:val="center"/>
              <w:rPr>
                <w:rFonts w:hint="default" w:ascii="Times New Roman" w:hAnsi="Times New Roman" w:eastAsia="方正仿宋_GBK" w:cs="Times New Roman"/>
                <w:sz w:val="28"/>
                <w:szCs w:val="28"/>
              </w:rPr>
            </w:pPr>
          </w:p>
        </w:tc>
        <w:tc>
          <w:tcPr>
            <w:tcW w:w="1277" w:type="dxa"/>
            <w:gridSpan w:val="2"/>
            <w:vAlign w:val="center"/>
          </w:tcPr>
          <w:p w14:paraId="41834EA6">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污水排放量（万t/a）</w:t>
            </w:r>
          </w:p>
        </w:tc>
        <w:tc>
          <w:tcPr>
            <w:tcW w:w="1134" w:type="dxa"/>
            <w:vAlign w:val="center"/>
          </w:tcPr>
          <w:p w14:paraId="13925E8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污染物排放量（t/a）</w:t>
            </w:r>
          </w:p>
        </w:tc>
        <w:tc>
          <w:tcPr>
            <w:tcW w:w="1418" w:type="dxa"/>
            <w:vAlign w:val="center"/>
          </w:tcPr>
          <w:p w14:paraId="6BAC2700">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污水日排放量（t/d）</w:t>
            </w:r>
          </w:p>
        </w:tc>
        <w:tc>
          <w:tcPr>
            <w:tcW w:w="1153" w:type="dxa"/>
            <w:vAlign w:val="center"/>
          </w:tcPr>
          <w:p w14:paraId="1CF509BC">
            <w:pPr>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污染物日排放量（t/d）</w:t>
            </w:r>
          </w:p>
        </w:tc>
      </w:tr>
      <w:tr w14:paraId="4EF1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1E36522A">
            <w:pPr>
              <w:widowControl/>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入河排污口合计</w:t>
            </w:r>
            <w:r>
              <w:rPr>
                <w:rFonts w:hint="default" w:ascii="Times New Roman" w:hAnsi="Times New Roman" w:eastAsia="方正仿宋_GBK" w:cs="Times New Roman"/>
                <w:kern w:val="0"/>
                <w:sz w:val="28"/>
                <w:szCs w:val="28"/>
              </w:rPr>
              <w:t>（单一责任主体只需记载此项）</w:t>
            </w:r>
          </w:p>
        </w:tc>
      </w:tr>
      <w:tr w14:paraId="5E1C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0DBCCFA">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COD</w:t>
            </w:r>
          </w:p>
        </w:tc>
        <w:tc>
          <w:tcPr>
            <w:tcW w:w="1133" w:type="dxa"/>
            <w:vAlign w:val="center"/>
          </w:tcPr>
          <w:p w14:paraId="37D668D5">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20</w:t>
            </w:r>
          </w:p>
        </w:tc>
        <w:tc>
          <w:tcPr>
            <w:tcW w:w="1277" w:type="dxa"/>
            <w:gridSpan w:val="2"/>
            <w:vMerge w:val="restart"/>
            <w:vAlign w:val="center"/>
          </w:tcPr>
          <w:p w14:paraId="4BB26C23">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7.446</w:t>
            </w:r>
          </w:p>
        </w:tc>
        <w:tc>
          <w:tcPr>
            <w:tcW w:w="1134" w:type="dxa"/>
            <w:vAlign w:val="center"/>
          </w:tcPr>
          <w:p w14:paraId="19FC6372">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1.4892</w:t>
            </w:r>
          </w:p>
        </w:tc>
        <w:tc>
          <w:tcPr>
            <w:tcW w:w="1418" w:type="dxa"/>
            <w:vMerge w:val="restart"/>
            <w:vAlign w:val="center"/>
          </w:tcPr>
          <w:p w14:paraId="52A3277A">
            <w:pPr>
              <w:widowControl/>
              <w:spacing w:line="360" w:lineRule="exact"/>
              <w:jc w:val="center"/>
              <w:rPr>
                <w:rFonts w:hint="default" w:ascii="Times New Roman" w:hAnsi="Times New Roman" w:eastAsia="方正仿宋_GBK" w:cs="Times New Roman"/>
                <w:sz w:val="28"/>
                <w:szCs w:val="28"/>
                <w:lang w:val="en-US" w:eastAsia="zh-CN"/>
              </w:rPr>
            </w:pPr>
          </w:p>
        </w:tc>
        <w:tc>
          <w:tcPr>
            <w:tcW w:w="1153" w:type="dxa"/>
            <w:vAlign w:val="center"/>
          </w:tcPr>
          <w:p w14:paraId="364A9777">
            <w:pPr>
              <w:widowControl/>
              <w:spacing w:line="360" w:lineRule="exact"/>
              <w:rPr>
                <w:rFonts w:hint="default" w:ascii="Times New Roman" w:hAnsi="Times New Roman" w:eastAsia="方正仿宋_GBK" w:cs="Times New Roman"/>
                <w:sz w:val="28"/>
                <w:szCs w:val="28"/>
              </w:rPr>
            </w:pPr>
          </w:p>
        </w:tc>
      </w:tr>
      <w:tr w14:paraId="356F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34E7C62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NH</w:t>
            </w:r>
            <w:r>
              <w:rPr>
                <w:rFonts w:hint="default" w:ascii="Times New Roman" w:hAnsi="Times New Roman" w:eastAsia="方正仿宋_GBK" w:cs="Times New Roman"/>
                <w:sz w:val="28"/>
                <w:szCs w:val="28"/>
                <w:vertAlign w:val="subscript"/>
              </w:rPr>
              <w:t>3</w:t>
            </w:r>
            <w:r>
              <w:rPr>
                <w:rFonts w:hint="default" w:ascii="Times New Roman" w:hAnsi="Times New Roman" w:eastAsia="方正仿宋_GBK" w:cs="Times New Roman"/>
                <w:sz w:val="28"/>
                <w:szCs w:val="28"/>
              </w:rPr>
              <w:t>-N</w:t>
            </w:r>
          </w:p>
        </w:tc>
        <w:tc>
          <w:tcPr>
            <w:tcW w:w="1133" w:type="dxa"/>
            <w:vAlign w:val="center"/>
          </w:tcPr>
          <w:p w14:paraId="52EE580D">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0.118</w:t>
            </w:r>
          </w:p>
        </w:tc>
        <w:tc>
          <w:tcPr>
            <w:tcW w:w="1277" w:type="dxa"/>
            <w:gridSpan w:val="2"/>
            <w:vMerge w:val="continue"/>
            <w:vAlign w:val="center"/>
          </w:tcPr>
          <w:p w14:paraId="129DD7EB">
            <w:pPr>
              <w:widowControl/>
              <w:spacing w:line="360" w:lineRule="exact"/>
              <w:rPr>
                <w:rFonts w:hint="default" w:ascii="Times New Roman" w:hAnsi="Times New Roman" w:eastAsia="方正仿宋_GBK" w:cs="Times New Roman"/>
                <w:sz w:val="28"/>
                <w:szCs w:val="28"/>
              </w:rPr>
            </w:pPr>
          </w:p>
        </w:tc>
        <w:tc>
          <w:tcPr>
            <w:tcW w:w="1134" w:type="dxa"/>
            <w:vAlign w:val="center"/>
          </w:tcPr>
          <w:p w14:paraId="141A135E">
            <w:pPr>
              <w:widowControl/>
              <w:spacing w:line="360" w:lineRule="exact"/>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0.0088</w:t>
            </w:r>
          </w:p>
        </w:tc>
        <w:tc>
          <w:tcPr>
            <w:tcW w:w="1418" w:type="dxa"/>
            <w:vMerge w:val="continue"/>
            <w:vAlign w:val="center"/>
          </w:tcPr>
          <w:p w14:paraId="1B0CAC47">
            <w:pPr>
              <w:widowControl/>
              <w:spacing w:line="360" w:lineRule="exact"/>
              <w:rPr>
                <w:rFonts w:hint="default" w:ascii="Times New Roman" w:hAnsi="Times New Roman" w:eastAsia="方正仿宋_GBK" w:cs="Times New Roman"/>
                <w:sz w:val="28"/>
                <w:szCs w:val="28"/>
              </w:rPr>
            </w:pPr>
          </w:p>
        </w:tc>
        <w:tc>
          <w:tcPr>
            <w:tcW w:w="1153" w:type="dxa"/>
            <w:vAlign w:val="center"/>
          </w:tcPr>
          <w:p w14:paraId="63A6DFF7">
            <w:pPr>
              <w:widowControl/>
              <w:spacing w:line="360" w:lineRule="exact"/>
              <w:rPr>
                <w:rFonts w:hint="default" w:ascii="Times New Roman" w:hAnsi="Times New Roman" w:eastAsia="方正仿宋_GBK" w:cs="Times New Roman"/>
                <w:sz w:val="28"/>
                <w:szCs w:val="28"/>
              </w:rPr>
            </w:pPr>
          </w:p>
        </w:tc>
      </w:tr>
      <w:tr w14:paraId="537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632371B3">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TN</w:t>
            </w:r>
          </w:p>
        </w:tc>
        <w:tc>
          <w:tcPr>
            <w:tcW w:w="1133" w:type="dxa"/>
            <w:vAlign w:val="center"/>
          </w:tcPr>
          <w:p w14:paraId="7BDABF54">
            <w:pPr>
              <w:widowControl/>
              <w:spacing w:line="360" w:lineRule="exact"/>
              <w:jc w:val="center"/>
              <w:rPr>
                <w:rFonts w:hint="default" w:ascii="Times New Roman" w:hAnsi="Times New Roman" w:eastAsia="方正仿宋_GBK" w:cs="Times New Roman"/>
                <w:sz w:val="28"/>
                <w:szCs w:val="28"/>
                <w:lang w:val="en-US" w:eastAsia="zh-CN"/>
              </w:rPr>
            </w:pPr>
          </w:p>
        </w:tc>
        <w:tc>
          <w:tcPr>
            <w:tcW w:w="1277" w:type="dxa"/>
            <w:gridSpan w:val="2"/>
            <w:vMerge w:val="continue"/>
            <w:vAlign w:val="center"/>
          </w:tcPr>
          <w:p w14:paraId="74D469C2">
            <w:pPr>
              <w:widowControl/>
              <w:spacing w:line="360" w:lineRule="exact"/>
              <w:rPr>
                <w:rFonts w:hint="default" w:ascii="Times New Roman" w:hAnsi="Times New Roman" w:eastAsia="方正仿宋_GBK" w:cs="Times New Roman"/>
                <w:sz w:val="28"/>
                <w:szCs w:val="28"/>
              </w:rPr>
            </w:pPr>
          </w:p>
        </w:tc>
        <w:tc>
          <w:tcPr>
            <w:tcW w:w="1134" w:type="dxa"/>
            <w:vAlign w:val="center"/>
          </w:tcPr>
          <w:p w14:paraId="49A778E4">
            <w:pPr>
              <w:widowControl/>
              <w:spacing w:line="360" w:lineRule="exact"/>
              <w:rPr>
                <w:rFonts w:hint="default" w:ascii="Times New Roman" w:hAnsi="Times New Roman" w:eastAsia="方正仿宋_GBK" w:cs="Times New Roman"/>
                <w:sz w:val="28"/>
                <w:szCs w:val="28"/>
              </w:rPr>
            </w:pPr>
          </w:p>
        </w:tc>
        <w:tc>
          <w:tcPr>
            <w:tcW w:w="1418" w:type="dxa"/>
            <w:vMerge w:val="continue"/>
            <w:vAlign w:val="center"/>
          </w:tcPr>
          <w:p w14:paraId="6533A7BF">
            <w:pPr>
              <w:widowControl/>
              <w:spacing w:line="360" w:lineRule="exact"/>
              <w:rPr>
                <w:rFonts w:hint="default" w:ascii="Times New Roman" w:hAnsi="Times New Roman" w:eastAsia="方正仿宋_GBK" w:cs="Times New Roman"/>
                <w:sz w:val="28"/>
                <w:szCs w:val="28"/>
              </w:rPr>
            </w:pPr>
          </w:p>
        </w:tc>
        <w:tc>
          <w:tcPr>
            <w:tcW w:w="1153" w:type="dxa"/>
            <w:vAlign w:val="center"/>
          </w:tcPr>
          <w:p w14:paraId="4B1973D4">
            <w:pPr>
              <w:widowControl/>
              <w:spacing w:line="360" w:lineRule="exact"/>
              <w:rPr>
                <w:rFonts w:hint="default" w:ascii="Times New Roman" w:hAnsi="Times New Roman" w:eastAsia="方正仿宋_GBK" w:cs="Times New Roman"/>
                <w:sz w:val="28"/>
                <w:szCs w:val="28"/>
              </w:rPr>
            </w:pPr>
          </w:p>
        </w:tc>
      </w:tr>
      <w:tr w14:paraId="502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E6CE76F">
            <w:pPr>
              <w:widowControl/>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TP</w:t>
            </w:r>
          </w:p>
        </w:tc>
        <w:tc>
          <w:tcPr>
            <w:tcW w:w="1133" w:type="dxa"/>
            <w:vAlign w:val="center"/>
          </w:tcPr>
          <w:p w14:paraId="7D60B7E1">
            <w:pPr>
              <w:widowControl/>
              <w:spacing w:line="360" w:lineRule="exact"/>
              <w:jc w:val="center"/>
              <w:rPr>
                <w:rFonts w:hint="default" w:ascii="Times New Roman" w:hAnsi="Times New Roman" w:eastAsia="方正仿宋_GBK" w:cs="Times New Roman"/>
                <w:sz w:val="28"/>
                <w:szCs w:val="28"/>
                <w:lang w:val="en-US" w:eastAsia="zh-CN"/>
              </w:rPr>
            </w:pPr>
          </w:p>
        </w:tc>
        <w:tc>
          <w:tcPr>
            <w:tcW w:w="1277" w:type="dxa"/>
            <w:gridSpan w:val="2"/>
            <w:vMerge w:val="continue"/>
            <w:vAlign w:val="center"/>
          </w:tcPr>
          <w:p w14:paraId="2F609228">
            <w:pPr>
              <w:widowControl/>
              <w:spacing w:line="360" w:lineRule="exact"/>
              <w:rPr>
                <w:rFonts w:hint="default" w:ascii="Times New Roman" w:hAnsi="Times New Roman" w:eastAsia="方正仿宋_GBK" w:cs="Times New Roman"/>
                <w:sz w:val="28"/>
                <w:szCs w:val="28"/>
              </w:rPr>
            </w:pPr>
          </w:p>
        </w:tc>
        <w:tc>
          <w:tcPr>
            <w:tcW w:w="1134" w:type="dxa"/>
            <w:vAlign w:val="center"/>
          </w:tcPr>
          <w:p w14:paraId="663365AF">
            <w:pPr>
              <w:widowControl/>
              <w:spacing w:line="360" w:lineRule="exact"/>
              <w:rPr>
                <w:rFonts w:hint="default" w:ascii="Times New Roman" w:hAnsi="Times New Roman" w:eastAsia="方正仿宋_GBK" w:cs="Times New Roman"/>
                <w:sz w:val="28"/>
                <w:szCs w:val="28"/>
              </w:rPr>
            </w:pPr>
          </w:p>
        </w:tc>
        <w:tc>
          <w:tcPr>
            <w:tcW w:w="1418" w:type="dxa"/>
            <w:vMerge w:val="continue"/>
            <w:vAlign w:val="center"/>
          </w:tcPr>
          <w:p w14:paraId="20DBBF41">
            <w:pPr>
              <w:widowControl/>
              <w:spacing w:line="360" w:lineRule="exact"/>
              <w:rPr>
                <w:rFonts w:hint="default" w:ascii="Times New Roman" w:hAnsi="Times New Roman" w:eastAsia="方正仿宋_GBK" w:cs="Times New Roman"/>
                <w:sz w:val="28"/>
                <w:szCs w:val="28"/>
              </w:rPr>
            </w:pPr>
          </w:p>
        </w:tc>
        <w:tc>
          <w:tcPr>
            <w:tcW w:w="1153" w:type="dxa"/>
            <w:vAlign w:val="center"/>
          </w:tcPr>
          <w:p w14:paraId="7AF75FBF">
            <w:pPr>
              <w:widowControl/>
              <w:spacing w:line="360" w:lineRule="exact"/>
              <w:rPr>
                <w:rFonts w:hint="default" w:ascii="Times New Roman" w:hAnsi="Times New Roman" w:eastAsia="方正仿宋_GBK" w:cs="Times New Roman"/>
                <w:sz w:val="28"/>
                <w:szCs w:val="28"/>
              </w:rPr>
            </w:pPr>
          </w:p>
        </w:tc>
      </w:tr>
      <w:tr w14:paraId="0D82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2C8F1E9">
            <w:pPr>
              <w:widowControl/>
              <w:snapToGrid w:val="0"/>
              <w:spacing w:line="3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信息公开要求：</w:t>
            </w:r>
          </w:p>
          <w:p w14:paraId="011397F3">
            <w:pPr>
              <w:pStyle w:val="10"/>
              <w:widowControl/>
              <w:snapToGrid w:val="0"/>
              <w:spacing w:line="360" w:lineRule="exact"/>
              <w:ind w:left="0" w:firstLine="560" w:firstLineChars="2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根据《入河排污口监督管理办法》以及HJ1386标准要求，该入河排污口的名称、经纬度、责任主体、监督电话、排口类型等信息应以</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kern w:val="2"/>
                <w:sz w:val="28"/>
                <w:szCs w:val="28"/>
                <w:lang w:eastAsia="zh-CN"/>
              </w:rPr>
              <w:t>标识牌/</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二维码/</w:t>
            </w:r>
            <w:r>
              <w:rPr>
                <w:rFonts w:hint="default" w:ascii="Times New Roman" w:hAnsi="Times New Roman" w:eastAsia="方正仿宋_GBK" w:cs="Times New Roman"/>
                <w:kern w:val="2"/>
                <w:sz w:val="28"/>
                <w:szCs w:val="28"/>
                <w:lang w:eastAsia="zh-CN"/>
              </w:rPr>
              <w:sym w:font="Wingdings 2" w:char="00A3"/>
            </w:r>
            <w:r>
              <w:rPr>
                <w:rFonts w:hint="default" w:ascii="Times New Roman" w:hAnsi="Times New Roman" w:eastAsia="方正仿宋_GBK" w:cs="Times New Roman"/>
                <w:kern w:val="2"/>
                <w:sz w:val="28"/>
                <w:szCs w:val="28"/>
                <w:lang w:eastAsia="zh-CN"/>
              </w:rPr>
              <w:t>显示屏等方式在入河排污口处信息公开。</w:t>
            </w:r>
          </w:p>
        </w:tc>
      </w:tr>
      <w:tr w14:paraId="0CF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945" w:type="dxa"/>
            <w:gridSpan w:val="7"/>
            <w:vAlign w:val="center"/>
          </w:tcPr>
          <w:p w14:paraId="736CA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水污染事故应急处理预案以及环境风险防范措施：</w:t>
            </w:r>
          </w:p>
          <w:p w14:paraId="2C6EA2F4">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2"/>
                <w:sz w:val="28"/>
                <w:szCs w:val="28"/>
                <w:lang w:val="en-US" w:eastAsia="zh-CN" w:bidi="ar-SA"/>
              </w:rPr>
              <w:t>该入河排污口对应的责任主体</w:t>
            </w:r>
            <w:r>
              <w:rPr>
                <w:rFonts w:hint="eastAsia" w:ascii="Times New Roman" w:hAnsi="Times New Roman" w:eastAsia="方正仿宋_GBK" w:cs="Times New Roman"/>
                <w:kern w:val="2"/>
                <w:sz w:val="28"/>
                <w:szCs w:val="28"/>
                <w:lang w:val="en-US" w:eastAsia="zh-CN" w:bidi="ar-SA"/>
              </w:rPr>
              <w:t>彭水县康源矿业发展有限公司</w:t>
            </w:r>
            <w:r>
              <w:rPr>
                <w:rFonts w:hint="default" w:ascii="Times New Roman" w:hAnsi="Times New Roman" w:eastAsia="方正仿宋_GBK" w:cs="Times New Roman"/>
                <w:kern w:val="2"/>
                <w:sz w:val="28"/>
                <w:szCs w:val="28"/>
                <w:lang w:val="en-US" w:eastAsia="zh-CN" w:bidi="ar-SA"/>
              </w:rPr>
              <w:t>应当按照排污单位有关要求，做好污染事故应急处理预案、环境风险防范及应急处置措施，具体包括：</w:t>
            </w:r>
            <w:r>
              <w:rPr>
                <w:rFonts w:hint="default" w:ascii="Times New Roman" w:hAnsi="Times New Roman" w:eastAsia="方正仿宋_GBK" w:cs="Times New Roman"/>
                <w:sz w:val="28"/>
                <w:szCs w:val="28"/>
              </w:rPr>
              <w:t>加强风险防控管理，确保事故防控体系正常运行，不断优化改进事故分级响应和应急处置预案，定期开展应急演练，防止各类污染事故发生，确保发生事故时污染物不会通过该入河排污口进入外环境。</w:t>
            </w:r>
          </w:p>
        </w:tc>
      </w:tr>
      <w:tr w14:paraId="392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659D4971">
            <w:pPr>
              <w:pStyle w:val="10"/>
              <w:keepNext w:val="0"/>
              <w:keepLines w:val="0"/>
              <w:pageBreakBefore w:val="0"/>
              <w:widowControl/>
              <w:kinsoku/>
              <w:wordWrap/>
              <w:overflowPunct/>
              <w:topLinePunct w:val="0"/>
              <w:autoSpaceDE/>
              <w:autoSpaceDN/>
              <w:bidi w:val="0"/>
              <w:adjustRightInd/>
              <w:snapToGrid w:val="0"/>
              <w:spacing w:before="0" w:line="360" w:lineRule="exact"/>
              <w:ind w:left="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水生态环境保护措施：</w:t>
            </w:r>
          </w:p>
          <w:p w14:paraId="19F01165">
            <w:pPr>
              <w:pStyle w:val="10"/>
              <w:keepNext w:val="0"/>
              <w:keepLines w:val="0"/>
              <w:pageBreakBefore w:val="0"/>
              <w:kinsoku/>
              <w:wordWrap/>
              <w:overflowPunct/>
              <w:topLinePunct w:val="0"/>
              <w:autoSpaceDE/>
              <w:autoSpaceDN/>
              <w:bidi w:val="0"/>
              <w:adjustRightInd/>
              <w:snapToGrid w:val="0"/>
              <w:spacing w:before="0" w:line="360" w:lineRule="exact"/>
              <w:ind w:left="0" w:firstLine="560" w:firstLineChars="200"/>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为减免该入河排污口设置带来的不利影响，入河排污口使用过程中应当采取监测、巡查、预警等水生态环境保护措施，具体包括：</w:t>
            </w:r>
            <w:r>
              <w:rPr>
                <w:rFonts w:hint="default" w:ascii="Times New Roman" w:hAnsi="Times New Roman" w:eastAsia="方正仿宋_GBK" w:cs="Times New Roman"/>
                <w:kern w:val="2"/>
                <w:sz w:val="28"/>
                <w:szCs w:val="28"/>
                <w:lang w:val="en-US" w:eastAsia="zh-CN" w:bidi="ar-SA"/>
              </w:rPr>
              <w:t>要在工程运行中，确实把环境保护的硬件设施维护好</w:t>
            </w:r>
            <w:r>
              <w:rPr>
                <w:rFonts w:hint="eastAsia" w:ascii="Times New Roman" w:hAnsi="Times New Roman" w:eastAsia="方正仿宋_GBK"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加强水资源保护的宣传，加强水法规定的宣贯，提高企业全员水资源保护的意识。加强排水口水质与水量的监测，实时监控排水水量及水质，并按水法的要求定期向水行政主管部门报告排水水质水量及污染物排放状况。</w:t>
            </w:r>
          </w:p>
        </w:tc>
      </w:tr>
      <w:tr w14:paraId="2E84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1364114A">
            <w:pPr>
              <w:widowControl/>
              <w:snapToGrid w:val="0"/>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其他需要注意的事项：</w:t>
            </w:r>
          </w:p>
          <w:p w14:paraId="69013BCE">
            <w:pPr>
              <w:pStyle w:val="10"/>
              <w:widowControl/>
              <w:snapToGrid w:val="0"/>
              <w:spacing w:line="3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kern w:val="2"/>
                <w:sz w:val="28"/>
                <w:szCs w:val="28"/>
                <w:lang w:eastAsia="zh-CN"/>
              </w:rPr>
              <w:t>（一）在满足污染排放要求基础上，应符合相关部门对供水、堤防安全和河势稳定等问题的保护措施要求；</w:t>
            </w:r>
          </w:p>
          <w:p w14:paraId="3A9DD825">
            <w:pPr>
              <w:snapToGrid w:val="0"/>
              <w:spacing w:line="3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（二）该入河排污口设置经批准后，如果入河排污口位置、污水排放量、污水处理工艺等发生较大变动的，应重新进行入河排污口设置申请。</w:t>
            </w:r>
          </w:p>
        </w:tc>
      </w:tr>
    </w:tbl>
    <w:p w14:paraId="6A98ADD5">
      <w:pPr>
        <w:pStyle w:val="10"/>
        <w:spacing w:before="0" w:line="360" w:lineRule="exact"/>
        <w:jc w:val="right"/>
        <w:rPr>
          <w:rFonts w:hint="default" w:ascii="Times New Roman" w:hAnsi="Times New Roman" w:eastAsia="方正仿宋_GBK" w:cs="Times New Roman"/>
          <w:spacing w:val="-5"/>
          <w:sz w:val="32"/>
          <w:szCs w:val="32"/>
          <w:lang w:eastAsia="zh-CN"/>
        </w:rPr>
      </w:pPr>
    </w:p>
    <w:p w14:paraId="01E63C90">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pacing w:val="-5"/>
          <w:sz w:val="32"/>
          <w:szCs w:val="32"/>
          <w:lang w:eastAsia="zh-CN"/>
        </w:rPr>
      </w:pPr>
    </w:p>
    <w:p w14:paraId="08265987">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5"/>
          <w:sz w:val="32"/>
          <w:szCs w:val="32"/>
          <w:lang w:eastAsia="zh-CN"/>
        </w:rPr>
        <w:t>彭水苗族土家族自治县生态环境局</w:t>
      </w:r>
    </w:p>
    <w:p w14:paraId="4363DC26">
      <w:pPr>
        <w:pStyle w:val="10"/>
        <w:keepNext w:val="0"/>
        <w:keepLines w:val="0"/>
        <w:pageBreakBefore w:val="0"/>
        <w:widowControl w:val="0"/>
        <w:kinsoku/>
        <w:wordWrap/>
        <w:overflowPunct/>
        <w:topLinePunct w:val="0"/>
        <w:autoSpaceDE/>
        <w:autoSpaceDN/>
        <w:bidi w:val="0"/>
        <w:adjustRightInd/>
        <w:snapToGrid/>
        <w:spacing w:before="0" w:line="560" w:lineRule="exact"/>
        <w:ind w:left="113"/>
        <w:jc w:val="center"/>
        <w:textAlignment w:val="auto"/>
        <w:rPr>
          <w:lang w:eastAsia="zh-CN"/>
        </w:rPr>
      </w:pPr>
      <w:r>
        <w:rPr>
          <w:rFonts w:hint="eastAsia" w:ascii="Times New Roman" w:hAnsi="Times New Roman" w:eastAsia="方正仿宋_GBK" w:cs="Times New Roman"/>
          <w:sz w:val="32"/>
          <w:szCs w:val="32"/>
          <w:lang w:val="en-US" w:eastAsia="zh-CN"/>
        </w:rPr>
        <w:t xml:space="preserve">                     2025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eastAsia="zh-CN"/>
        </w:rPr>
        <w:t>日</w:t>
      </w:r>
    </w:p>
    <w:bookmarkEnd w:id="0"/>
    <w:p w14:paraId="5C2D4BBE">
      <w:pPr>
        <w:topLinePunct/>
        <w:adjustRightInd w:val="0"/>
        <w:spacing w:line="360" w:lineRule="exact"/>
        <w:jc w:val="center"/>
        <w:outlineLvl w:val="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BB8B2E7-B56A-4952-967C-46E05101055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C6C6671A-8A60-41EE-A52A-D542AE9B8362}"/>
  </w:font>
  <w:font w:name="方正仿宋_GBK">
    <w:panose1 w:val="03000509000000000000"/>
    <w:charset w:val="86"/>
    <w:family w:val="script"/>
    <w:pitch w:val="default"/>
    <w:sig w:usb0="00000001" w:usb1="080E0000" w:usb2="00000000" w:usb3="00000000" w:csb0="00040000" w:csb1="00000000"/>
    <w:embedRegular r:id="rId3" w:fontKey="{2645B86C-9FB5-41C0-9264-1BAB2D4D7EE4}"/>
  </w:font>
  <w:font w:name="Wingdings 2">
    <w:panose1 w:val="05020102010507070707"/>
    <w:charset w:val="02"/>
    <w:family w:val="roman"/>
    <w:pitch w:val="default"/>
    <w:sig w:usb0="00000000" w:usb1="00000000" w:usb2="00000000" w:usb3="00000000" w:csb0="80000000" w:csb1="00000000"/>
    <w:embedRegular r:id="rId4" w:fontKey="{1F135E1A-543E-4E31-8A03-EBA815F92CC0}"/>
  </w:font>
  <w:font w:name="等线 Ligh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D802">
    <w:pPr>
      <w:pStyle w:val="1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565708"/>
    <w:rsid w:val="02B01361"/>
    <w:rsid w:val="034A5312"/>
    <w:rsid w:val="04472A79"/>
    <w:rsid w:val="05034C75"/>
    <w:rsid w:val="05F31C91"/>
    <w:rsid w:val="067D17F3"/>
    <w:rsid w:val="0A9139A7"/>
    <w:rsid w:val="0BC11EE9"/>
    <w:rsid w:val="0BFDA643"/>
    <w:rsid w:val="0CA27F6D"/>
    <w:rsid w:val="0CBE28CD"/>
    <w:rsid w:val="0D0A1357"/>
    <w:rsid w:val="0D841421"/>
    <w:rsid w:val="0E2436DF"/>
    <w:rsid w:val="0EAFFE13"/>
    <w:rsid w:val="0EBD0938"/>
    <w:rsid w:val="0F2C7FC2"/>
    <w:rsid w:val="0F6A6E6B"/>
    <w:rsid w:val="0FBF4992"/>
    <w:rsid w:val="0FDB09EB"/>
    <w:rsid w:val="0FDD5904"/>
    <w:rsid w:val="0FE509AF"/>
    <w:rsid w:val="10EC17B7"/>
    <w:rsid w:val="12DA28E8"/>
    <w:rsid w:val="13463021"/>
    <w:rsid w:val="13565192"/>
    <w:rsid w:val="1398780B"/>
    <w:rsid w:val="151D2886"/>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4B97116"/>
    <w:rsid w:val="25903571"/>
    <w:rsid w:val="26094761"/>
    <w:rsid w:val="264D0715"/>
    <w:rsid w:val="268A0303"/>
    <w:rsid w:val="272555CB"/>
    <w:rsid w:val="274F0C47"/>
    <w:rsid w:val="27624AEB"/>
    <w:rsid w:val="29210904"/>
    <w:rsid w:val="298A3D09"/>
    <w:rsid w:val="29A80A9E"/>
    <w:rsid w:val="2A9071FF"/>
    <w:rsid w:val="2B176FCC"/>
    <w:rsid w:val="2BD36676"/>
    <w:rsid w:val="2C486806"/>
    <w:rsid w:val="2D172C70"/>
    <w:rsid w:val="2D8F379E"/>
    <w:rsid w:val="2D9B2143"/>
    <w:rsid w:val="2DA6475A"/>
    <w:rsid w:val="2DB07F4C"/>
    <w:rsid w:val="2E112405"/>
    <w:rsid w:val="2E3D144C"/>
    <w:rsid w:val="2EC35DF5"/>
    <w:rsid w:val="2F4F7689"/>
    <w:rsid w:val="2F5FD4B2"/>
    <w:rsid w:val="2FCA31B3"/>
    <w:rsid w:val="300918C9"/>
    <w:rsid w:val="3062639E"/>
    <w:rsid w:val="306A37CA"/>
    <w:rsid w:val="30B453C0"/>
    <w:rsid w:val="318D26EA"/>
    <w:rsid w:val="32290665"/>
    <w:rsid w:val="327318E0"/>
    <w:rsid w:val="32A61270"/>
    <w:rsid w:val="33154729"/>
    <w:rsid w:val="33BF2903"/>
    <w:rsid w:val="34486852"/>
    <w:rsid w:val="34847DD4"/>
    <w:rsid w:val="34DF51DF"/>
    <w:rsid w:val="3659CF09"/>
    <w:rsid w:val="371D201C"/>
    <w:rsid w:val="375872F6"/>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2246DB"/>
    <w:rsid w:val="4484797D"/>
    <w:rsid w:val="44C257D4"/>
    <w:rsid w:val="44C8791D"/>
    <w:rsid w:val="450F36EA"/>
    <w:rsid w:val="451B0CEB"/>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6914C6"/>
    <w:rsid w:val="4FA233AD"/>
    <w:rsid w:val="4FFF2D6A"/>
    <w:rsid w:val="50227C85"/>
    <w:rsid w:val="50BE690B"/>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484FC5"/>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9863C2"/>
    <w:rsid w:val="60BF4586"/>
    <w:rsid w:val="61330309"/>
    <w:rsid w:val="614B6D12"/>
    <w:rsid w:val="61E5A510"/>
    <w:rsid w:val="625C7A39"/>
    <w:rsid w:val="62F021A1"/>
    <w:rsid w:val="63490BD7"/>
    <w:rsid w:val="63A364B9"/>
    <w:rsid w:val="63BE1555"/>
    <w:rsid w:val="63FA6B1B"/>
    <w:rsid w:val="647F13A0"/>
    <w:rsid w:val="64B79261"/>
    <w:rsid w:val="64D33A17"/>
    <w:rsid w:val="658E3D60"/>
    <w:rsid w:val="65F9C941"/>
    <w:rsid w:val="66521231"/>
    <w:rsid w:val="66703608"/>
    <w:rsid w:val="66EDEF08"/>
    <w:rsid w:val="66F355ED"/>
    <w:rsid w:val="66FFF09D"/>
    <w:rsid w:val="677A0108"/>
    <w:rsid w:val="679F2D57"/>
    <w:rsid w:val="679F61E3"/>
    <w:rsid w:val="67B236E0"/>
    <w:rsid w:val="67C47F0C"/>
    <w:rsid w:val="67DD9C20"/>
    <w:rsid w:val="67EC1211"/>
    <w:rsid w:val="67FF0B6A"/>
    <w:rsid w:val="67FFD784"/>
    <w:rsid w:val="68F842D5"/>
    <w:rsid w:val="68FB333A"/>
    <w:rsid w:val="692C7B17"/>
    <w:rsid w:val="693C34D0"/>
    <w:rsid w:val="6A2B31C3"/>
    <w:rsid w:val="6AF369C1"/>
    <w:rsid w:val="6B7F24B4"/>
    <w:rsid w:val="6BC95AF1"/>
    <w:rsid w:val="6BEBED43"/>
    <w:rsid w:val="6BFF439A"/>
    <w:rsid w:val="6C7216FC"/>
    <w:rsid w:val="6CEE572F"/>
    <w:rsid w:val="6D036DE1"/>
    <w:rsid w:val="6D2500AA"/>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31AB8"/>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22B16"/>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35FD4"/>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paragraph" w:styleId="6">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qFormat/>
    <w:uiPriority w:val="0"/>
    <w:pPr>
      <w:widowControl w:val="0"/>
      <w:adjustRightInd w:val="0"/>
      <w:snapToGrid w:val="0"/>
      <w:spacing w:line="360" w:lineRule="auto"/>
      <w:ind w:firstLine="1040" w:firstLineChars="200"/>
    </w:pPr>
    <w:rPr>
      <w:rFonts w:ascii="Times New Roman" w:hAnsi="Times New Roman" w:eastAsia="宋体" w:cs="宋体"/>
      <w:kern w:val="2"/>
      <w:sz w:val="24"/>
      <w:lang w:val="en-US" w:eastAsia="zh-CN" w:bidi="ar-SA"/>
    </w:rPr>
  </w:style>
  <w:style w:type="paragraph" w:styleId="7">
    <w:name w:val="toc 7"/>
    <w:basedOn w:val="1"/>
    <w:next w:val="1"/>
    <w:unhideWhenUsed/>
    <w:qFormat/>
    <w:uiPriority w:val="39"/>
    <w:pPr>
      <w:ind w:left="1260"/>
      <w:jc w:val="left"/>
    </w:pPr>
    <w:rPr>
      <w:rFonts w:ascii="等线" w:eastAsia="等线"/>
      <w:sz w:val="18"/>
      <w:szCs w:val="18"/>
    </w:rPr>
  </w:style>
  <w:style w:type="paragraph" w:styleId="8">
    <w:name w:val="annotation text"/>
    <w:basedOn w:val="1"/>
    <w:link w:val="42"/>
    <w:unhideWhenUsed/>
    <w:qFormat/>
    <w:uiPriority w:val="99"/>
    <w:pPr>
      <w:jc w:val="left"/>
    </w:pPr>
  </w:style>
  <w:style w:type="paragraph" w:styleId="9">
    <w:name w:val="Salutation"/>
    <w:basedOn w:val="1"/>
    <w:next w:val="1"/>
    <w:link w:val="43"/>
    <w:qFormat/>
    <w:uiPriority w:val="0"/>
    <w:rPr>
      <w:szCs w:val="20"/>
      <w:lang w:bidi="mn-Mong-CN"/>
    </w:rPr>
  </w:style>
  <w:style w:type="paragraph" w:styleId="10">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1">
    <w:name w:val="toc 5"/>
    <w:basedOn w:val="1"/>
    <w:next w:val="1"/>
    <w:unhideWhenUsed/>
    <w:qFormat/>
    <w:uiPriority w:val="39"/>
    <w:pPr>
      <w:ind w:left="840"/>
      <w:jc w:val="left"/>
    </w:pPr>
    <w:rPr>
      <w:rFonts w:ascii="等线" w:eastAsia="等线"/>
      <w:sz w:val="18"/>
      <w:szCs w:val="18"/>
    </w:rPr>
  </w:style>
  <w:style w:type="paragraph" w:styleId="12">
    <w:name w:val="toc 3"/>
    <w:basedOn w:val="1"/>
    <w:next w:val="1"/>
    <w:unhideWhenUsed/>
    <w:qFormat/>
    <w:uiPriority w:val="39"/>
    <w:pPr>
      <w:ind w:left="420"/>
      <w:jc w:val="left"/>
    </w:pPr>
    <w:rPr>
      <w:rFonts w:ascii="等线" w:eastAsia="等线"/>
      <w:i/>
      <w:iCs/>
      <w:sz w:val="20"/>
      <w:szCs w:val="20"/>
    </w:rPr>
  </w:style>
  <w:style w:type="paragraph" w:styleId="13">
    <w:name w:val="toc 8"/>
    <w:basedOn w:val="1"/>
    <w:next w:val="1"/>
    <w:unhideWhenUsed/>
    <w:qFormat/>
    <w:uiPriority w:val="39"/>
    <w:pPr>
      <w:ind w:left="1470"/>
      <w:jc w:val="left"/>
    </w:pPr>
    <w:rPr>
      <w:rFonts w:ascii="等线" w:eastAsia="等线"/>
      <w:sz w:val="18"/>
      <w:szCs w:val="18"/>
    </w:rPr>
  </w:style>
  <w:style w:type="paragraph" w:styleId="14">
    <w:name w:val="Date"/>
    <w:basedOn w:val="1"/>
    <w:next w:val="1"/>
    <w:link w:val="44"/>
    <w:unhideWhenUsed/>
    <w:qFormat/>
    <w:uiPriority w:val="99"/>
    <w:pPr>
      <w:ind w:left="100" w:leftChars="2500"/>
    </w:pPr>
  </w:style>
  <w:style w:type="paragraph" w:styleId="15">
    <w:name w:val="Body Text Indent 2"/>
    <w:basedOn w:val="1"/>
    <w:link w:val="45"/>
    <w:qFormat/>
    <w:uiPriority w:val="0"/>
    <w:pPr>
      <w:spacing w:after="120" w:line="480" w:lineRule="auto"/>
      <w:ind w:left="420" w:leftChars="200" w:firstLine="200" w:firstLineChars="200"/>
    </w:pPr>
    <w:rPr>
      <w:szCs w:val="24"/>
    </w:rPr>
  </w:style>
  <w:style w:type="paragraph" w:styleId="16">
    <w:name w:val="endnote text"/>
    <w:basedOn w:val="1"/>
    <w:link w:val="46"/>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等线" w:eastAsia="等线"/>
      <w:b/>
      <w:bCs/>
      <w:caps/>
      <w:sz w:val="20"/>
      <w:szCs w:val="20"/>
    </w:rPr>
  </w:style>
  <w:style w:type="paragraph" w:styleId="21">
    <w:name w:val="toc 4"/>
    <w:basedOn w:val="1"/>
    <w:next w:val="1"/>
    <w:unhideWhenUsed/>
    <w:qFormat/>
    <w:uiPriority w:val="39"/>
    <w:pPr>
      <w:ind w:left="630"/>
      <w:jc w:val="left"/>
    </w:pPr>
    <w:rPr>
      <w:rFonts w:ascii="等线" w:eastAsia="等线"/>
      <w:sz w:val="18"/>
      <w:szCs w:val="18"/>
    </w:rPr>
  </w:style>
  <w:style w:type="paragraph" w:styleId="22">
    <w:name w:val="footnote text"/>
    <w:basedOn w:val="1"/>
    <w:link w:val="50"/>
    <w:unhideWhenUsed/>
    <w:qFormat/>
    <w:uiPriority w:val="99"/>
    <w:pPr>
      <w:snapToGrid w:val="0"/>
      <w:jc w:val="left"/>
    </w:pPr>
    <w:rPr>
      <w:sz w:val="18"/>
      <w:szCs w:val="18"/>
    </w:rPr>
  </w:style>
  <w:style w:type="paragraph" w:styleId="23">
    <w:name w:val="toc 6"/>
    <w:basedOn w:val="1"/>
    <w:next w:val="1"/>
    <w:unhideWhenUsed/>
    <w:qFormat/>
    <w:uiPriority w:val="39"/>
    <w:pPr>
      <w:ind w:left="1050"/>
      <w:jc w:val="left"/>
    </w:pPr>
    <w:rPr>
      <w:rFonts w:ascii="等线" w:eastAsia="等线"/>
      <w:sz w:val="18"/>
      <w:szCs w:val="18"/>
    </w:rPr>
  </w:style>
  <w:style w:type="paragraph" w:styleId="24">
    <w:name w:val="toc 2"/>
    <w:basedOn w:val="1"/>
    <w:next w:val="1"/>
    <w:unhideWhenUsed/>
    <w:qFormat/>
    <w:uiPriority w:val="39"/>
    <w:pPr>
      <w:ind w:left="210"/>
      <w:jc w:val="left"/>
    </w:pPr>
    <w:rPr>
      <w:rFonts w:ascii="等线" w:eastAsia="等线"/>
      <w:smallCaps/>
      <w:sz w:val="20"/>
      <w:szCs w:val="20"/>
    </w:rPr>
  </w:style>
  <w:style w:type="paragraph" w:styleId="25">
    <w:name w:val="toc 9"/>
    <w:basedOn w:val="1"/>
    <w:next w:val="1"/>
    <w:unhideWhenUsed/>
    <w:qFormat/>
    <w:uiPriority w:val="39"/>
    <w:pPr>
      <w:ind w:left="1680"/>
      <w:jc w:val="left"/>
    </w:pPr>
    <w:rPr>
      <w:rFonts w:ascii="等线" w:eastAsia="等线"/>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8"/>
    <w:next w:val="8"/>
    <w:link w:val="51"/>
    <w:unhideWhenUsed/>
    <w:qFormat/>
    <w:uiPriority w:val="99"/>
    <w:rPr>
      <w:b/>
      <w:bCs/>
    </w:rPr>
  </w:style>
  <w:style w:type="table" w:styleId="29">
    <w:name w:val="Table Grid"/>
    <w:basedOn w:val="28"/>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字符1"/>
    <w:link w:val="10"/>
    <w:qFormat/>
    <w:uiPriority w:val="0"/>
    <w:rPr>
      <w:rFonts w:ascii="仿宋_GB2312" w:hAnsi="仿宋_GB2312" w:eastAsia="仿宋_GB2312" w:cs="Times New Roman"/>
      <w:sz w:val="30"/>
      <w:szCs w:val="30"/>
      <w:lang w:eastAsia="en-US" w:bidi="ar-SA"/>
    </w:rPr>
  </w:style>
  <w:style w:type="character" w:customStyle="1" w:styleId="39">
    <w:name w:val="标题 1 字符1"/>
    <w:link w:val="3"/>
    <w:qFormat/>
    <w:uiPriority w:val="0"/>
    <w:rPr>
      <w:rFonts w:ascii="等线" w:hAnsi="等线" w:eastAsia="等线" w:cs="Times New Roman"/>
      <w:b/>
      <w:bCs/>
      <w:kern w:val="44"/>
      <w:sz w:val="44"/>
      <w:szCs w:val="44"/>
      <w:lang w:bidi="ar-SA"/>
    </w:rPr>
  </w:style>
  <w:style w:type="character" w:customStyle="1" w:styleId="40">
    <w:name w:val="标题 2 字符"/>
    <w:link w:val="4"/>
    <w:qFormat/>
    <w:uiPriority w:val="9"/>
    <w:rPr>
      <w:rFonts w:ascii="Calibri Light" w:hAnsi="Calibri Light" w:eastAsia="宋体" w:cs="Mongolian Baiti"/>
      <w:b/>
      <w:bCs/>
      <w:sz w:val="32"/>
      <w:szCs w:val="32"/>
      <w:lang w:bidi="ar-SA"/>
    </w:rPr>
  </w:style>
  <w:style w:type="character" w:customStyle="1" w:styleId="41">
    <w:name w:val="标题 3 字符"/>
    <w:link w:val="5"/>
    <w:semiHidden/>
    <w:qFormat/>
    <w:uiPriority w:val="9"/>
    <w:rPr>
      <w:rFonts w:ascii="Times New Roman" w:hAnsi="Times New Roman" w:eastAsia="宋体" w:cs="Times New Roman"/>
      <w:b/>
      <w:bCs/>
      <w:kern w:val="2"/>
      <w:sz w:val="32"/>
      <w:szCs w:val="32"/>
      <w:lang w:bidi="ar-SA"/>
    </w:rPr>
  </w:style>
  <w:style w:type="character" w:customStyle="1" w:styleId="42">
    <w:name w:val="批注文字 字符"/>
    <w:link w:val="8"/>
    <w:qFormat/>
    <w:uiPriority w:val="99"/>
    <w:rPr>
      <w:rFonts w:ascii="Times New Roman" w:hAnsi="Times New Roman" w:eastAsia="宋体" w:cs="Times New Roman"/>
      <w:szCs w:val="22"/>
      <w:lang w:bidi="ar-SA"/>
    </w:rPr>
  </w:style>
  <w:style w:type="character" w:customStyle="1" w:styleId="43">
    <w:name w:val="称呼 字符"/>
    <w:link w:val="9"/>
    <w:qFormat/>
    <w:uiPriority w:val="0"/>
    <w:rPr>
      <w:rFonts w:ascii="Times New Roman" w:hAnsi="Times New Roman" w:eastAsia="宋体" w:cs="Times New Roman"/>
      <w:kern w:val="2"/>
      <w:sz w:val="21"/>
    </w:rPr>
  </w:style>
  <w:style w:type="character" w:customStyle="1" w:styleId="44">
    <w:name w:val="日期 字符"/>
    <w:link w:val="14"/>
    <w:semiHidden/>
    <w:qFormat/>
    <w:uiPriority w:val="99"/>
    <w:rPr>
      <w:rFonts w:ascii="Times New Roman" w:hAnsi="Times New Roman" w:eastAsia="宋体" w:cs="Times New Roman"/>
      <w:kern w:val="2"/>
      <w:sz w:val="21"/>
      <w:szCs w:val="22"/>
      <w:lang w:bidi="ar-SA"/>
    </w:rPr>
  </w:style>
  <w:style w:type="character" w:customStyle="1" w:styleId="45">
    <w:name w:val="正文文本缩进 2 字符"/>
    <w:link w:val="15"/>
    <w:qFormat/>
    <w:uiPriority w:val="0"/>
    <w:rPr>
      <w:rFonts w:ascii="Times New Roman" w:hAnsi="Times New Roman" w:eastAsia="宋体" w:cs="Times New Roman"/>
      <w:kern w:val="2"/>
      <w:sz w:val="21"/>
      <w:szCs w:val="24"/>
      <w:lang w:bidi="ar-SA"/>
    </w:rPr>
  </w:style>
  <w:style w:type="character" w:customStyle="1" w:styleId="46">
    <w:name w:val="尾注文本 字符"/>
    <w:link w:val="16"/>
    <w:semiHidden/>
    <w:qFormat/>
    <w:uiPriority w:val="99"/>
    <w:rPr>
      <w:rFonts w:ascii="Times New Roman" w:hAnsi="Times New Roman" w:eastAsia="宋体" w:cs="Times New Roman"/>
      <w:kern w:val="2"/>
      <w:sz w:val="21"/>
      <w:szCs w:val="22"/>
      <w:lang w:bidi="ar-SA"/>
    </w:rPr>
  </w:style>
  <w:style w:type="character" w:customStyle="1" w:styleId="47">
    <w:name w:val="批注框文本 字符"/>
    <w:link w:val="17"/>
    <w:semiHidden/>
    <w:qFormat/>
    <w:uiPriority w:val="99"/>
    <w:rPr>
      <w:rFonts w:ascii="Times New Roman" w:hAnsi="Times New Roman" w:eastAsia="宋体" w:cs="Times New Roman"/>
      <w:sz w:val="18"/>
      <w:szCs w:val="18"/>
      <w:lang w:bidi="ar-SA"/>
    </w:rPr>
  </w:style>
  <w:style w:type="character" w:customStyle="1" w:styleId="48">
    <w:name w:val="页脚 字符"/>
    <w:link w:val="18"/>
    <w:qFormat/>
    <w:uiPriority w:val="99"/>
    <w:rPr>
      <w:rFonts w:ascii="等线" w:hAnsi="等线" w:eastAsia="等线" w:cs="Times New Roman"/>
      <w:sz w:val="18"/>
      <w:szCs w:val="18"/>
      <w:lang w:bidi="ar-SA"/>
    </w:rPr>
  </w:style>
  <w:style w:type="character" w:customStyle="1" w:styleId="49">
    <w:name w:val="页眉 字符"/>
    <w:link w:val="19"/>
    <w:qFormat/>
    <w:uiPriority w:val="99"/>
    <w:rPr>
      <w:kern w:val="2"/>
      <w:sz w:val="18"/>
      <w:szCs w:val="18"/>
      <w:lang w:bidi="ar-SA"/>
    </w:rPr>
  </w:style>
  <w:style w:type="character" w:customStyle="1" w:styleId="50">
    <w:name w:val="脚注文本 字符"/>
    <w:link w:val="22"/>
    <w:semiHidden/>
    <w:qFormat/>
    <w:uiPriority w:val="99"/>
    <w:rPr>
      <w:rFonts w:ascii="Times New Roman" w:hAnsi="Times New Roman" w:eastAsia="宋体" w:cs="Times New Roman"/>
      <w:kern w:val="2"/>
      <w:sz w:val="18"/>
      <w:szCs w:val="18"/>
      <w:lang w:bidi="ar-SA"/>
    </w:rPr>
  </w:style>
  <w:style w:type="character" w:customStyle="1" w:styleId="51">
    <w:name w:val="批注主题 字符"/>
    <w:link w:val="27"/>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4"/>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3"/>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字符"/>
    <w:basedOn w:val="30"/>
    <w:link w:val="6"/>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1315</Words>
  <Characters>1460</Characters>
  <Lines>26</Lines>
  <Paragraphs>7</Paragraphs>
  <TotalTime>0</TotalTime>
  <ScaleCrop>false</ScaleCrop>
  <LinksUpToDate>false</LinksUpToDate>
  <CharactersWithSpaces>1539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123456</cp:lastModifiedBy>
  <cp:lastPrinted>2024-12-26T07:40:00Z</cp:lastPrinted>
  <dcterms:modified xsi:type="dcterms:W3CDTF">2025-07-25T08:43:09Z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77E19DC707D14E6A97A47C03BABDECE0_13</vt:lpwstr>
  </property>
  <property fmtid="{D5CDD505-2E9C-101B-9397-08002B2CF9AE}" pid="4" name="KSOTemplateDocerSaveRecord">
    <vt:lpwstr>eyJoZGlkIjoiOTBhYWQ0ZGNmNmNjM2Y5OTlhNjU1ODVjMmI2MzkyYWYiLCJ1c2VySWQiOiIyMjczNDExMjEifQ==</vt:lpwstr>
  </property>
</Properties>
</file>