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14:paraId="7C37E6D9">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3DBCB6C">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4E2CACC">
      <w:pPr>
        <w:widowControl/>
        <w:ind w:firstLine="0" w:firstLineChars="0"/>
        <w:jc w:val="center"/>
        <w:rPr>
          <w:rFonts w:eastAsia="华文中宋" w:cs="Times New Roman"/>
          <w:color w:val="000000" w:themeColor="text1"/>
          <w:spacing w:val="-3"/>
          <w:position w:val="17"/>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20A82504">
      <w:pPr>
        <w:widowControl/>
        <w:ind w:firstLine="0" w:firstLineChars="0"/>
        <w:jc w:val="center"/>
        <w:rPr>
          <w:rFonts w:ascii="宋体" w:hAnsi="宋体" w:cs="Times New Roman"/>
          <w:color w:val="000000" w:themeColor="text1"/>
          <w:sz w:val="44"/>
          <w:szCs w:val="44"/>
          <w14:textFill>
            <w14:solidFill>
              <w14:schemeClr w14:val="tx1"/>
            </w14:solidFill>
          </w14:textFill>
        </w:rPr>
      </w:pPr>
      <w:r>
        <w:rPr>
          <w:rFonts w:hint="eastAsia"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彭水苗族土家族自治县芦塘乡（板栗村）污水处理厂新建</w:t>
      </w:r>
      <w:r>
        <w:rPr>
          <w:rFonts w:ascii="宋体" w:hAnsi="宋体" w:cs="Times New Roman"/>
          <w:color w:val="000000" w:themeColor="text1"/>
          <w:spacing w:val="-3"/>
          <w:position w:val="17"/>
          <w:sz w:val="44"/>
          <w:szCs w:val="44"/>
          <w14:textOutline w14:w="9385" w14:cap="flat" w14:cmpd="sng" w14:algn="ctr">
            <w14:solidFill>
              <w14:srgbClr w14:val="000000"/>
            </w14:solidFill>
            <w14:prstDash w14:val="solid"/>
            <w14:miter w14:val="0"/>
          </w14:textOutline>
          <w14:textFill>
            <w14:solidFill>
              <w14:schemeClr w14:val="tx1"/>
            </w14:solidFill>
          </w14:textFill>
        </w:rPr>
        <w:t>工程</w:t>
      </w:r>
    </w:p>
    <w:p w14:paraId="2D26D847">
      <w:pPr>
        <w:widowControl/>
        <w:ind w:firstLine="0" w:firstLineChars="0"/>
        <w:jc w:val="cente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pPr>
      <w:r>
        <w:rPr>
          <w:rFonts w:ascii="宋体" w:hAnsi="宋体" w:cs="Times New Roman"/>
          <w:color w:val="000000" w:themeColor="text1"/>
          <w:spacing w:val="-2"/>
          <w:sz w:val="44"/>
          <w:szCs w:val="44"/>
          <w14:textOutline w14:w="9385" w14:cap="flat" w14:cmpd="sng" w14:algn="ctr">
            <w14:solidFill>
              <w14:srgbClr w14:val="000000"/>
            </w14:solidFill>
            <w14:prstDash w14:val="solid"/>
            <w14:miter w14:val="0"/>
          </w14:textOutline>
          <w14:textFill>
            <w14:solidFill>
              <w14:schemeClr w14:val="tx1"/>
            </w14:solidFill>
          </w14:textFill>
        </w:rPr>
        <w:t>入河排污口设置论证报告</w:t>
      </w:r>
    </w:p>
    <w:p w14:paraId="0956EFC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73461FF2">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7730404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F123958">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198091FC">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334E9CB7">
      <w:pPr>
        <w:widowControl/>
        <w:ind w:firstLine="0" w:firstLineChars="0"/>
        <w:jc w:val="center"/>
        <w:rPr>
          <w:rFonts w:eastAsia="华文中宋" w:cs="Times New Roman"/>
          <w:color w:val="000000" w:themeColor="text1"/>
          <w:spacing w:val="-2"/>
          <w:sz w:val="48"/>
          <w:szCs w:val="48"/>
          <w14:textOutline w14:w="9385" w14:cap="flat" w14:cmpd="sng" w14:algn="ctr">
            <w14:solidFill>
              <w14:srgbClr w14:val="000000"/>
            </w14:solidFill>
            <w14:prstDash w14:val="solid"/>
            <w14:miter w14:val="0"/>
          </w14:textOutline>
          <w14:textFill>
            <w14:solidFill>
              <w14:schemeClr w14:val="tx1"/>
            </w14:solidFill>
          </w14:textFill>
        </w:rPr>
      </w:pPr>
    </w:p>
    <w:p w14:paraId="039AD9B3">
      <w:pPr>
        <w:widowControl/>
        <w:ind w:left="850" w:leftChars="354" w:firstLine="0" w:firstLineChars="0"/>
        <w:jc w:val="left"/>
        <w:rPr>
          <w:rFonts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建设单位：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重庆环保投资集团有限公司</w:t>
      </w:r>
    </w:p>
    <w:p w14:paraId="22EDDC3F">
      <w:pPr>
        <w:widowControl/>
        <w:ind w:left="850" w:leftChars="354" w:firstLine="0" w:firstLineChars="0"/>
        <w:jc w:val="left"/>
        <w:rPr>
          <w:rFonts w:ascii="宋体" w:hAnsi="宋体" w:cs="Times New Roman"/>
          <w:color w:val="000000" w:themeColor="text1"/>
          <w:sz w:val="36"/>
          <w:szCs w:val="36"/>
          <w14:textFill>
            <w14:solidFill>
              <w14:schemeClr w14:val="tx1"/>
            </w14:solidFill>
          </w14:textFill>
        </w:rPr>
      </w:pPr>
      <w:r>
        <w:rPr>
          <w:rFonts w:hint="eastAsia" w:ascii="宋体" w:hAnsi="宋体" w:cs="Times New Roman"/>
          <w:color w:val="000000" w:themeColor="text1"/>
          <w:spacing w:val="-1"/>
          <w:position w:val="13"/>
          <w:sz w:val="36"/>
          <w:szCs w:val="36"/>
          <w14:textOutline w14:w="7035" w14:cap="flat" w14:cmpd="sng" w14:algn="ctr">
            <w14:solidFill>
              <w14:srgbClr w14:val="000000"/>
            </w14:solidFill>
            <w14:prstDash w14:val="solid"/>
            <w14:miter w14:val="0"/>
          </w14:textOutline>
          <w14:textFill>
            <w14:solidFill>
              <w14:schemeClr w14:val="tx1"/>
            </w14:solidFill>
          </w14:textFill>
        </w:rPr>
        <w:t>编制单位：</w:t>
      </w:r>
      <w:r>
        <w:rPr>
          <w:rFonts w:hint="eastAsia" w:ascii="宋体" w:hAnsi="宋体" w:cs="Times New Roman"/>
          <w:color w:val="000000" w:themeColor="text1"/>
          <w:spacing w:val="-1"/>
          <w:position w:val="13"/>
          <w:sz w:val="36"/>
          <w:szCs w:val="36"/>
          <w:u w:val="single"/>
          <w14:textOutline w14:w="7035" w14:cap="flat" w14:cmpd="sng" w14:algn="ctr">
            <w14:solidFill>
              <w14:srgbClr w14:val="000000"/>
            </w14:solidFill>
            <w14:prstDash w14:val="solid"/>
            <w14:miter w14:val="0"/>
          </w14:textOutline>
          <w14:textFill>
            <w14:solidFill>
              <w14:schemeClr w14:val="tx1"/>
            </w14:solidFill>
          </w14:textFill>
        </w:rPr>
        <w:t>重庆新天地环境检测技术有限公司</w:t>
      </w:r>
    </w:p>
    <w:p w14:paraId="53B8D222">
      <w:pPr>
        <w:widowControl/>
        <w:ind w:firstLine="0" w:firstLineChars="0"/>
        <w:jc w:val="center"/>
        <w:rPr>
          <w:rFonts w:ascii="宋体" w:hAnsi="宋体" w:cs="Times New Roman"/>
          <w:color w:val="000000" w:themeColor="text1"/>
          <w:sz w:val="36"/>
          <w:szCs w:val="36"/>
          <w14:textFill>
            <w14:solidFill>
              <w14:schemeClr w14:val="tx1"/>
            </w14:solidFill>
          </w14:textFill>
        </w:rPr>
      </w:pP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二〇二</w:t>
      </w:r>
      <w:r>
        <w:rPr>
          <w:rFonts w:hint="eastAsia"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五</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年</w:t>
      </w:r>
      <w:r>
        <w:rPr>
          <w:rFonts w:hint="eastAsia"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二</w:t>
      </w:r>
      <w:r>
        <w:rPr>
          <w:rFonts w:ascii="宋体" w:hAnsi="宋体" w:cs="Times New Roman"/>
          <w:color w:val="000000" w:themeColor="text1"/>
          <w:spacing w:val="-2"/>
          <w:sz w:val="36"/>
          <w:szCs w:val="36"/>
          <w14:textOutline w14:w="7035" w14:cap="flat" w14:cmpd="sng" w14:algn="ctr">
            <w14:solidFill>
              <w14:srgbClr w14:val="000000"/>
            </w14:solidFill>
            <w14:prstDash w14:val="solid"/>
            <w14:miter w14:val="0"/>
          </w14:textOutline>
          <w14:textFill>
            <w14:solidFill>
              <w14:schemeClr w14:val="tx1"/>
            </w14:solidFill>
          </w14:textFill>
        </w:rPr>
        <w:t>月</w:t>
      </w:r>
    </w:p>
    <w:p w14:paraId="4D86E2B5">
      <w:pPr>
        <w:ind w:firstLine="48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3BE3D05A">
      <w:pPr>
        <w:ind w:firstLine="0" w:firstLineChars="0"/>
        <w:jc w:val="center"/>
        <w:rPr>
          <w:b/>
          <w:color w:val="000000" w:themeColor="text1"/>
          <w:sz w:val="32"/>
          <w:szCs w:val="32"/>
          <w14:textFill>
            <w14:solidFill>
              <w14:schemeClr w14:val="tx1"/>
            </w14:solidFill>
          </w14:textFill>
        </w:rPr>
      </w:pPr>
    </w:p>
    <w:p w14:paraId="5BEF05A6">
      <w:pPr>
        <w:ind w:firstLine="0" w:firstLineChars="0"/>
        <w:jc w:val="center"/>
        <w:rPr>
          <w:b/>
          <w:color w:val="000000" w:themeColor="text1"/>
          <w:sz w:val="32"/>
          <w:szCs w:val="32"/>
          <w14:textFill>
            <w14:solidFill>
              <w14:schemeClr w14:val="tx1"/>
            </w14:solidFill>
          </w14:textFill>
        </w:rPr>
      </w:pPr>
    </w:p>
    <w:p w14:paraId="52FEA459">
      <w:pPr>
        <w:ind w:firstLine="0" w:firstLineChars="0"/>
        <w:jc w:val="center"/>
        <w:rPr>
          <w:b/>
          <w:snapToGrid/>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彭水苗族土家族自治县芦塘乡（板栗村）污水处理厂新建工程入河排污口设置论证报告</w:t>
      </w:r>
    </w:p>
    <w:p w14:paraId="4C72D17B">
      <w:pPr>
        <w:ind w:firstLine="0" w:firstLineChars="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编制人员名单</w:t>
      </w:r>
    </w:p>
    <w:p w14:paraId="7671DFEC">
      <w:pPr>
        <w:ind w:firstLine="0" w:firstLineChars="0"/>
        <w:jc w:val="center"/>
        <w:rPr>
          <w:b/>
          <w:color w:val="000000" w:themeColor="text1"/>
          <w:sz w:val="32"/>
          <w:szCs w:val="32"/>
          <w14:textFill>
            <w14:solidFill>
              <w14:schemeClr w14:val="tx1"/>
            </w14:solidFill>
          </w14:textFill>
        </w:rPr>
      </w:pPr>
    </w:p>
    <w:p w14:paraId="102A6892">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项目负责人：</w:t>
      </w:r>
    </w:p>
    <w:p w14:paraId="1193B44D">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技术负责人：</w:t>
      </w:r>
    </w:p>
    <w:p w14:paraId="750772A5">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校</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核：</w:t>
      </w:r>
    </w:p>
    <w:p w14:paraId="12FD7011">
      <w:pPr>
        <w:spacing w:line="780" w:lineRule="auto"/>
        <w:ind w:firstLine="1680" w:firstLine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报</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告</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编</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制：</w:t>
      </w:r>
    </w:p>
    <w:p w14:paraId="2E039AED">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F086D3B">
      <w:pPr>
        <w:ind w:firstLine="618"/>
        <w:jc w:val="center"/>
        <w:rPr>
          <w:b/>
          <w:color w:val="000000" w:themeColor="text1"/>
          <w:w w:val="96"/>
          <w:sz w:val="32"/>
          <w:szCs w:val="32"/>
          <w14:textFill>
            <w14:solidFill>
              <w14:schemeClr w14:val="tx1"/>
            </w14:solidFill>
          </w14:textFill>
        </w:rPr>
      </w:pPr>
      <w:bookmarkStart w:id="0" w:name="_Toc141105553"/>
      <w:r>
        <w:rPr>
          <w:rFonts w:hint="eastAsia"/>
          <w:b/>
          <w:color w:val="000000" w:themeColor="text1"/>
          <w:w w:val="96"/>
          <w:sz w:val="32"/>
          <w:szCs w:val="32"/>
          <w14:textFill>
            <w14:solidFill>
              <w14:schemeClr w14:val="tx1"/>
            </w14:solidFill>
          </w14:textFill>
        </w:rPr>
        <w:t>彭水苗族土家族自治县芦塘乡（板栗村）</w:t>
      </w:r>
    </w:p>
    <w:p w14:paraId="40DBFE47">
      <w:pPr>
        <w:ind w:firstLine="618"/>
        <w:jc w:val="center"/>
        <w:rPr>
          <w:b/>
          <w:color w:val="000000" w:themeColor="text1"/>
          <w:w w:val="96"/>
          <w:sz w:val="32"/>
          <w:szCs w:val="32"/>
          <w14:textFill>
            <w14:solidFill>
              <w14:schemeClr w14:val="tx1"/>
            </w14:solidFill>
          </w14:textFill>
        </w:rPr>
      </w:pPr>
      <w:r>
        <w:rPr>
          <w:rFonts w:hint="eastAsia"/>
          <w:b/>
          <w:color w:val="000000" w:themeColor="text1"/>
          <w:w w:val="96"/>
          <w:sz w:val="32"/>
          <w:szCs w:val="32"/>
          <w14:textFill>
            <w14:solidFill>
              <w14:schemeClr w14:val="tx1"/>
            </w14:solidFill>
          </w14:textFill>
        </w:rPr>
        <w:t>污水处理厂新建工程入河排污口设置论证综合说明表</w:t>
      </w:r>
      <w:bookmarkEnd w:id="0"/>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0"/>
        <w:gridCol w:w="735"/>
        <w:gridCol w:w="283"/>
        <w:gridCol w:w="1560"/>
        <w:gridCol w:w="708"/>
        <w:gridCol w:w="1164"/>
        <w:gridCol w:w="1467"/>
      </w:tblGrid>
      <w:tr w14:paraId="5354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E5A4492">
            <w:pPr>
              <w:pStyle w:val="59"/>
              <w:rPr>
                <w:color w:val="000000" w:themeColor="text1"/>
                <w14:textFill>
                  <w14:solidFill>
                    <w14:schemeClr w14:val="tx1"/>
                  </w14:solidFill>
                </w14:textFill>
              </w:rPr>
            </w:pPr>
            <w:r>
              <w:rPr>
                <w:color w:val="000000" w:themeColor="text1"/>
                <w14:textFill>
                  <w14:solidFill>
                    <w14:schemeClr w14:val="tx1"/>
                  </w14:solidFill>
                </w14:textFill>
              </w:rPr>
              <w:t>单位名称</w:t>
            </w:r>
          </w:p>
        </w:tc>
        <w:tc>
          <w:tcPr>
            <w:tcW w:w="7167" w:type="dxa"/>
            <w:gridSpan w:val="7"/>
            <w:vAlign w:val="center"/>
          </w:tcPr>
          <w:p w14:paraId="34D31A7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重庆环保投资集团有限公司</w:t>
            </w:r>
          </w:p>
        </w:tc>
      </w:tr>
      <w:tr w14:paraId="193B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B2FB835">
            <w:pPr>
              <w:pStyle w:val="59"/>
              <w:rPr>
                <w:color w:val="000000" w:themeColor="text1"/>
                <w14:textFill>
                  <w14:solidFill>
                    <w14:schemeClr w14:val="tx1"/>
                  </w14:solidFill>
                </w14:textFill>
              </w:rPr>
            </w:pPr>
            <w:r>
              <w:rPr>
                <w:color w:val="000000" w:themeColor="text1"/>
                <w14:textFill>
                  <w14:solidFill>
                    <w14:schemeClr w14:val="tx1"/>
                  </w14:solidFill>
                </w14:textFill>
              </w:rPr>
              <w:t>单位地址</w:t>
            </w:r>
          </w:p>
        </w:tc>
        <w:tc>
          <w:tcPr>
            <w:tcW w:w="7167" w:type="dxa"/>
            <w:gridSpan w:val="7"/>
            <w:vAlign w:val="center"/>
          </w:tcPr>
          <w:p w14:paraId="512489D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重庆市黔江区城东街道新华大道东段168号</w:t>
            </w:r>
          </w:p>
        </w:tc>
      </w:tr>
      <w:tr w14:paraId="423B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062AE4FC">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排污口设置类型</w:t>
            </w:r>
          </w:p>
        </w:tc>
        <w:tc>
          <w:tcPr>
            <w:tcW w:w="1250" w:type="dxa"/>
            <w:vAlign w:val="center"/>
          </w:tcPr>
          <w:p w14:paraId="298BE917">
            <w:pPr>
              <w:pStyle w:val="59"/>
              <w:rPr>
                <w:color w:val="000000" w:themeColor="text1"/>
                <w14:textFill>
                  <w14:solidFill>
                    <w14:schemeClr w14:val="tx1"/>
                  </w14:solidFill>
                </w14:textFill>
              </w:rPr>
            </w:pPr>
            <w:r>
              <w:rPr>
                <w:color w:val="000000" w:themeColor="text1"/>
                <w14:textFill>
                  <w14:solidFill>
                    <w14:schemeClr w14:val="tx1"/>
                  </w14:solidFill>
                </w14:textFill>
              </w:rPr>
              <w:t>新建</w:t>
            </w:r>
          </w:p>
        </w:tc>
        <w:tc>
          <w:tcPr>
            <w:tcW w:w="1018" w:type="dxa"/>
            <w:gridSpan w:val="2"/>
            <w:vAlign w:val="center"/>
          </w:tcPr>
          <w:p w14:paraId="748F3532">
            <w:pPr>
              <w:pStyle w:val="5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490D96AD">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排污口分类</w:t>
            </w:r>
          </w:p>
        </w:tc>
        <w:tc>
          <w:tcPr>
            <w:tcW w:w="1872" w:type="dxa"/>
            <w:gridSpan w:val="2"/>
            <w:vAlign w:val="center"/>
          </w:tcPr>
          <w:p w14:paraId="66A724F5">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企业</w:t>
            </w:r>
          </w:p>
        </w:tc>
        <w:tc>
          <w:tcPr>
            <w:tcW w:w="1467" w:type="dxa"/>
            <w:vAlign w:val="center"/>
          </w:tcPr>
          <w:p w14:paraId="23D6F28C">
            <w:pPr>
              <w:pStyle w:val="59"/>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5801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675C8C1E">
            <w:pPr>
              <w:pStyle w:val="59"/>
              <w:rPr>
                <w:color w:val="000000" w:themeColor="text1"/>
                <w:spacing w:val="-5"/>
                <w14:textFill>
                  <w14:solidFill>
                    <w14:schemeClr w14:val="tx1"/>
                  </w14:solidFill>
                </w14:textFill>
              </w:rPr>
            </w:pPr>
          </w:p>
        </w:tc>
        <w:tc>
          <w:tcPr>
            <w:tcW w:w="1250" w:type="dxa"/>
            <w:vAlign w:val="center"/>
          </w:tcPr>
          <w:p w14:paraId="1E471A94">
            <w:pPr>
              <w:pStyle w:val="59"/>
              <w:rPr>
                <w:color w:val="000000" w:themeColor="text1"/>
                <w14:textFill>
                  <w14:solidFill>
                    <w14:schemeClr w14:val="tx1"/>
                  </w14:solidFill>
                </w14:textFill>
              </w:rPr>
            </w:pPr>
            <w:r>
              <w:rPr>
                <w:color w:val="000000" w:themeColor="text1"/>
                <w14:textFill>
                  <w14:solidFill>
                    <w14:schemeClr w14:val="tx1"/>
                  </w14:solidFill>
                </w14:textFill>
              </w:rPr>
              <w:t>建设</w:t>
            </w:r>
          </w:p>
        </w:tc>
        <w:tc>
          <w:tcPr>
            <w:tcW w:w="1018" w:type="dxa"/>
            <w:gridSpan w:val="2"/>
            <w:vAlign w:val="center"/>
          </w:tcPr>
          <w:p w14:paraId="3686461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3F5B2C6D">
            <w:pPr>
              <w:pStyle w:val="59"/>
              <w:rPr>
                <w:color w:val="000000" w:themeColor="text1"/>
                <w:spacing w:val="-5"/>
                <w14:textFill>
                  <w14:solidFill>
                    <w14:schemeClr w14:val="tx1"/>
                  </w14:solidFill>
                </w14:textFill>
              </w:rPr>
            </w:pPr>
          </w:p>
        </w:tc>
        <w:tc>
          <w:tcPr>
            <w:tcW w:w="1872" w:type="dxa"/>
            <w:gridSpan w:val="2"/>
            <w:vAlign w:val="center"/>
          </w:tcPr>
          <w:p w14:paraId="762CFFE0">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市政</w:t>
            </w:r>
          </w:p>
        </w:tc>
        <w:tc>
          <w:tcPr>
            <w:tcW w:w="1467" w:type="dxa"/>
            <w:vAlign w:val="center"/>
          </w:tcPr>
          <w:p w14:paraId="07374BC0">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w:t>
            </w:r>
          </w:p>
        </w:tc>
      </w:tr>
      <w:tr w14:paraId="4515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6FAD29CA">
            <w:pPr>
              <w:pStyle w:val="59"/>
              <w:rPr>
                <w:color w:val="000000" w:themeColor="text1"/>
                <w:spacing w:val="-5"/>
                <w14:textFill>
                  <w14:solidFill>
                    <w14:schemeClr w14:val="tx1"/>
                  </w14:solidFill>
                </w14:textFill>
              </w:rPr>
            </w:pPr>
          </w:p>
        </w:tc>
        <w:tc>
          <w:tcPr>
            <w:tcW w:w="1250" w:type="dxa"/>
            <w:vAlign w:val="center"/>
          </w:tcPr>
          <w:p w14:paraId="0F9F6A93">
            <w:pPr>
              <w:pStyle w:val="59"/>
              <w:rPr>
                <w:color w:val="000000" w:themeColor="text1"/>
                <w14:textFill>
                  <w14:solidFill>
                    <w14:schemeClr w14:val="tx1"/>
                  </w14:solidFill>
                </w14:textFill>
              </w:rPr>
            </w:pPr>
            <w:r>
              <w:rPr>
                <w:color w:val="000000" w:themeColor="text1"/>
                <w14:textFill>
                  <w14:solidFill>
                    <w14:schemeClr w14:val="tx1"/>
                  </w14:solidFill>
                </w14:textFill>
              </w:rPr>
              <w:t>扩建</w:t>
            </w:r>
          </w:p>
        </w:tc>
        <w:tc>
          <w:tcPr>
            <w:tcW w:w="1018" w:type="dxa"/>
            <w:gridSpan w:val="2"/>
            <w:vAlign w:val="center"/>
          </w:tcPr>
          <w:p w14:paraId="4801ECA2">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vAlign w:val="center"/>
          </w:tcPr>
          <w:p w14:paraId="68199D4D">
            <w:pPr>
              <w:pStyle w:val="59"/>
              <w:rPr>
                <w:color w:val="000000" w:themeColor="text1"/>
                <w:spacing w:val="-5"/>
                <w14:textFill>
                  <w14:solidFill>
                    <w14:schemeClr w14:val="tx1"/>
                  </w14:solidFill>
                </w14:textFill>
              </w:rPr>
            </w:pPr>
          </w:p>
        </w:tc>
        <w:tc>
          <w:tcPr>
            <w:tcW w:w="1872" w:type="dxa"/>
            <w:gridSpan w:val="2"/>
            <w:vAlign w:val="center"/>
          </w:tcPr>
          <w:p w14:paraId="766D4271">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其它</w:t>
            </w:r>
          </w:p>
        </w:tc>
        <w:tc>
          <w:tcPr>
            <w:tcW w:w="1467" w:type="dxa"/>
            <w:vAlign w:val="center"/>
          </w:tcPr>
          <w:p w14:paraId="43E5EDD3">
            <w:pPr>
              <w:pStyle w:val="59"/>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w:t>
            </w:r>
          </w:p>
        </w:tc>
      </w:tr>
      <w:tr w14:paraId="30E6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6220A64D">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排放方式</w:t>
            </w:r>
          </w:p>
        </w:tc>
        <w:tc>
          <w:tcPr>
            <w:tcW w:w="1250" w:type="dxa"/>
            <w:vAlign w:val="center"/>
          </w:tcPr>
          <w:p w14:paraId="24C0D714">
            <w:pPr>
              <w:pStyle w:val="59"/>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1018" w:type="dxa"/>
            <w:gridSpan w:val="2"/>
            <w:vAlign w:val="center"/>
          </w:tcPr>
          <w:p w14:paraId="0E5D30FD">
            <w:pPr>
              <w:pStyle w:val="59"/>
              <w:rPr>
                <w:color w:val="000000" w:themeColor="text1"/>
                <w14:textFill>
                  <w14:solidFill>
                    <w14:schemeClr w14:val="tx1"/>
                  </w14:solidFill>
                </w14:textFill>
              </w:rPr>
            </w:pPr>
            <w:r>
              <w:rPr>
                <w:color w:val="000000" w:themeColor="text1"/>
                <w14:textFill>
                  <w14:solidFill>
                    <w14:schemeClr w14:val="tx1"/>
                  </w14:solidFill>
                </w14:textFill>
              </w:rPr>
              <w:t>√</w:t>
            </w:r>
          </w:p>
        </w:tc>
        <w:tc>
          <w:tcPr>
            <w:tcW w:w="1560" w:type="dxa"/>
            <w:vMerge w:val="restart"/>
            <w:vAlign w:val="center"/>
          </w:tcPr>
          <w:p w14:paraId="7E2F55EB">
            <w:pPr>
              <w:pStyle w:val="59"/>
              <w:rPr>
                <w:color w:val="000000" w:themeColor="text1"/>
                <w:spacing w:val="-5"/>
                <w14:textFill>
                  <w14:solidFill>
                    <w14:schemeClr w14:val="tx1"/>
                  </w14:solidFill>
                </w14:textFill>
              </w:rPr>
            </w:pPr>
            <w:r>
              <w:rPr>
                <w:color w:val="000000" w:themeColor="text1"/>
                <w:spacing w:val="-5"/>
                <w14:textFill>
                  <w14:solidFill>
                    <w14:schemeClr w14:val="tx1"/>
                  </w14:solidFill>
                </w14:textFill>
              </w:rPr>
              <w:t>入河方式</w:t>
            </w:r>
          </w:p>
        </w:tc>
        <w:tc>
          <w:tcPr>
            <w:tcW w:w="3339" w:type="dxa"/>
            <w:gridSpan w:val="3"/>
            <w:vMerge w:val="restart"/>
            <w:vAlign w:val="center"/>
          </w:tcPr>
          <w:p w14:paraId="436D44C7">
            <w:pPr>
              <w:pStyle w:val="59"/>
              <w:rPr>
                <w:color w:val="000000" w:themeColor="text1"/>
                <w14:textFill>
                  <w14:solidFill>
                    <w14:schemeClr w14:val="tx1"/>
                  </w14:solidFill>
                </w14:textFill>
              </w:rPr>
            </w:pPr>
            <w:r>
              <w:rPr>
                <w:color w:val="000000" w:themeColor="text1"/>
                <w14:textFill>
                  <w14:solidFill>
                    <w14:schemeClr w14:val="tx1"/>
                  </w14:solidFill>
                </w14:textFill>
              </w:rPr>
              <w:t>明渠（）管道（√）</w:t>
            </w:r>
          </w:p>
          <w:p w14:paraId="7EECB6A3">
            <w:pPr>
              <w:pStyle w:val="59"/>
              <w:rPr>
                <w:color w:val="000000" w:themeColor="text1"/>
                <w14:textFill>
                  <w14:solidFill>
                    <w14:schemeClr w14:val="tx1"/>
                  </w14:solidFill>
                </w14:textFill>
              </w:rPr>
            </w:pPr>
            <w:r>
              <w:rPr>
                <w:color w:val="000000" w:themeColor="text1"/>
                <w14:textFill>
                  <w14:solidFill>
                    <w14:schemeClr w14:val="tx1"/>
                  </w14:solidFill>
                </w14:textFill>
              </w:rPr>
              <w:t>泵站（）、涵闸（）</w:t>
            </w:r>
          </w:p>
          <w:p w14:paraId="2A02B5DB">
            <w:pPr>
              <w:pStyle w:val="59"/>
              <w:rPr>
                <w:color w:val="000000" w:themeColor="text1"/>
                <w:spacing w:val="-5"/>
                <w14:textFill>
                  <w14:solidFill>
                    <w14:schemeClr w14:val="tx1"/>
                  </w14:solidFill>
                </w14:textFill>
              </w:rPr>
            </w:pPr>
            <w:r>
              <w:rPr>
                <w:color w:val="000000" w:themeColor="text1"/>
                <w14:textFill>
                  <w14:solidFill>
                    <w14:schemeClr w14:val="tx1"/>
                  </w14:solidFill>
                </w14:textFill>
              </w:rPr>
              <w:t>潜没（）、其他（）</w:t>
            </w:r>
          </w:p>
        </w:tc>
      </w:tr>
      <w:tr w14:paraId="4A9A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774E2ED1">
            <w:pPr>
              <w:pStyle w:val="59"/>
              <w:rPr>
                <w:color w:val="000000" w:themeColor="text1"/>
                <w14:textFill>
                  <w14:solidFill>
                    <w14:schemeClr w14:val="tx1"/>
                  </w14:solidFill>
                </w14:textFill>
              </w:rPr>
            </w:pPr>
          </w:p>
        </w:tc>
        <w:tc>
          <w:tcPr>
            <w:tcW w:w="1250" w:type="dxa"/>
            <w:vAlign w:val="center"/>
          </w:tcPr>
          <w:p w14:paraId="543B161E">
            <w:pPr>
              <w:pStyle w:val="59"/>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1018" w:type="dxa"/>
            <w:gridSpan w:val="2"/>
            <w:vAlign w:val="center"/>
          </w:tcPr>
          <w:p w14:paraId="2DA14E6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60" w:type="dxa"/>
            <w:vMerge w:val="continue"/>
          </w:tcPr>
          <w:p w14:paraId="320D9270">
            <w:pPr>
              <w:pStyle w:val="59"/>
              <w:rPr>
                <w:color w:val="000000" w:themeColor="text1"/>
                <w14:textFill>
                  <w14:solidFill>
                    <w14:schemeClr w14:val="tx1"/>
                  </w14:solidFill>
                </w14:textFill>
              </w:rPr>
            </w:pPr>
          </w:p>
        </w:tc>
        <w:tc>
          <w:tcPr>
            <w:tcW w:w="3339" w:type="dxa"/>
            <w:gridSpan w:val="3"/>
            <w:vMerge w:val="continue"/>
          </w:tcPr>
          <w:p w14:paraId="56D76378">
            <w:pPr>
              <w:pStyle w:val="59"/>
              <w:rPr>
                <w:color w:val="000000" w:themeColor="text1"/>
                <w14:textFill>
                  <w14:solidFill>
                    <w14:schemeClr w14:val="tx1"/>
                  </w14:solidFill>
                </w14:textFill>
              </w:rPr>
            </w:pPr>
          </w:p>
        </w:tc>
      </w:tr>
      <w:tr w14:paraId="3993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3FF8A1D9">
            <w:pPr>
              <w:pStyle w:val="59"/>
              <w:rPr>
                <w:color w:val="000000" w:themeColor="text1"/>
                <w:spacing w:val="-13"/>
                <w14:textFill>
                  <w14:solidFill>
                    <w14:schemeClr w14:val="tx1"/>
                  </w14:solidFill>
                </w14:textFill>
              </w:rPr>
            </w:pPr>
            <w:r>
              <w:rPr>
                <w:color w:val="000000" w:themeColor="text1"/>
                <w:spacing w:val="-13"/>
                <w14:textFill>
                  <w14:solidFill>
                    <w14:schemeClr w14:val="tx1"/>
                  </w14:solidFill>
                </w14:textFill>
              </w:rPr>
              <w:t>排污口位置</w:t>
            </w:r>
          </w:p>
        </w:tc>
        <w:tc>
          <w:tcPr>
            <w:tcW w:w="7167" w:type="dxa"/>
            <w:gridSpan w:val="7"/>
            <w:vAlign w:val="center"/>
          </w:tcPr>
          <w:p w14:paraId="611CCA7A">
            <w:pPr>
              <w:pStyle w:val="59"/>
              <w:rPr>
                <w:color w:val="000000" w:themeColor="text1"/>
                <w14:textFill>
                  <w14:solidFill>
                    <w14:schemeClr w14:val="tx1"/>
                  </w14:solidFill>
                </w14:textFill>
              </w:rPr>
            </w:pPr>
            <w:r>
              <w:rPr>
                <w:color w:val="000000" w:themeColor="text1"/>
                <w14:textFill>
                  <w14:solidFill>
                    <w14:schemeClr w14:val="tx1"/>
                  </w14:solidFill>
                </w14:textFill>
              </w:rPr>
              <w:t>所在位置：</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p>
        </w:tc>
      </w:tr>
      <w:tr w14:paraId="53CA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10A77994">
            <w:pPr>
              <w:pStyle w:val="59"/>
              <w:rPr>
                <w:color w:val="000000" w:themeColor="text1"/>
                <w:spacing w:val="-13"/>
                <w14:textFill>
                  <w14:solidFill>
                    <w14:schemeClr w14:val="tx1"/>
                  </w14:solidFill>
                </w14:textFill>
              </w:rPr>
            </w:pPr>
          </w:p>
        </w:tc>
        <w:tc>
          <w:tcPr>
            <w:tcW w:w="7167" w:type="dxa"/>
            <w:gridSpan w:val="7"/>
            <w:vAlign w:val="center"/>
          </w:tcPr>
          <w:p w14:paraId="712E95F9">
            <w:pPr>
              <w:pStyle w:val="59"/>
              <w:rPr>
                <w:color w:val="000000" w:themeColor="text1"/>
                <w14:textFill>
                  <w14:solidFill>
                    <w14:schemeClr w14:val="tx1"/>
                  </w14:solidFill>
                </w14:textFill>
              </w:rPr>
            </w:pPr>
            <w:r>
              <w:rPr>
                <w:color w:val="000000" w:themeColor="text1"/>
                <w14:textFill>
                  <w14:solidFill>
                    <w14:schemeClr w14:val="tx1"/>
                  </w14:solidFill>
                </w14:textFill>
              </w:rPr>
              <w:t>排入水体：</w:t>
            </w:r>
            <w:r>
              <w:rPr>
                <w:rFonts w:hint="eastAsia"/>
                <w:color w:val="000000" w:themeColor="text1"/>
                <w14:textFill>
                  <w14:solidFill>
                    <w14:schemeClr w14:val="tx1"/>
                  </w14:solidFill>
                </w14:textFill>
              </w:rPr>
              <w:t>郁江</w:t>
            </w:r>
          </w:p>
        </w:tc>
      </w:tr>
      <w:tr w14:paraId="4FA6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24F8947C">
            <w:pPr>
              <w:pStyle w:val="59"/>
              <w:rPr>
                <w:color w:val="000000" w:themeColor="text1"/>
                <w:spacing w:val="-13"/>
                <w14:textFill>
                  <w14:solidFill>
                    <w14:schemeClr w14:val="tx1"/>
                  </w14:solidFill>
                </w14:textFill>
              </w:rPr>
            </w:pPr>
          </w:p>
        </w:tc>
        <w:tc>
          <w:tcPr>
            <w:tcW w:w="7167" w:type="dxa"/>
            <w:gridSpan w:val="7"/>
            <w:vAlign w:val="center"/>
          </w:tcPr>
          <w:p w14:paraId="6AB224FC">
            <w:pPr>
              <w:pStyle w:val="59"/>
              <w:rPr>
                <w:color w:val="000000" w:themeColor="text1"/>
                <w:spacing w:val="-13"/>
                <w14:textFill>
                  <w14:solidFill>
                    <w14:schemeClr w14:val="tx1"/>
                  </w14:solidFill>
                </w14:textFill>
              </w:rPr>
            </w:pPr>
            <w:r>
              <w:rPr>
                <w:color w:val="000000" w:themeColor="text1"/>
                <w:spacing w:val="-13"/>
                <w14:textFill>
                  <w14:solidFill>
                    <w14:schemeClr w14:val="tx1"/>
                  </w14:solidFill>
                </w14:textFill>
              </w:rPr>
              <w:t>东经：108.335650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，北纬：29.514853</w:t>
            </w:r>
            <w:r>
              <w:rPr>
                <w:rFonts w:hint="eastAsia"/>
                <w:color w:val="000000" w:themeColor="text1"/>
                <w:spacing w:val="-13"/>
                <w14:textFill>
                  <w14:solidFill>
                    <w14:schemeClr w14:val="tx1"/>
                  </w14:solidFill>
                </w14:textFill>
              </w:rPr>
              <w:t>°</w:t>
            </w:r>
          </w:p>
        </w:tc>
      </w:tr>
      <w:tr w14:paraId="63C1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EEC8A87">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影响水功能区名称</w:t>
            </w:r>
          </w:p>
        </w:tc>
        <w:tc>
          <w:tcPr>
            <w:tcW w:w="7167" w:type="dxa"/>
            <w:gridSpan w:val="7"/>
            <w:vAlign w:val="center"/>
          </w:tcPr>
          <w:p w14:paraId="6CAD1498">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p>
        </w:tc>
      </w:tr>
      <w:tr w14:paraId="2692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E1BFC9F">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水功能区管理目标</w:t>
            </w:r>
          </w:p>
        </w:tc>
        <w:tc>
          <w:tcPr>
            <w:tcW w:w="7167" w:type="dxa"/>
            <w:gridSpan w:val="7"/>
            <w:vAlign w:val="center"/>
          </w:tcPr>
          <w:p w14:paraId="1B287958">
            <w:pPr>
              <w:pStyle w:val="59"/>
              <w:rPr>
                <w:color w:val="000000" w:themeColor="text1"/>
                <w14:textFill>
                  <w14:solidFill>
                    <w14:schemeClr w14:val="tx1"/>
                  </w14:solidFill>
                </w14:textFill>
              </w:rPr>
            </w:pPr>
            <w:r>
              <w:rPr>
                <w:color w:val="000000" w:themeColor="text1"/>
                <w14:textFill>
                  <w14:solidFill>
                    <w14:schemeClr w14:val="tx1"/>
                  </w14:solidFill>
                </w14:textFill>
              </w:rPr>
              <w:t>《地表水环境质量标准》</w:t>
            </w:r>
            <w:r>
              <w:rPr>
                <w:color w:val="000000" w:themeColor="text1"/>
                <w:spacing w:val="-2"/>
                <w14:textFill>
                  <w14:solidFill>
                    <w14:schemeClr w14:val="tx1"/>
                  </w14:solidFill>
                </w14:textFill>
              </w:rPr>
              <w:t>（GB 3838-2002）</w:t>
            </w:r>
            <w:r>
              <w:rPr>
                <w:rFonts w:hint="eastAsia"/>
                <w:color w:val="000000" w:themeColor="text1"/>
                <w14:textFill>
                  <w14:solidFill>
                    <w14:schemeClr w14:val="tx1"/>
                  </w14:solidFill>
                </w14:textFill>
              </w:rPr>
              <w:t>Ⅱ类</w:t>
            </w:r>
            <w:r>
              <w:rPr>
                <w:color w:val="000000" w:themeColor="text1"/>
                <w14:textFill>
                  <w14:solidFill>
                    <w14:schemeClr w14:val="tx1"/>
                  </w14:solidFill>
                </w14:textFill>
              </w:rPr>
              <w:t>标准</w:t>
            </w:r>
          </w:p>
        </w:tc>
      </w:tr>
      <w:tr w14:paraId="04CB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29" w:type="dxa"/>
            <w:vMerge w:val="restart"/>
            <w:vAlign w:val="center"/>
          </w:tcPr>
          <w:p w14:paraId="2AB93718">
            <w:pPr>
              <w:pStyle w:val="59"/>
              <w:rPr>
                <w:color w:val="000000" w:themeColor="text1"/>
                <w:spacing w:val="-2"/>
                <w14:textFill>
                  <w14:solidFill>
                    <w14:schemeClr w14:val="tx1"/>
                  </w14:solidFill>
                </w14:textFill>
              </w:rPr>
            </w:pPr>
            <w:bookmarkStart w:id="1" w:name="_Hlk103160646"/>
            <w:r>
              <w:rPr>
                <w:color w:val="000000" w:themeColor="text1"/>
                <w:spacing w:val="-2"/>
                <w14:textFill>
                  <w14:solidFill>
                    <w14:schemeClr w14:val="tx1"/>
                  </w14:solidFill>
                </w14:textFill>
              </w:rPr>
              <w:t>水功能区限制排放量（t/a）</w:t>
            </w:r>
          </w:p>
        </w:tc>
        <w:tc>
          <w:tcPr>
            <w:tcW w:w="1985" w:type="dxa"/>
            <w:gridSpan w:val="2"/>
            <w:vMerge w:val="restart"/>
            <w:vAlign w:val="center"/>
          </w:tcPr>
          <w:p w14:paraId="6092455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“郁江彭水保家镇景观娱乐、饮用水源区”</w:t>
            </w:r>
          </w:p>
        </w:tc>
        <w:tc>
          <w:tcPr>
            <w:tcW w:w="2551" w:type="dxa"/>
            <w:gridSpan w:val="3"/>
            <w:vAlign w:val="center"/>
          </w:tcPr>
          <w:p w14:paraId="04B3C5BA">
            <w:pPr>
              <w:pStyle w:val="59"/>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2631" w:type="dxa"/>
            <w:gridSpan w:val="2"/>
            <w:vAlign w:val="center"/>
          </w:tcPr>
          <w:p w14:paraId="3CC8B1DC">
            <w:pPr>
              <w:pStyle w:val="59"/>
              <w:rPr>
                <w:color w:val="000000" w:themeColor="text1"/>
                <w14:textFill>
                  <w14:solidFill>
                    <w14:schemeClr w14:val="tx1"/>
                  </w14:solidFill>
                </w14:textFill>
              </w:rPr>
            </w:pPr>
            <w:r>
              <w:rPr>
                <w:color w:val="000000" w:themeColor="text1"/>
                <w14:textFill>
                  <w14:solidFill>
                    <w14:schemeClr w14:val="tx1"/>
                  </w14:solidFill>
                </w14:textFill>
              </w:rPr>
              <w:t>748.17</w:t>
            </w:r>
          </w:p>
        </w:tc>
      </w:tr>
      <w:tr w14:paraId="5AFE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29" w:type="dxa"/>
            <w:vMerge w:val="continue"/>
            <w:vAlign w:val="center"/>
          </w:tcPr>
          <w:p w14:paraId="23598574">
            <w:pPr>
              <w:pStyle w:val="59"/>
              <w:rPr>
                <w:color w:val="000000" w:themeColor="text1"/>
                <w:spacing w:val="-2"/>
                <w14:textFill>
                  <w14:solidFill>
                    <w14:schemeClr w14:val="tx1"/>
                  </w14:solidFill>
                </w14:textFill>
              </w:rPr>
            </w:pPr>
          </w:p>
        </w:tc>
        <w:tc>
          <w:tcPr>
            <w:tcW w:w="1985" w:type="dxa"/>
            <w:gridSpan w:val="2"/>
            <w:vMerge w:val="continue"/>
            <w:vAlign w:val="center"/>
          </w:tcPr>
          <w:p w14:paraId="398D3305">
            <w:pPr>
              <w:pStyle w:val="59"/>
              <w:rPr>
                <w:bCs/>
                <w:color w:val="000000" w:themeColor="text1"/>
                <w14:textFill>
                  <w14:solidFill>
                    <w14:schemeClr w14:val="tx1"/>
                  </w14:solidFill>
                </w14:textFill>
              </w:rPr>
            </w:pPr>
          </w:p>
        </w:tc>
        <w:tc>
          <w:tcPr>
            <w:tcW w:w="2551" w:type="dxa"/>
            <w:gridSpan w:val="3"/>
            <w:vAlign w:val="center"/>
          </w:tcPr>
          <w:p w14:paraId="7987F547">
            <w:pPr>
              <w:pStyle w:val="59"/>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2631" w:type="dxa"/>
            <w:gridSpan w:val="2"/>
            <w:vAlign w:val="center"/>
          </w:tcPr>
          <w:p w14:paraId="0CB57FCF">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51.85</w:t>
            </w:r>
          </w:p>
        </w:tc>
      </w:tr>
      <w:bookmarkEnd w:id="1"/>
      <w:tr w14:paraId="721C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40F91AA">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特征污染因子</w:t>
            </w:r>
          </w:p>
        </w:tc>
        <w:tc>
          <w:tcPr>
            <w:tcW w:w="7167" w:type="dxa"/>
            <w:gridSpan w:val="7"/>
            <w:vAlign w:val="center"/>
          </w:tcPr>
          <w:p w14:paraId="72F5FB00">
            <w:pPr>
              <w:pStyle w:val="59"/>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、COD、TN、NH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w:t>
            </w:r>
          </w:p>
        </w:tc>
      </w:tr>
      <w:tr w14:paraId="757B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77A6ADA">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污水来源</w:t>
            </w:r>
          </w:p>
        </w:tc>
        <w:tc>
          <w:tcPr>
            <w:tcW w:w="7167" w:type="dxa"/>
            <w:gridSpan w:val="7"/>
            <w:vAlign w:val="center"/>
          </w:tcPr>
          <w:p w14:paraId="401AE08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芦塘乡场镇生活污水</w:t>
            </w:r>
          </w:p>
        </w:tc>
      </w:tr>
      <w:tr w14:paraId="7081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29" w:type="dxa"/>
            <w:vAlign w:val="center"/>
          </w:tcPr>
          <w:p w14:paraId="033D6513">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污水处理工艺及规模</w:t>
            </w:r>
          </w:p>
        </w:tc>
        <w:tc>
          <w:tcPr>
            <w:tcW w:w="3828" w:type="dxa"/>
            <w:gridSpan w:val="4"/>
            <w:vAlign w:val="center"/>
          </w:tcPr>
          <w:p w14:paraId="17FB2CF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AO</w:t>
            </w:r>
          </w:p>
        </w:tc>
        <w:tc>
          <w:tcPr>
            <w:tcW w:w="3339" w:type="dxa"/>
            <w:gridSpan w:val="3"/>
            <w:vAlign w:val="center"/>
          </w:tcPr>
          <w:p w14:paraId="2D8FF362">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90m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/d</w:t>
            </w:r>
          </w:p>
        </w:tc>
      </w:tr>
      <w:tr w14:paraId="4250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restart"/>
            <w:vAlign w:val="center"/>
          </w:tcPr>
          <w:p w14:paraId="4E563409">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污染物控制排放总量（t/a）</w:t>
            </w:r>
          </w:p>
        </w:tc>
        <w:tc>
          <w:tcPr>
            <w:tcW w:w="3828" w:type="dxa"/>
            <w:gridSpan w:val="4"/>
            <w:vAlign w:val="center"/>
          </w:tcPr>
          <w:p w14:paraId="38682DAC">
            <w:pPr>
              <w:pStyle w:val="59"/>
              <w:rPr>
                <w:color w:val="000000" w:themeColor="text1"/>
                <w14:textFill>
                  <w14:solidFill>
                    <w14:schemeClr w14:val="tx1"/>
                  </w14:solidFill>
                </w14:textFill>
              </w:rPr>
            </w:pPr>
            <w:r>
              <w:rPr>
                <w:bCs/>
                <w:color w:val="000000" w:themeColor="text1"/>
                <w14:textFill>
                  <w14:solidFill>
                    <w14:schemeClr w14:val="tx1"/>
                  </w14:solidFill>
                </w14:textFill>
              </w:rPr>
              <w:t>COD</w:t>
            </w:r>
          </w:p>
        </w:tc>
        <w:tc>
          <w:tcPr>
            <w:tcW w:w="3339" w:type="dxa"/>
            <w:gridSpan w:val="3"/>
            <w:vAlign w:val="center"/>
          </w:tcPr>
          <w:p w14:paraId="7BC712E5">
            <w:pPr>
              <w:pStyle w:val="59"/>
              <w:rPr>
                <w:bCs/>
                <w:color w:val="000000" w:themeColor="text1"/>
                <w14:textFill>
                  <w14:solidFill>
                    <w14:schemeClr w14:val="tx1"/>
                  </w14:solidFill>
                </w14:textFill>
              </w:rPr>
            </w:pPr>
            <w:r>
              <w:rPr>
                <w:bCs/>
                <w:color w:val="000000" w:themeColor="text1"/>
                <w14:textFill>
                  <w14:solidFill>
                    <w14:schemeClr w14:val="tx1"/>
                  </w14:solidFill>
                </w14:textFill>
              </w:rPr>
              <w:t>1.971</w:t>
            </w:r>
          </w:p>
        </w:tc>
      </w:tr>
      <w:tr w14:paraId="55E8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Merge w:val="continue"/>
            <w:vAlign w:val="center"/>
          </w:tcPr>
          <w:p w14:paraId="575CC888">
            <w:pPr>
              <w:pStyle w:val="59"/>
              <w:rPr>
                <w:color w:val="000000" w:themeColor="text1"/>
                <w:spacing w:val="-2"/>
                <w14:textFill>
                  <w14:solidFill>
                    <w14:schemeClr w14:val="tx1"/>
                  </w14:solidFill>
                </w14:textFill>
              </w:rPr>
            </w:pPr>
          </w:p>
        </w:tc>
        <w:tc>
          <w:tcPr>
            <w:tcW w:w="3828" w:type="dxa"/>
            <w:gridSpan w:val="4"/>
            <w:vAlign w:val="center"/>
          </w:tcPr>
          <w:p w14:paraId="70E1AA2A">
            <w:pPr>
              <w:pStyle w:val="59"/>
              <w:rPr>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w:t>
            </w:r>
          </w:p>
        </w:tc>
        <w:tc>
          <w:tcPr>
            <w:tcW w:w="3339" w:type="dxa"/>
            <w:gridSpan w:val="3"/>
            <w:vAlign w:val="center"/>
          </w:tcPr>
          <w:p w14:paraId="60A3751D">
            <w:pPr>
              <w:pStyle w:val="59"/>
              <w:rPr>
                <w:bCs/>
                <w:color w:val="000000" w:themeColor="text1"/>
                <w14:textFill>
                  <w14:solidFill>
                    <w14:schemeClr w14:val="tx1"/>
                  </w14:solidFill>
                </w14:textFill>
              </w:rPr>
            </w:pPr>
            <w:r>
              <w:rPr>
                <w:bCs/>
                <w:color w:val="000000" w:themeColor="text1"/>
                <w14:textFill>
                  <w14:solidFill>
                    <w14:schemeClr w14:val="tx1"/>
                  </w14:solidFill>
                </w14:textFill>
              </w:rPr>
              <w:t>0.2628</w:t>
            </w:r>
          </w:p>
        </w:tc>
      </w:tr>
      <w:tr w14:paraId="4512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DF29877">
            <w:pPr>
              <w:pStyle w:val="59"/>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工艺流程图</w:t>
            </w:r>
          </w:p>
        </w:tc>
        <w:tc>
          <w:tcPr>
            <w:tcW w:w="7167" w:type="dxa"/>
            <w:gridSpan w:val="7"/>
            <w:vAlign w:val="center"/>
          </w:tcPr>
          <w:p w14:paraId="6186F93B">
            <w:pPr>
              <w:pStyle w:val="59"/>
              <w:rPr>
                <w:snapToGrid w:val="0"/>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211830" cy="2319020"/>
                  <wp:effectExtent l="0" t="0" r="7620" b="5080"/>
                  <wp:docPr id="58" name="图片 58"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35996" cy="2336682"/>
                          </a:xfrm>
                          <a:prstGeom prst="rect">
                            <a:avLst/>
                          </a:prstGeom>
                          <a:noFill/>
                          <a:ln>
                            <a:noFill/>
                          </a:ln>
                        </pic:spPr>
                      </pic:pic>
                    </a:graphicData>
                  </a:graphic>
                </wp:inline>
              </w:drawing>
            </w:r>
          </w:p>
        </w:tc>
      </w:tr>
      <w:tr w14:paraId="14D3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5635970">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第三方取水情况</w:t>
            </w:r>
          </w:p>
        </w:tc>
        <w:tc>
          <w:tcPr>
            <w:tcW w:w="7167" w:type="dxa"/>
            <w:gridSpan w:val="7"/>
            <w:shd w:val="clear" w:color="auto" w:fill="auto"/>
            <w:vAlign w:val="center"/>
          </w:tcPr>
          <w:p w14:paraId="57F8160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有汉葭街道芦渡沟彭水县自来水厂、县自来水厂关口泵站提水工程、保家工业园区泵站提水工程等取水点</w:t>
            </w:r>
          </w:p>
        </w:tc>
      </w:tr>
      <w:tr w14:paraId="72C9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129" w:type="dxa"/>
            <w:vAlign w:val="center"/>
          </w:tcPr>
          <w:p w14:paraId="5DF95692">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第三方排水情况</w:t>
            </w:r>
          </w:p>
        </w:tc>
        <w:tc>
          <w:tcPr>
            <w:tcW w:w="7167" w:type="dxa"/>
            <w:gridSpan w:val="7"/>
            <w:shd w:val="clear" w:color="auto" w:fill="auto"/>
            <w:vAlign w:val="center"/>
          </w:tcPr>
          <w:p w14:paraId="5C1A46B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入河排污口下游约</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km郁江支流小河沟乔梓乡（合心村）污水处理厂，下游约</w:t>
            </w:r>
            <w:r>
              <w:rPr>
                <w:color w:val="000000" w:themeColor="text1"/>
                <w14:textFill>
                  <w14:solidFill>
                    <w14:schemeClr w14:val="tx1"/>
                  </w14:solidFill>
                </w14:textFill>
              </w:rPr>
              <w:t>13</w:t>
            </w:r>
            <w:r>
              <w:rPr>
                <w:rFonts w:hint="eastAsia"/>
                <w:color w:val="000000" w:themeColor="text1"/>
                <w14:textFill>
                  <w14:solidFill>
                    <w14:schemeClr w14:val="tx1"/>
                  </w14:solidFill>
                </w14:textFill>
              </w:rPr>
              <w:t>km保家镇污水处理厂，下游约</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km保家工业园区污水处理厂，下游约</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km彭水职教中心污水处理厂，下游约</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km郁江支流戴家河岩东乡（堰塘村）污水处理厂，下游约</w:t>
            </w:r>
            <w:r>
              <w:rPr>
                <w:color w:val="000000" w:themeColor="text1"/>
                <w14:textFill>
                  <w14:solidFill>
                    <w14:schemeClr w14:val="tx1"/>
                  </w14:solidFill>
                </w14:textFill>
              </w:rPr>
              <w:t>35</w:t>
            </w:r>
            <w:r>
              <w:rPr>
                <w:rFonts w:hint="eastAsia"/>
                <w:color w:val="000000" w:themeColor="text1"/>
                <w14:textFill>
                  <w14:solidFill>
                    <w14:schemeClr w14:val="tx1"/>
                  </w14:solidFill>
                </w14:textFill>
              </w:rPr>
              <w:t>km彭水一中（芦渡湖）污水处理厂</w:t>
            </w:r>
          </w:p>
        </w:tc>
      </w:tr>
      <w:tr w14:paraId="3843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7F123AC">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水生态影响</w:t>
            </w:r>
          </w:p>
        </w:tc>
        <w:tc>
          <w:tcPr>
            <w:tcW w:w="7167" w:type="dxa"/>
            <w:gridSpan w:val="7"/>
            <w:vAlign w:val="center"/>
          </w:tcPr>
          <w:p w14:paraId="2B6363D0">
            <w:pPr>
              <w:pStyle w:val="59"/>
              <w:rPr>
                <w:color w:val="000000" w:themeColor="text1"/>
                <w:spacing w:val="-2"/>
                <w14:textFill>
                  <w14:solidFill>
                    <w14:schemeClr w14:val="tx1"/>
                  </w14:solidFill>
                </w14:textFill>
              </w:rPr>
            </w:pPr>
            <w:r>
              <w:rPr>
                <w:color w:val="000000" w:themeColor="text1"/>
                <w14:textFill>
                  <w14:solidFill>
                    <w14:schemeClr w14:val="tx1"/>
                  </w14:solidFill>
                </w14:textFill>
              </w:rPr>
              <w:t>经调查，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w:t>
            </w:r>
            <w:r>
              <w:rPr>
                <w:rFonts w:hint="eastAsia"/>
                <w:color w:val="000000" w:themeColor="text1"/>
                <w14:textFill>
                  <w14:solidFill>
                    <w14:schemeClr w14:val="tx1"/>
                  </w14:solidFill>
                </w14:textFill>
              </w:rPr>
              <w:t>内整体水生生物生长情况较好，生态系统较为丰富，有国家重点保护鱼类有达氏鲟、胭脂鱼，重庆市保护鱼类有长薄鳅等</w:t>
            </w:r>
            <w:r>
              <w:rPr>
                <w:color w:val="000000" w:themeColor="text1"/>
                <w14:textFill>
                  <w14:solidFill>
                    <w14:schemeClr w14:val="tx1"/>
                  </w14:solidFill>
                </w14:textFill>
              </w:rPr>
              <w:t>。</w:t>
            </w:r>
            <w:r>
              <w:rPr>
                <w:rFonts w:hint="eastAsia"/>
                <w:color w:val="000000" w:themeColor="text1"/>
                <w:spacing w:val="-2"/>
                <w14:textFill>
                  <w14:solidFill>
                    <w14:schemeClr w14:val="tx1"/>
                  </w14:solidFill>
                </w14:textFill>
              </w:rPr>
              <w:t>项目正常排放时，受纳水体郁江水质满足</w:t>
            </w:r>
            <w:r>
              <w:rPr>
                <w:color w:val="000000" w:themeColor="text1"/>
                <w:spacing w:val="-2"/>
                <w14:textFill>
                  <w14:solidFill>
                    <w14:schemeClr w14:val="tx1"/>
                  </w14:solidFill>
                </w14:textFill>
              </w:rPr>
              <w:t>《地表水环境质量标准》（GB 3838-2002）Ⅱ类标准</w:t>
            </w:r>
            <w:r>
              <w:rPr>
                <w:rFonts w:hint="eastAsia"/>
                <w:color w:val="000000" w:themeColor="text1"/>
                <w:spacing w:val="-2"/>
                <w14:textFill>
                  <w14:solidFill>
                    <w14:schemeClr w14:val="tx1"/>
                  </w14:solidFill>
                </w14:textFill>
              </w:rPr>
              <w:t>；排放</w:t>
            </w:r>
            <w:r>
              <w:rPr>
                <w:color w:val="000000" w:themeColor="text1"/>
                <w:spacing w:val="-2"/>
                <w14:textFill>
                  <w14:solidFill>
                    <w14:schemeClr w14:val="tx1"/>
                  </w14:solidFill>
                </w14:textFill>
              </w:rPr>
              <w:t>废污水的温度与环境温度一</w:t>
            </w:r>
            <w:r>
              <w:rPr>
                <w:rFonts w:hint="eastAsia"/>
                <w:color w:val="000000" w:themeColor="text1"/>
                <w:spacing w:val="-2"/>
                <w14:textFill>
                  <w14:solidFill>
                    <w14:schemeClr w14:val="tx1"/>
                  </w14:solidFill>
                </w14:textFill>
              </w:rPr>
              <w:t>致，</w:t>
            </w:r>
            <w:r>
              <w:rPr>
                <w:color w:val="000000" w:themeColor="text1"/>
                <w:spacing w:val="-2"/>
                <w14:textFill>
                  <w14:solidFill>
                    <w14:schemeClr w14:val="tx1"/>
                  </w14:solidFill>
                </w14:textFill>
              </w:rPr>
              <w:t>因此排污口废污水不会对水生生物产生较大影响</w:t>
            </w:r>
            <w:r>
              <w:rPr>
                <w:rFonts w:hint="eastAsia"/>
                <w:color w:val="000000" w:themeColor="text1"/>
                <w:spacing w:val="-2"/>
                <w14:textFill>
                  <w14:solidFill>
                    <w14:schemeClr w14:val="tx1"/>
                  </w14:solidFill>
                </w14:textFill>
              </w:rPr>
              <w:t>。但要杜绝事故排放对水生态带来的影响。</w:t>
            </w:r>
          </w:p>
        </w:tc>
      </w:tr>
      <w:tr w14:paraId="537A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18440E0">
            <w:pPr>
              <w:pStyle w:val="59"/>
              <w:rPr>
                <w:color w:val="000000" w:themeColor="text1"/>
                <w:spacing w:val="-2"/>
                <w14:textFill>
                  <w14:solidFill>
                    <w14:schemeClr w14:val="tx1"/>
                  </w14:solidFill>
                </w14:textFill>
              </w:rPr>
            </w:pPr>
            <w:r>
              <w:rPr>
                <w:color w:val="000000" w:themeColor="text1"/>
                <w:spacing w:val="-2"/>
                <w14:textFill>
                  <w14:solidFill>
                    <w14:schemeClr w14:val="tx1"/>
                  </w14:solidFill>
                </w14:textFill>
              </w:rPr>
              <w:t>第三方影响</w:t>
            </w:r>
          </w:p>
        </w:tc>
        <w:tc>
          <w:tcPr>
            <w:tcW w:w="7167" w:type="dxa"/>
            <w:gridSpan w:val="7"/>
            <w:vAlign w:val="center"/>
          </w:tcPr>
          <w:p w14:paraId="7AB362C4">
            <w:pPr>
              <w:pStyle w:val="59"/>
              <w:rPr>
                <w:color w:val="000000" w:themeColor="text1"/>
                <w14:textFill>
                  <w14:solidFill>
                    <w14:schemeClr w14:val="tx1"/>
                  </w14:solidFill>
                </w14:textFill>
              </w:rPr>
            </w:pPr>
            <w:r>
              <w:rPr>
                <w:color w:val="000000" w:themeColor="text1"/>
                <w:spacing w:val="-2"/>
                <w14:textFill>
                  <w14:solidFill>
                    <w14:schemeClr w14:val="tx1"/>
                  </w14:solidFill>
                </w14:textFill>
              </w:rPr>
              <w:t>本次论证项目位于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rFonts w:hint="eastAsia"/>
                <w:color w:val="000000" w:themeColor="text1"/>
                <w:spacing w:val="-2"/>
                <w14:textFill>
                  <w14:solidFill>
                    <w14:schemeClr w14:val="tx1"/>
                  </w14:solidFill>
                </w14:textFill>
              </w:rPr>
              <w:t>，</w:t>
            </w:r>
            <w:r>
              <w:rPr>
                <w:color w:val="000000" w:themeColor="text1"/>
                <w:spacing w:val="-2"/>
                <w14:textFill>
                  <w14:solidFill>
                    <w14:schemeClr w14:val="tx1"/>
                  </w14:solidFill>
                </w14:textFill>
              </w:rPr>
              <w:t>排污口所在</w:t>
            </w:r>
            <w:r>
              <w:rPr>
                <w:rFonts w:hint="eastAsia"/>
                <w:color w:val="000000" w:themeColor="text1"/>
                <w:spacing w:val="-2"/>
                <w14:textFill>
                  <w14:solidFill>
                    <w14:schemeClr w14:val="tx1"/>
                  </w14:solidFill>
                </w14:textFill>
              </w:rPr>
              <w:t>郁江的</w:t>
            </w:r>
            <w:r>
              <w:rPr>
                <w:rFonts w:hint="eastAsia"/>
                <w:color w:val="000000" w:themeColor="text1"/>
                <w14:textFill>
                  <w14:solidFill>
                    <w14:schemeClr w14:val="tx1"/>
                  </w14:solidFill>
                </w14:textFill>
              </w:rPr>
              <w:t>一级水功能区为“郁江彭水保家镇开发利用区”，二级水功能区为“郁江彭水保家镇景观娱乐、饮用水源区”</w:t>
            </w:r>
            <w:r>
              <w:rPr>
                <w:color w:val="000000" w:themeColor="text1"/>
                <w:spacing w:val="-2"/>
                <w14:textFill>
                  <w14:solidFill>
                    <w14:schemeClr w14:val="tx1"/>
                  </w14:solidFill>
                </w14:textFill>
              </w:rPr>
              <w:t>，在论证范围内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有汉葭街道芦渡沟彭水县自来水厂、县自来水厂关口泵站提水工程、保家工业园区泵站提水工程等取水点，主要为工业生产和农业灌溉</w:t>
            </w:r>
            <w:r>
              <w:rPr>
                <w:color w:val="000000" w:themeColor="text1"/>
                <w:spacing w:val="-2"/>
                <w14:textFill>
                  <w14:solidFill>
                    <w14:schemeClr w14:val="tx1"/>
                  </w14:solidFill>
                </w14:textFill>
              </w:rPr>
              <w:t>。本建设工程污水来源主要为生活污水，水质相对稳定，不含难降解有机物、</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三致</w:t>
            </w:r>
            <w:r>
              <w:rPr>
                <w:rFonts w:ascii="宋体" w:hAnsi="宋体"/>
                <w:color w:val="000000" w:themeColor="text1"/>
                <w:spacing w:val="-2"/>
                <w14:textFill>
                  <w14:solidFill>
                    <w14:schemeClr w14:val="tx1"/>
                  </w14:solidFill>
                </w14:textFill>
              </w:rPr>
              <w:t>”</w:t>
            </w:r>
            <w:r>
              <w:rPr>
                <w:color w:val="000000" w:themeColor="text1"/>
                <w:spacing w:val="-2"/>
                <w14:textFill>
                  <w14:solidFill>
                    <w14:schemeClr w14:val="tx1"/>
                  </w14:solidFill>
                </w14:textFill>
              </w:rPr>
              <w:t>污染物、重金属等物质，正常运行达标排放后对</w:t>
            </w:r>
            <w:r>
              <w:rPr>
                <w:rFonts w:hint="eastAsia"/>
                <w:color w:val="000000" w:themeColor="text1"/>
                <w:spacing w:val="-2"/>
                <w14:textFill>
                  <w14:solidFill>
                    <w14:schemeClr w14:val="tx1"/>
                  </w14:solidFill>
                </w14:textFill>
              </w:rPr>
              <w:t>郁江</w:t>
            </w:r>
            <w:r>
              <w:rPr>
                <w:color w:val="000000" w:themeColor="text1"/>
                <w:spacing w:val="-2"/>
                <w14:textFill>
                  <w14:solidFill>
                    <w14:schemeClr w14:val="tx1"/>
                  </w14:solidFill>
                </w14:textFill>
              </w:rPr>
              <w:t>水质影响小。</w:t>
            </w:r>
          </w:p>
        </w:tc>
      </w:tr>
    </w:tbl>
    <w:p w14:paraId="7504A495">
      <w:pPr>
        <w:ind w:firstLine="480"/>
        <w:rPr>
          <w:color w:val="000000" w:themeColor="text1"/>
          <w14:textFill>
            <w14:solidFill>
              <w14:schemeClr w14:val="tx1"/>
            </w14:solidFill>
          </w14:textFill>
        </w:rPr>
      </w:pPr>
    </w:p>
    <w:p w14:paraId="7A629878">
      <w:pPr>
        <w:ind w:firstLine="480"/>
        <w:rPr>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Arial"/>
          <w:snapToGrid w:val="0"/>
          <w:color w:val="000000" w:themeColor="text1"/>
          <w:sz w:val="24"/>
          <w:szCs w:val="24"/>
          <w:lang w:val="zh-CN"/>
          <w14:textFill>
            <w14:solidFill>
              <w14:schemeClr w14:val="tx1"/>
            </w14:solidFill>
          </w14:textFill>
        </w:rPr>
        <w:id w:val="316384064"/>
        <w:docPartObj>
          <w:docPartGallery w:val="Table of Contents"/>
          <w:docPartUnique/>
        </w:docPartObj>
      </w:sdtPr>
      <w:sdtEndPr>
        <w:rPr>
          <w:rFonts w:ascii="Times New Roman" w:hAnsi="Times New Roman" w:eastAsia="宋体" w:cs="Arial"/>
          <w:b/>
          <w:bCs/>
          <w:snapToGrid w:val="0"/>
          <w:color w:val="000000" w:themeColor="text1"/>
          <w:sz w:val="24"/>
          <w:szCs w:val="24"/>
          <w:lang w:val="zh-CN"/>
          <w14:textFill>
            <w14:solidFill>
              <w14:schemeClr w14:val="tx1"/>
            </w14:solidFill>
          </w14:textFill>
        </w:rPr>
      </w:sdtEndPr>
      <w:sdtContent>
        <w:p w14:paraId="787070C1">
          <w:pPr>
            <w:pStyle w:val="95"/>
            <w:jc w:val="center"/>
            <w:rPr>
              <w:rFonts w:ascii="黑体" w:hAnsi="黑体" w:eastAsia="黑体"/>
              <w:b/>
              <w:bCs/>
              <w:color w:val="000000" w:themeColor="text1"/>
              <w14:textFill>
                <w14:solidFill>
                  <w14:schemeClr w14:val="tx1"/>
                </w14:solidFill>
              </w14:textFill>
            </w:rPr>
          </w:pPr>
          <w:r>
            <w:rPr>
              <w:rFonts w:ascii="黑体" w:hAnsi="黑体" w:eastAsia="黑体"/>
              <w:b/>
              <w:bCs/>
              <w:color w:val="000000" w:themeColor="text1"/>
              <w:lang w:val="zh-CN"/>
              <w14:textFill>
                <w14:solidFill>
                  <w14:schemeClr w14:val="tx1"/>
                </w14:solidFill>
              </w14:textFill>
            </w:rPr>
            <w:t>目</w:t>
          </w:r>
          <w:r>
            <w:rPr>
              <w:rFonts w:hint="eastAsia" w:ascii="黑体" w:hAnsi="黑体" w:eastAsia="黑体"/>
              <w:b/>
              <w:bCs/>
              <w:color w:val="000000" w:themeColor="text1"/>
              <w:lang w:val="zh-CN"/>
              <w14:textFill>
                <w14:solidFill>
                  <w14:schemeClr w14:val="tx1"/>
                </w14:solidFill>
              </w14:textFill>
            </w:rPr>
            <w:t xml:space="preserve"> </w:t>
          </w:r>
          <w:r>
            <w:rPr>
              <w:rFonts w:ascii="黑体" w:hAnsi="黑体" w:eastAsia="黑体"/>
              <w:b/>
              <w:bCs/>
              <w:color w:val="000000" w:themeColor="text1"/>
              <w:lang w:val="zh-CN"/>
              <w14:textFill>
                <w14:solidFill>
                  <w14:schemeClr w14:val="tx1"/>
                </w14:solidFill>
              </w14:textFill>
            </w:rPr>
            <w:t xml:space="preserve"> 录</w:t>
          </w:r>
        </w:p>
        <w:p w14:paraId="15C13C66">
          <w:pPr>
            <w:pStyle w:val="21"/>
            <w:rPr>
              <w:rFonts w:asciiTheme="minorHAnsi" w:hAnsiTheme="minorHAnsi" w:eastAsiaTheme="minorEastAsia" w:cstheme="minorBidi"/>
              <w:snapToGrid/>
              <w:color w:val="auto"/>
              <w:kern w:val="2"/>
              <w:sz w:val="21"/>
              <w:szCs w:val="22"/>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fldChar w:fldCharType="begin"/>
          </w:r>
          <w:r>
            <w:instrText xml:space="preserve"> HYPERLINK \l "_Toc184805659" </w:instrText>
          </w:r>
          <w:r>
            <w:fldChar w:fldCharType="separate"/>
          </w:r>
          <w:r>
            <w:rPr>
              <w:rStyle w:val="35"/>
            </w:rPr>
            <w:t>前 言</w:t>
          </w:r>
          <w:r>
            <w:tab/>
          </w:r>
          <w:r>
            <w:fldChar w:fldCharType="begin"/>
          </w:r>
          <w:r>
            <w:instrText xml:space="preserve"> PAGEREF _Toc184805659 \h </w:instrText>
          </w:r>
          <w:r>
            <w:fldChar w:fldCharType="separate"/>
          </w:r>
          <w:r>
            <w:t>3</w:t>
          </w:r>
          <w:r>
            <w:fldChar w:fldCharType="end"/>
          </w:r>
          <w:r>
            <w:fldChar w:fldCharType="end"/>
          </w:r>
        </w:p>
        <w:p w14:paraId="06C9A16F">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"_Toc184805660" </w:instrText>
          </w:r>
          <w:r>
            <w:fldChar w:fldCharType="separate"/>
          </w:r>
          <w:r>
            <w:rPr>
              <w:rStyle w:val="35"/>
            </w:rPr>
            <w:t>一、 总则</w:t>
          </w:r>
          <w:r>
            <w:tab/>
          </w:r>
          <w:r>
            <w:fldChar w:fldCharType="begin"/>
          </w:r>
          <w:r>
            <w:instrText xml:space="preserve"> PAGEREF _Toc184805660 \h </w:instrText>
          </w:r>
          <w:r>
            <w:fldChar w:fldCharType="separate"/>
          </w:r>
          <w:r>
            <w:t>4</w:t>
          </w:r>
          <w:r>
            <w:fldChar w:fldCharType="end"/>
          </w:r>
          <w:r>
            <w:fldChar w:fldCharType="end"/>
          </w:r>
        </w:p>
        <w:p w14:paraId="766EC1E2">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"_Toc184805661" </w:instrText>
          </w:r>
          <w:r>
            <w:fldChar w:fldCharType="separate"/>
          </w:r>
          <w:r>
            <w:rPr>
              <w:rStyle w:val="35"/>
              <w14:scene3d w14:prst="orthographicFront">
                <w14:lightRig w14:rig="threePt" w14:dir="t">
                  <w14:rot w14:lat="0" w14:lon="0" w14:rev="0"/>
                </w14:lightRig>
              </w14:scene3d>
            </w:rPr>
            <w:t>1.1</w:t>
          </w:r>
          <w:r>
            <w:rPr>
              <w:rStyle w:val="35"/>
            </w:rPr>
            <w:t xml:space="preserve"> 论证目的</w:t>
          </w:r>
          <w:r>
            <w:tab/>
          </w:r>
          <w:r>
            <w:fldChar w:fldCharType="begin"/>
          </w:r>
          <w:r>
            <w:instrText xml:space="preserve"> PAGEREF _Toc184805661 \h </w:instrText>
          </w:r>
          <w:r>
            <w:fldChar w:fldCharType="separate"/>
          </w:r>
          <w:r>
            <w:t>4</w:t>
          </w:r>
          <w:r>
            <w:fldChar w:fldCharType="end"/>
          </w:r>
          <w:r>
            <w:fldChar w:fldCharType="end"/>
          </w:r>
        </w:p>
        <w:p w14:paraId="269AE25B">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"_Toc184805662" </w:instrText>
          </w:r>
          <w:r>
            <w:fldChar w:fldCharType="separate"/>
          </w:r>
          <w:r>
            <w:rPr>
              <w:rStyle w:val="35"/>
              <w14:scene3d w14:prst="orthographicFront">
                <w14:lightRig w14:rig="threePt" w14:dir="t">
                  <w14:rot w14:lat="0" w14:lon="0" w14:rev="0"/>
                </w14:lightRig>
              </w14:scene3d>
            </w:rPr>
            <w:t>1.2</w:t>
          </w:r>
          <w:r>
            <w:rPr>
              <w:rStyle w:val="35"/>
            </w:rPr>
            <w:t xml:space="preserve"> 论证原则</w:t>
          </w:r>
          <w:r>
            <w:tab/>
          </w:r>
          <w:r>
            <w:fldChar w:fldCharType="begin"/>
          </w:r>
          <w:r>
            <w:instrText xml:space="preserve"> PAGEREF _Toc184805662 \h </w:instrText>
          </w:r>
          <w:r>
            <w:fldChar w:fldCharType="separate"/>
          </w:r>
          <w:r>
            <w:t>4</w:t>
          </w:r>
          <w:r>
            <w:fldChar w:fldCharType="end"/>
          </w:r>
          <w:r>
            <w:fldChar w:fldCharType="end"/>
          </w:r>
        </w:p>
        <w:p w14:paraId="4D167A2B">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"_Toc184805663" </w:instrText>
          </w:r>
          <w:r>
            <w:fldChar w:fldCharType="separate"/>
          </w:r>
          <w:r>
            <w:rPr>
              <w:rStyle w:val="35"/>
              <w14:scene3d w14:prst="orthographicFront">
                <w14:lightRig w14:rig="threePt" w14:dir="t">
                  <w14:rot w14:lat="0" w14:lon="0" w14:rev="0"/>
                </w14:lightRig>
              </w14:scene3d>
            </w:rPr>
            <w:t>1.3</w:t>
          </w:r>
          <w:r>
            <w:rPr>
              <w:rStyle w:val="35"/>
            </w:rPr>
            <w:t xml:space="preserve"> 论证依据</w:t>
          </w:r>
          <w:r>
            <w:tab/>
          </w:r>
          <w:r>
            <w:fldChar w:fldCharType="begin"/>
          </w:r>
          <w:r>
            <w:instrText xml:space="preserve"> PAGEREF _Toc184805663 \h </w:instrText>
          </w:r>
          <w:r>
            <w:fldChar w:fldCharType="separate"/>
          </w:r>
          <w:r>
            <w:t>5</w:t>
          </w:r>
          <w:r>
            <w:fldChar w:fldCharType="end"/>
          </w:r>
          <w:r>
            <w:fldChar w:fldCharType="end"/>
          </w:r>
        </w:p>
        <w:p w14:paraId="1ABECE9A">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"_Toc184805664" </w:instrText>
          </w:r>
          <w:r>
            <w:fldChar w:fldCharType="separate"/>
          </w:r>
          <w:r>
            <w:rPr>
              <w:rStyle w:val="35"/>
              <w14:scene3d w14:prst="orthographicFront">
                <w14:lightRig w14:rig="threePt" w14:dir="t">
                  <w14:rot w14:lat="0" w14:lon="0" w14:rev="0"/>
                </w14:lightRig>
              </w14:scene3d>
            </w:rPr>
            <w:t>1.4</w:t>
          </w:r>
          <w:r>
            <w:rPr>
              <w:rStyle w:val="35"/>
            </w:rPr>
            <w:t xml:space="preserve"> 论证范围</w:t>
          </w:r>
          <w:r>
            <w:tab/>
          </w:r>
          <w:r>
            <w:fldChar w:fldCharType="begin"/>
          </w:r>
          <w:r>
            <w:instrText xml:space="preserve"> PAGEREF _Toc184805664 \h </w:instrText>
          </w:r>
          <w:r>
            <w:fldChar w:fldCharType="separate"/>
          </w:r>
          <w:r>
            <w:t>6</w:t>
          </w:r>
          <w:r>
            <w:fldChar w:fldCharType="end"/>
          </w:r>
          <w:r>
            <w:fldChar w:fldCharType="end"/>
          </w:r>
        </w:p>
        <w:p w14:paraId="41D017E5">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"_Toc184805665" </w:instrText>
          </w:r>
          <w:r>
            <w:fldChar w:fldCharType="separate"/>
          </w:r>
          <w:r>
            <w:rPr>
              <w:rStyle w:val="35"/>
              <w14:scene3d w14:prst="orthographicFront">
                <w14:lightRig w14:rig="threePt" w14:dir="t">
                  <w14:rot w14:lat="0" w14:lon="0" w14:rev="0"/>
                </w14:lightRig>
              </w14:scene3d>
            </w:rPr>
            <w:t>1.5</w:t>
          </w:r>
          <w:r>
            <w:rPr>
              <w:rStyle w:val="35"/>
            </w:rPr>
            <w:t xml:space="preserve"> 规划水平年与论证规模</w:t>
          </w:r>
          <w:r>
            <w:tab/>
          </w:r>
          <w:r>
            <w:fldChar w:fldCharType="begin"/>
          </w:r>
          <w:r>
            <w:instrText xml:space="preserve"> PAGEREF _Toc184805665 \h </w:instrText>
          </w:r>
          <w:r>
            <w:fldChar w:fldCharType="separate"/>
          </w:r>
          <w:r>
            <w:t>7</w:t>
          </w:r>
          <w:r>
            <w:fldChar w:fldCharType="end"/>
          </w:r>
          <w:r>
            <w:fldChar w:fldCharType="end"/>
          </w:r>
        </w:p>
        <w:p w14:paraId="0FF0BBC2">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"_Toc184805666" </w:instrText>
          </w:r>
          <w:r>
            <w:fldChar w:fldCharType="separate"/>
          </w:r>
          <w:r>
            <w:rPr>
              <w:rStyle w:val="35"/>
              <w14:scene3d w14:prst="orthographicFront">
                <w14:lightRig w14:rig="threePt" w14:dir="t">
                  <w14:rot w14:lat="0" w14:lon="0" w14:rev="0"/>
                </w14:lightRig>
              </w14:scene3d>
            </w:rPr>
            <w:t>1.6</w:t>
          </w:r>
          <w:r>
            <w:rPr>
              <w:rStyle w:val="35"/>
            </w:rPr>
            <w:t xml:space="preserve"> 论证工作程序</w:t>
          </w:r>
          <w:r>
            <w:tab/>
          </w:r>
          <w:r>
            <w:fldChar w:fldCharType="begin"/>
          </w:r>
          <w:r>
            <w:instrText xml:space="preserve"> PAGEREF _Toc184805666 \h </w:instrText>
          </w:r>
          <w:r>
            <w:fldChar w:fldCharType="separate"/>
          </w:r>
          <w:r>
            <w:t>7</w:t>
          </w:r>
          <w:r>
            <w:fldChar w:fldCharType="end"/>
          </w:r>
          <w:r>
            <w:fldChar w:fldCharType="end"/>
          </w:r>
        </w:p>
        <w:p w14:paraId="73BF60A1">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"_Toc184805667" </w:instrText>
          </w:r>
          <w:r>
            <w:fldChar w:fldCharType="separate"/>
          </w:r>
          <w:r>
            <w:rPr>
              <w:rStyle w:val="35"/>
              <w14:scene3d w14:prst="orthographicFront">
                <w14:lightRig w14:rig="threePt" w14:dir="t">
                  <w14:rot w14:lat="0" w14:lon="0" w14:rev="0"/>
                </w14:lightRig>
              </w14:scene3d>
            </w:rPr>
            <w:t>1.7</w:t>
          </w:r>
          <w:r>
            <w:rPr>
              <w:rStyle w:val="35"/>
            </w:rPr>
            <w:t xml:space="preserve"> 论证的主要内容</w:t>
          </w:r>
          <w:r>
            <w:tab/>
          </w:r>
          <w:r>
            <w:fldChar w:fldCharType="begin"/>
          </w:r>
          <w:r>
            <w:instrText xml:space="preserve"> PAGEREF _Toc184805667 \h </w:instrText>
          </w:r>
          <w:r>
            <w:fldChar w:fldCharType="separate"/>
          </w:r>
          <w:r>
            <w:t>8</w:t>
          </w:r>
          <w:r>
            <w:fldChar w:fldCharType="end"/>
          </w:r>
          <w:r>
            <w:fldChar w:fldCharType="end"/>
          </w:r>
        </w:p>
        <w:p w14:paraId="2FB26B14">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"_Toc184805668" </w:instrText>
          </w:r>
          <w:r>
            <w:fldChar w:fldCharType="separate"/>
          </w:r>
          <w:r>
            <w:rPr>
              <w:rStyle w:val="35"/>
            </w:rPr>
            <w:t>二、 项目概况</w:t>
          </w:r>
          <w:r>
            <w:tab/>
          </w:r>
          <w:r>
            <w:fldChar w:fldCharType="begin"/>
          </w:r>
          <w:r>
            <w:instrText xml:space="preserve"> PAGEREF _Toc184805668 \h </w:instrText>
          </w:r>
          <w:r>
            <w:fldChar w:fldCharType="separate"/>
          </w:r>
          <w:r>
            <w:t>9</w:t>
          </w:r>
          <w:r>
            <w:fldChar w:fldCharType="end"/>
          </w:r>
          <w:r>
            <w:fldChar w:fldCharType="end"/>
          </w:r>
        </w:p>
        <w:p w14:paraId="63B6E8BF">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"_Toc184805669" </w:instrText>
          </w:r>
          <w:r>
            <w:fldChar w:fldCharType="separate"/>
          </w:r>
          <w:r>
            <w:rPr>
              <w:rStyle w:val="35"/>
              <w14:scene3d w14:prst="orthographicFront">
                <w14:lightRig w14:rig="threePt" w14:dir="t">
                  <w14:rot w14:lat="0" w14:lon="0" w14:rev="0"/>
                </w14:lightRig>
              </w14:scene3d>
            </w:rPr>
            <w:t>2.1</w:t>
          </w:r>
          <w:r>
            <w:rPr>
              <w:rStyle w:val="35"/>
            </w:rPr>
            <w:t xml:space="preserve"> 项目概况</w:t>
          </w:r>
          <w:r>
            <w:tab/>
          </w:r>
          <w:r>
            <w:fldChar w:fldCharType="begin"/>
          </w:r>
          <w:r>
            <w:instrText xml:space="preserve"> PAGEREF _Toc184805669 \h </w:instrText>
          </w:r>
          <w:r>
            <w:fldChar w:fldCharType="separate"/>
          </w:r>
          <w:r>
            <w:t>9</w:t>
          </w:r>
          <w:r>
            <w:fldChar w:fldCharType="end"/>
          </w:r>
          <w:r>
            <w:fldChar w:fldCharType="end"/>
          </w:r>
        </w:p>
        <w:p w14:paraId="41F4CAFF">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"_Toc184805670" </w:instrText>
          </w:r>
          <w:r>
            <w:fldChar w:fldCharType="separate"/>
          </w:r>
          <w:r>
            <w:rPr>
              <w:rStyle w:val="35"/>
              <w14:scene3d w14:prst="orthographicFront">
                <w14:lightRig w14:rig="threePt" w14:dir="t">
                  <w14:rot w14:lat="0" w14:lon="0" w14:rev="0"/>
                </w14:lightRig>
              </w14:scene3d>
            </w:rPr>
            <w:t>2.2</w:t>
          </w:r>
          <w:r>
            <w:rPr>
              <w:rStyle w:val="35"/>
            </w:rPr>
            <w:t xml:space="preserve"> 项目所在区域概况</w:t>
          </w:r>
          <w:r>
            <w:tab/>
          </w:r>
          <w:r>
            <w:fldChar w:fldCharType="begin"/>
          </w:r>
          <w:r>
            <w:instrText xml:space="preserve"> PAGEREF _Toc184805670 \h </w:instrText>
          </w:r>
          <w:r>
            <w:fldChar w:fldCharType="separate"/>
          </w:r>
          <w:r>
            <w:t>11</w:t>
          </w:r>
          <w:r>
            <w:fldChar w:fldCharType="end"/>
          </w:r>
          <w:r>
            <w:fldChar w:fldCharType="end"/>
          </w:r>
        </w:p>
        <w:p w14:paraId="051EABD0">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"_Toc184805671" </w:instrText>
          </w:r>
          <w:r>
            <w:fldChar w:fldCharType="separate"/>
          </w:r>
          <w:r>
            <w:rPr>
              <w:rStyle w:val="35"/>
            </w:rPr>
            <w:t>三、 水功能区（水域）管理要求和现有取水状况</w:t>
          </w:r>
          <w:r>
            <w:tab/>
          </w:r>
          <w:r>
            <w:fldChar w:fldCharType="begin"/>
          </w:r>
          <w:r>
            <w:instrText xml:space="preserve"> PAGEREF _Toc184805671 \h </w:instrText>
          </w:r>
          <w:r>
            <w:fldChar w:fldCharType="separate"/>
          </w:r>
          <w:r>
            <w:t>14</w:t>
          </w:r>
          <w:r>
            <w:fldChar w:fldCharType="end"/>
          </w:r>
          <w:r>
            <w:fldChar w:fldCharType="end"/>
          </w:r>
        </w:p>
        <w:p w14:paraId="4461B945">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"_Toc184805672" </w:instrText>
          </w:r>
          <w:r>
            <w:fldChar w:fldCharType="separate"/>
          </w:r>
          <w:r>
            <w:rPr>
              <w:rStyle w:val="35"/>
              <w14:scene3d w14:prst="orthographicFront">
                <w14:lightRig w14:rig="threePt" w14:dir="t">
                  <w14:rot w14:lat="0" w14:lon="0" w14:rev="0"/>
                </w14:lightRig>
              </w14:scene3d>
            </w:rPr>
            <w:t>3.1</w:t>
          </w:r>
          <w:r>
            <w:rPr>
              <w:rStyle w:val="35"/>
            </w:rPr>
            <w:t xml:space="preserve"> 水功能区（水域）管理目标与要求</w:t>
          </w:r>
          <w:r>
            <w:tab/>
          </w:r>
          <w:r>
            <w:fldChar w:fldCharType="begin"/>
          </w:r>
          <w:r>
            <w:instrText xml:space="preserve"> PAGEREF _Toc184805672 \h </w:instrText>
          </w:r>
          <w:r>
            <w:fldChar w:fldCharType="separate"/>
          </w:r>
          <w:r>
            <w:t>14</w:t>
          </w:r>
          <w:r>
            <w:fldChar w:fldCharType="end"/>
          </w:r>
          <w:r>
            <w:fldChar w:fldCharType="end"/>
          </w:r>
        </w:p>
        <w:p w14:paraId="48B95FDA">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"_Toc184805673" </w:instrText>
          </w:r>
          <w:r>
            <w:fldChar w:fldCharType="separate"/>
          </w:r>
          <w:r>
            <w:rPr>
              <w:rStyle w:val="35"/>
              <w14:scene3d w14:prst="orthographicFront">
                <w14:lightRig w14:rig="threePt" w14:dir="t">
                  <w14:rot w14:lat="0" w14:lon="0" w14:rev="0"/>
                </w14:lightRig>
              </w14:scene3d>
            </w:rPr>
            <w:t>3.2</w:t>
          </w:r>
          <w:r>
            <w:rPr>
              <w:rStyle w:val="35"/>
            </w:rPr>
            <w:t xml:space="preserve"> 水功能区纳污能力及限制排放总量</w:t>
          </w:r>
          <w:r>
            <w:tab/>
          </w:r>
          <w:r>
            <w:fldChar w:fldCharType="begin"/>
          </w:r>
          <w:r>
            <w:instrText xml:space="preserve"> PAGEREF _Toc184805673 \h </w:instrText>
          </w:r>
          <w:r>
            <w:fldChar w:fldCharType="separate"/>
          </w:r>
          <w:r>
            <w:t>14</w:t>
          </w:r>
          <w:r>
            <w:fldChar w:fldCharType="end"/>
          </w:r>
          <w:r>
            <w:fldChar w:fldCharType="end"/>
          </w:r>
        </w:p>
        <w:p w14:paraId="1BC15BD3">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"_Toc184805674" </w:instrText>
          </w:r>
          <w:r>
            <w:fldChar w:fldCharType="separate"/>
          </w:r>
          <w:r>
            <w:rPr>
              <w:rStyle w:val="35"/>
              <w14:scene3d w14:prst="orthographicFront">
                <w14:lightRig w14:rig="threePt" w14:dir="t">
                  <w14:rot w14:lat="0" w14:lon="0" w14:rev="0"/>
                </w14:lightRig>
              </w14:scene3d>
            </w:rPr>
            <w:t>3.3</w:t>
          </w:r>
          <w:r>
            <w:rPr>
              <w:rStyle w:val="35"/>
            </w:rPr>
            <w:t xml:space="preserve"> 论证水功能区（水域）现有取排水状况</w:t>
          </w:r>
          <w:r>
            <w:tab/>
          </w:r>
          <w:r>
            <w:fldChar w:fldCharType="begin"/>
          </w:r>
          <w:r>
            <w:instrText xml:space="preserve"> PAGEREF _Toc184805674 \h </w:instrText>
          </w:r>
          <w:r>
            <w:fldChar w:fldCharType="separate"/>
          </w:r>
          <w:r>
            <w:t>15</w:t>
          </w:r>
          <w:r>
            <w:fldChar w:fldCharType="end"/>
          </w:r>
          <w:r>
            <w:fldChar w:fldCharType="end"/>
          </w:r>
        </w:p>
        <w:p w14:paraId="3E2AB010">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"_Toc184805675" </w:instrText>
          </w:r>
          <w:r>
            <w:fldChar w:fldCharType="separate"/>
          </w:r>
          <w:r>
            <w:rPr>
              <w:rStyle w:val="35"/>
            </w:rPr>
            <w:t>四、 入河排污口所在水功能区（水域）水质现状和纳污状况</w:t>
          </w:r>
          <w:r>
            <w:tab/>
          </w:r>
          <w:r>
            <w:fldChar w:fldCharType="begin"/>
          </w:r>
          <w:r>
            <w:instrText xml:space="preserve"> PAGEREF _Toc184805675 \h </w:instrText>
          </w:r>
          <w:r>
            <w:fldChar w:fldCharType="separate"/>
          </w:r>
          <w:r>
            <w:t>17</w:t>
          </w:r>
          <w:r>
            <w:fldChar w:fldCharType="end"/>
          </w:r>
          <w:r>
            <w:fldChar w:fldCharType="end"/>
          </w:r>
        </w:p>
        <w:p w14:paraId="7323C539">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"_Toc184805676" </w:instrText>
          </w:r>
          <w:r>
            <w:fldChar w:fldCharType="separate"/>
          </w:r>
          <w:r>
            <w:rPr>
              <w:rStyle w:val="35"/>
              <w14:scene3d w14:prst="orthographicFront">
                <w14:lightRig w14:rig="threePt" w14:dir="t">
                  <w14:rot w14:lat="0" w14:lon="0" w14:rev="0"/>
                </w14:lightRig>
              </w14:scene3d>
            </w:rPr>
            <w:t>4.1</w:t>
          </w:r>
          <w:r>
            <w:rPr>
              <w:rStyle w:val="35"/>
            </w:rPr>
            <w:t xml:space="preserve"> 水功能区（水域）管理要求</w:t>
          </w:r>
          <w:r>
            <w:tab/>
          </w:r>
          <w:r>
            <w:fldChar w:fldCharType="begin"/>
          </w:r>
          <w:r>
            <w:instrText xml:space="preserve"> PAGEREF _Toc184805676 \h </w:instrText>
          </w:r>
          <w:r>
            <w:fldChar w:fldCharType="separate"/>
          </w:r>
          <w:r>
            <w:t>17</w:t>
          </w:r>
          <w:r>
            <w:fldChar w:fldCharType="end"/>
          </w:r>
          <w:r>
            <w:fldChar w:fldCharType="end"/>
          </w:r>
        </w:p>
        <w:p w14:paraId="4A164FC8">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"_Toc184805677" </w:instrText>
          </w:r>
          <w:r>
            <w:fldChar w:fldCharType="separate"/>
          </w:r>
          <w:r>
            <w:rPr>
              <w:rStyle w:val="35"/>
              <w14:scene3d w14:prst="orthographicFront">
                <w14:lightRig w14:rig="threePt" w14:dir="t">
                  <w14:rot w14:lat="0" w14:lon="0" w14:rev="0"/>
                </w14:lightRig>
              </w14:scene3d>
            </w:rPr>
            <w:t>4.2</w:t>
          </w:r>
          <w:r>
            <w:rPr>
              <w:rStyle w:val="35"/>
            </w:rPr>
            <w:t xml:space="preserve"> 水功能区（水域）水质现状</w:t>
          </w:r>
          <w:r>
            <w:tab/>
          </w:r>
          <w:r>
            <w:fldChar w:fldCharType="begin"/>
          </w:r>
          <w:r>
            <w:instrText xml:space="preserve"> PAGEREF _Toc184805677 \h </w:instrText>
          </w:r>
          <w:r>
            <w:fldChar w:fldCharType="separate"/>
          </w:r>
          <w:r>
            <w:t>17</w:t>
          </w:r>
          <w:r>
            <w:fldChar w:fldCharType="end"/>
          </w:r>
          <w:r>
            <w:fldChar w:fldCharType="end"/>
          </w:r>
        </w:p>
        <w:p w14:paraId="5C015638">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"_Toc184805678" </w:instrText>
          </w:r>
          <w:r>
            <w:fldChar w:fldCharType="separate"/>
          </w:r>
          <w:r>
            <w:rPr>
              <w:rStyle w:val="35"/>
              <w14:scene3d w14:prst="orthographicFront">
                <w14:lightRig w14:rig="threePt" w14:dir="t">
                  <w14:rot w14:lat="0" w14:lon="0" w14:rev="0"/>
                </w14:lightRig>
              </w14:scene3d>
            </w:rPr>
            <w:t>4.3</w:t>
          </w:r>
          <w:r>
            <w:rPr>
              <w:rStyle w:val="35"/>
            </w:rPr>
            <w:t xml:space="preserve"> 所在水功能区（水域）纳污状况</w:t>
          </w:r>
          <w:r>
            <w:tab/>
          </w:r>
          <w:r>
            <w:fldChar w:fldCharType="begin"/>
          </w:r>
          <w:r>
            <w:instrText xml:space="preserve"> PAGEREF _Toc184805678 \h </w:instrText>
          </w:r>
          <w:r>
            <w:fldChar w:fldCharType="separate"/>
          </w:r>
          <w:r>
            <w:t>17</w:t>
          </w:r>
          <w:r>
            <w:fldChar w:fldCharType="end"/>
          </w:r>
          <w:r>
            <w:fldChar w:fldCharType="end"/>
          </w:r>
        </w:p>
        <w:p w14:paraId="72D4498C">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"_Toc184805679" </w:instrText>
          </w:r>
          <w:r>
            <w:fldChar w:fldCharType="separate"/>
          </w:r>
          <w:r>
            <w:rPr>
              <w:rStyle w:val="35"/>
            </w:rPr>
            <w:t>五、 入河排污口设置可行性分析论证及入河排污口设置情况</w:t>
          </w:r>
          <w:r>
            <w:tab/>
          </w:r>
          <w:r>
            <w:fldChar w:fldCharType="begin"/>
          </w:r>
          <w:r>
            <w:instrText xml:space="preserve"> PAGEREF _Toc184805679 \h </w:instrText>
          </w:r>
          <w:r>
            <w:fldChar w:fldCharType="separate"/>
          </w:r>
          <w:r>
            <w:t>19</w:t>
          </w:r>
          <w:r>
            <w:fldChar w:fldCharType="end"/>
          </w:r>
          <w:r>
            <w:fldChar w:fldCharType="end"/>
          </w:r>
        </w:p>
        <w:p w14:paraId="30C415A8">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"_Toc184805680" </w:instrText>
          </w:r>
          <w:r>
            <w:fldChar w:fldCharType="separate"/>
          </w:r>
          <w:r>
            <w:rPr>
              <w:rStyle w:val="35"/>
              <w14:scene3d w14:prst="orthographicFront">
                <w14:lightRig w14:rig="threePt" w14:dir="t">
                  <w14:rot w14:lat="0" w14:lon="0" w14:rev="0"/>
                </w14:lightRig>
              </w14:scene3d>
            </w:rPr>
            <w:t>5.1</w:t>
          </w:r>
          <w:r>
            <w:rPr>
              <w:rStyle w:val="35"/>
            </w:rPr>
            <w:t xml:space="preserve"> 污水来源及构成</w:t>
          </w:r>
          <w:r>
            <w:tab/>
          </w:r>
          <w:r>
            <w:fldChar w:fldCharType="begin"/>
          </w:r>
          <w:r>
            <w:instrText xml:space="preserve"> PAGEREF _Toc184805680 \h </w:instrText>
          </w:r>
          <w:r>
            <w:fldChar w:fldCharType="separate"/>
          </w:r>
          <w:r>
            <w:t>19</w:t>
          </w:r>
          <w:r>
            <w:fldChar w:fldCharType="end"/>
          </w:r>
          <w:r>
            <w:fldChar w:fldCharType="end"/>
          </w:r>
        </w:p>
        <w:p w14:paraId="240F2D9F">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"_Toc184805681" </w:instrText>
          </w:r>
          <w:r>
            <w:fldChar w:fldCharType="separate"/>
          </w:r>
          <w:r>
            <w:rPr>
              <w:rStyle w:val="35"/>
              <w14:scene3d w14:prst="orthographicFront">
                <w14:lightRig w14:rig="threePt" w14:dir="t">
                  <w14:rot w14:lat="0" w14:lon="0" w14:rev="0"/>
                </w14:lightRig>
              </w14:scene3d>
            </w:rPr>
            <w:t>5.2</w:t>
          </w:r>
          <w:r>
            <w:rPr>
              <w:rStyle w:val="35"/>
            </w:rPr>
            <w:t xml:space="preserve"> 污水所含主要污染物种类及</w:t>
          </w:r>
          <w:r>
            <w:rPr>
              <w:rStyle w:val="35"/>
              <w:rFonts w:hint="eastAsia"/>
            </w:rPr>
            <w:t>其</w:t>
          </w:r>
          <w:r>
            <w:rPr>
              <w:rStyle w:val="35"/>
            </w:rPr>
            <w:t>排放浓度、总量</w:t>
          </w:r>
          <w:r>
            <w:tab/>
          </w:r>
          <w:r>
            <w:fldChar w:fldCharType="begin"/>
          </w:r>
          <w:r>
            <w:instrText xml:space="preserve"> PAGEREF _Toc184805681 \h </w:instrText>
          </w:r>
          <w:r>
            <w:fldChar w:fldCharType="separate"/>
          </w:r>
          <w:r>
            <w:t>19</w:t>
          </w:r>
          <w:r>
            <w:fldChar w:fldCharType="end"/>
          </w:r>
          <w:r>
            <w:fldChar w:fldCharType="end"/>
          </w:r>
        </w:p>
        <w:p w14:paraId="20231209">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"_Toc184805682" </w:instrText>
          </w:r>
          <w:r>
            <w:fldChar w:fldCharType="separate"/>
          </w:r>
          <w:r>
            <w:rPr>
              <w:rStyle w:val="35"/>
              <w14:scene3d w14:prst="orthographicFront">
                <w14:lightRig w14:rig="threePt" w14:dir="t">
                  <w14:rot w14:lat="0" w14:lon="0" w14:rev="0"/>
                </w14:lightRig>
              </w14:scene3d>
            </w:rPr>
            <w:t>5.3</w:t>
          </w:r>
          <w:r>
            <w:rPr>
              <w:rStyle w:val="35"/>
            </w:rPr>
            <w:t xml:space="preserve"> 入河排污口设置可行性分析论证</w:t>
          </w:r>
          <w:r>
            <w:tab/>
          </w:r>
          <w:r>
            <w:fldChar w:fldCharType="begin"/>
          </w:r>
          <w:r>
            <w:instrText xml:space="preserve"> PAGEREF _Toc184805682 \h </w:instrText>
          </w:r>
          <w:r>
            <w:fldChar w:fldCharType="separate"/>
          </w:r>
          <w:r>
            <w:t>19</w:t>
          </w:r>
          <w:r>
            <w:fldChar w:fldCharType="end"/>
          </w:r>
          <w:r>
            <w:fldChar w:fldCharType="end"/>
          </w:r>
        </w:p>
        <w:p w14:paraId="33FBD78F">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"_Toc184805683" </w:instrText>
          </w:r>
          <w:r>
            <w:fldChar w:fldCharType="separate"/>
          </w:r>
          <w:r>
            <w:rPr>
              <w:rStyle w:val="35"/>
              <w14:scene3d w14:prst="orthographicFront">
                <w14:lightRig w14:rig="threePt" w14:dir="t">
                  <w14:rot w14:lat="0" w14:lon="0" w14:rev="0"/>
                </w14:lightRig>
              </w14:scene3d>
            </w:rPr>
            <w:t>5.4</w:t>
          </w:r>
          <w:r>
            <w:rPr>
              <w:rStyle w:val="35"/>
            </w:rPr>
            <w:t xml:space="preserve"> 入河排污口设置方案</w:t>
          </w:r>
          <w:r>
            <w:tab/>
          </w:r>
          <w:r>
            <w:fldChar w:fldCharType="begin"/>
          </w:r>
          <w:r>
            <w:instrText xml:space="preserve"> PAGEREF _Toc184805683 \h </w:instrText>
          </w:r>
          <w:r>
            <w:fldChar w:fldCharType="separate"/>
          </w:r>
          <w:r>
            <w:t>26</w:t>
          </w:r>
          <w:r>
            <w:fldChar w:fldCharType="end"/>
          </w:r>
          <w:r>
            <w:fldChar w:fldCharType="end"/>
          </w:r>
        </w:p>
        <w:p w14:paraId="5DDD9775">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"_Toc184805684" </w:instrText>
          </w:r>
          <w:r>
            <w:fldChar w:fldCharType="separate"/>
          </w:r>
          <w:r>
            <w:rPr>
              <w:rStyle w:val="35"/>
            </w:rPr>
            <w:t>六、 入河排污口设置对水功能区（水域）水质和水生态影响分析</w:t>
          </w:r>
          <w:r>
            <w:tab/>
          </w:r>
          <w:r>
            <w:fldChar w:fldCharType="begin"/>
          </w:r>
          <w:r>
            <w:instrText xml:space="preserve"> PAGEREF _Toc184805684 \h </w:instrText>
          </w:r>
          <w:r>
            <w:fldChar w:fldCharType="separate"/>
          </w:r>
          <w:r>
            <w:t>28</w:t>
          </w:r>
          <w:r>
            <w:fldChar w:fldCharType="end"/>
          </w:r>
          <w:r>
            <w:fldChar w:fldCharType="end"/>
          </w:r>
        </w:p>
        <w:p w14:paraId="287B3981">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"_Toc184805685" </w:instrText>
          </w:r>
          <w:r>
            <w:fldChar w:fldCharType="separate"/>
          </w:r>
          <w:r>
            <w:rPr>
              <w:rStyle w:val="35"/>
              <w14:scene3d w14:prst="orthographicFront">
                <w14:lightRig w14:rig="threePt" w14:dir="t">
                  <w14:rot w14:lat="0" w14:lon="0" w14:rev="0"/>
                </w14:lightRig>
              </w14:scene3d>
            </w:rPr>
            <w:t>6.1</w:t>
          </w:r>
          <w:r>
            <w:rPr>
              <w:rStyle w:val="35"/>
            </w:rPr>
            <w:t xml:space="preserve"> 影响范围</w:t>
          </w:r>
          <w:r>
            <w:tab/>
          </w:r>
          <w:r>
            <w:fldChar w:fldCharType="begin"/>
          </w:r>
          <w:r>
            <w:instrText xml:space="preserve"> PAGEREF _Toc184805685 \h </w:instrText>
          </w:r>
          <w:r>
            <w:fldChar w:fldCharType="separate"/>
          </w:r>
          <w:r>
            <w:t>28</w:t>
          </w:r>
          <w:r>
            <w:fldChar w:fldCharType="end"/>
          </w:r>
          <w:r>
            <w:fldChar w:fldCharType="end"/>
          </w:r>
        </w:p>
        <w:p w14:paraId="526445F1">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"_Toc184805686" </w:instrText>
          </w:r>
          <w:r>
            <w:fldChar w:fldCharType="separate"/>
          </w:r>
          <w:r>
            <w:rPr>
              <w:rStyle w:val="35"/>
              <w14:scene3d w14:prst="orthographicFront">
                <w14:lightRig w14:rig="threePt" w14:dir="t">
                  <w14:rot w14:lat="0" w14:lon="0" w14:rev="0"/>
                </w14:lightRig>
              </w14:scene3d>
            </w:rPr>
            <w:t>6.2</w:t>
          </w:r>
          <w:r>
            <w:rPr>
              <w:rStyle w:val="35"/>
            </w:rPr>
            <w:t xml:space="preserve"> 对水域纳污能力及水质影响分析</w:t>
          </w:r>
          <w:r>
            <w:tab/>
          </w:r>
          <w:r>
            <w:fldChar w:fldCharType="begin"/>
          </w:r>
          <w:r>
            <w:instrText xml:space="preserve"> PAGEREF _Toc184805686 \h </w:instrText>
          </w:r>
          <w:r>
            <w:fldChar w:fldCharType="separate"/>
          </w:r>
          <w:r>
            <w:t>32</w:t>
          </w:r>
          <w:r>
            <w:fldChar w:fldCharType="end"/>
          </w:r>
          <w:r>
            <w:fldChar w:fldCharType="end"/>
          </w:r>
        </w:p>
        <w:p w14:paraId="0E0D346F">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"_Toc184805687" </w:instrText>
          </w:r>
          <w:r>
            <w:fldChar w:fldCharType="separate"/>
          </w:r>
          <w:r>
            <w:rPr>
              <w:rStyle w:val="35"/>
              <w14:scene3d w14:prst="orthographicFront">
                <w14:lightRig w14:rig="threePt" w14:dir="t">
                  <w14:rot w14:lat="0" w14:lon="0" w14:rev="0"/>
                </w14:lightRig>
              </w14:scene3d>
            </w:rPr>
            <w:t>6.3</w:t>
          </w:r>
          <w:r>
            <w:rPr>
              <w:rStyle w:val="35"/>
            </w:rPr>
            <w:t xml:space="preserve"> 对水生态环境影响</w:t>
          </w:r>
          <w:r>
            <w:tab/>
          </w:r>
          <w:r>
            <w:fldChar w:fldCharType="begin"/>
          </w:r>
          <w:r>
            <w:instrText xml:space="preserve"> PAGEREF _Toc184805687 \h </w:instrText>
          </w:r>
          <w:r>
            <w:fldChar w:fldCharType="separate"/>
          </w:r>
          <w:r>
            <w:t>35</w:t>
          </w:r>
          <w:r>
            <w:fldChar w:fldCharType="end"/>
          </w:r>
          <w:r>
            <w:fldChar w:fldCharType="end"/>
          </w:r>
        </w:p>
        <w:p w14:paraId="3D817366">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"_Toc184805688" </w:instrText>
          </w:r>
          <w:r>
            <w:fldChar w:fldCharType="separate"/>
          </w:r>
          <w:r>
            <w:rPr>
              <w:rStyle w:val="35"/>
              <w14:scene3d w14:prst="orthographicFront">
                <w14:lightRig w14:rig="threePt" w14:dir="t">
                  <w14:rot w14:lat="0" w14:lon="0" w14:rev="0"/>
                </w14:lightRig>
              </w14:scene3d>
            </w:rPr>
            <w:t>6.4</w:t>
          </w:r>
          <w:r>
            <w:rPr>
              <w:rStyle w:val="35"/>
            </w:rPr>
            <w:t xml:space="preserve"> 对地下水的影响分析</w:t>
          </w:r>
          <w:r>
            <w:tab/>
          </w:r>
          <w:r>
            <w:fldChar w:fldCharType="begin"/>
          </w:r>
          <w:r>
            <w:instrText xml:space="preserve"> PAGEREF _Toc184805688 \h </w:instrText>
          </w:r>
          <w:r>
            <w:fldChar w:fldCharType="separate"/>
          </w:r>
          <w:r>
            <w:t>36</w:t>
          </w:r>
          <w:r>
            <w:fldChar w:fldCharType="end"/>
          </w:r>
          <w:r>
            <w:fldChar w:fldCharType="end"/>
          </w:r>
        </w:p>
        <w:p w14:paraId="72BFA069">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"_Toc184805689" </w:instrText>
          </w:r>
          <w:r>
            <w:fldChar w:fldCharType="separate"/>
          </w:r>
          <w:r>
            <w:rPr>
              <w:rStyle w:val="35"/>
              <w14:scene3d w14:prst="orthographicFront">
                <w14:lightRig w14:rig="threePt" w14:dir="t">
                  <w14:rot w14:lat="0" w14:lon="0" w14:rev="0"/>
                </w14:lightRig>
              </w14:scene3d>
            </w:rPr>
            <w:t>6.5</w:t>
          </w:r>
          <w:r>
            <w:rPr>
              <w:rStyle w:val="35"/>
            </w:rPr>
            <w:t xml:space="preserve"> 对第三者影响分析</w:t>
          </w:r>
          <w:r>
            <w:tab/>
          </w:r>
          <w:r>
            <w:fldChar w:fldCharType="begin"/>
          </w:r>
          <w:r>
            <w:instrText xml:space="preserve"> PAGEREF _Toc184805689 \h </w:instrText>
          </w:r>
          <w:r>
            <w:fldChar w:fldCharType="separate"/>
          </w:r>
          <w:r>
            <w:t>36</w:t>
          </w:r>
          <w:r>
            <w:fldChar w:fldCharType="end"/>
          </w:r>
          <w:r>
            <w:fldChar w:fldCharType="end"/>
          </w:r>
        </w:p>
        <w:p w14:paraId="6C4A6ADE">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"_Toc184805690" </w:instrText>
          </w:r>
          <w:r>
            <w:fldChar w:fldCharType="separate"/>
          </w:r>
          <w:r>
            <w:rPr>
              <w:rStyle w:val="35"/>
            </w:rPr>
            <w:t>七、 水环境保护措施</w:t>
          </w:r>
          <w:r>
            <w:tab/>
          </w:r>
          <w:r>
            <w:fldChar w:fldCharType="begin"/>
          </w:r>
          <w:r>
            <w:instrText xml:space="preserve"> PAGEREF _Toc184805690 \h </w:instrText>
          </w:r>
          <w:r>
            <w:fldChar w:fldCharType="separate"/>
          </w:r>
          <w:r>
            <w:t>38</w:t>
          </w:r>
          <w:r>
            <w:fldChar w:fldCharType="end"/>
          </w:r>
          <w:r>
            <w:fldChar w:fldCharType="end"/>
          </w:r>
        </w:p>
        <w:p w14:paraId="64B6C27F">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"_Toc184805691" </w:instrText>
          </w:r>
          <w:r>
            <w:fldChar w:fldCharType="separate"/>
          </w:r>
          <w:r>
            <w:rPr>
              <w:rStyle w:val="35"/>
              <w14:scene3d w14:prst="orthographicFront">
                <w14:lightRig w14:rig="threePt" w14:dir="t">
                  <w14:rot w14:lat="0" w14:lon="0" w14:rev="0"/>
                </w14:lightRig>
              </w14:scene3d>
            </w:rPr>
            <w:t>7.1</w:t>
          </w:r>
          <w:r>
            <w:rPr>
              <w:rStyle w:val="35"/>
            </w:rPr>
            <w:t xml:space="preserve"> 水生态保护措施</w:t>
          </w:r>
          <w:r>
            <w:tab/>
          </w:r>
          <w:r>
            <w:fldChar w:fldCharType="begin"/>
          </w:r>
          <w:r>
            <w:instrText xml:space="preserve"> PAGEREF _Toc184805691 \h </w:instrText>
          </w:r>
          <w:r>
            <w:fldChar w:fldCharType="separate"/>
          </w:r>
          <w:r>
            <w:t>38</w:t>
          </w:r>
          <w:r>
            <w:fldChar w:fldCharType="end"/>
          </w:r>
          <w:r>
            <w:fldChar w:fldCharType="end"/>
          </w:r>
        </w:p>
        <w:p w14:paraId="7F63314D">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"_Toc184805692" </w:instrText>
          </w:r>
          <w:r>
            <w:fldChar w:fldCharType="separate"/>
          </w:r>
          <w:r>
            <w:rPr>
              <w:rStyle w:val="35"/>
              <w14:scene3d w14:prst="orthographicFront">
                <w14:lightRig w14:rig="threePt" w14:dir="t">
                  <w14:rot w14:lat="0" w14:lon="0" w14:rev="0"/>
                </w14:lightRig>
              </w14:scene3d>
            </w:rPr>
            <w:t>7.2</w:t>
          </w:r>
          <w:r>
            <w:rPr>
              <w:rStyle w:val="35"/>
            </w:rPr>
            <w:t xml:space="preserve"> 事故排放时应急措施</w:t>
          </w:r>
          <w:r>
            <w:tab/>
          </w:r>
          <w:r>
            <w:fldChar w:fldCharType="begin"/>
          </w:r>
          <w:r>
            <w:instrText xml:space="preserve"> PAGEREF _Toc184805692 \h </w:instrText>
          </w:r>
          <w:r>
            <w:fldChar w:fldCharType="separate"/>
          </w:r>
          <w:r>
            <w:t>39</w:t>
          </w:r>
          <w:r>
            <w:fldChar w:fldCharType="end"/>
          </w:r>
          <w:r>
            <w:fldChar w:fldCharType="end"/>
          </w:r>
        </w:p>
        <w:p w14:paraId="1E7A3CAA">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"_Toc184805693" </w:instrText>
          </w:r>
          <w:r>
            <w:fldChar w:fldCharType="separate"/>
          </w:r>
          <w:r>
            <w:rPr>
              <w:rStyle w:val="35"/>
              <w14:scene3d w14:prst="orthographicFront">
                <w14:lightRig w14:rig="threePt" w14:dir="t">
                  <w14:rot w14:lat="0" w14:lon="0" w14:rev="0"/>
                </w14:lightRig>
              </w14:scene3d>
            </w:rPr>
            <w:t>7.3</w:t>
          </w:r>
          <w:r>
            <w:rPr>
              <w:rStyle w:val="35"/>
            </w:rPr>
            <w:t xml:space="preserve"> 入河排放口设置要求</w:t>
          </w:r>
          <w:r>
            <w:tab/>
          </w:r>
          <w:r>
            <w:fldChar w:fldCharType="begin"/>
          </w:r>
          <w:r>
            <w:instrText xml:space="preserve"> PAGEREF _Toc184805693 \h </w:instrText>
          </w:r>
          <w:r>
            <w:fldChar w:fldCharType="separate"/>
          </w:r>
          <w:r>
            <w:t>41</w:t>
          </w:r>
          <w:r>
            <w:fldChar w:fldCharType="end"/>
          </w:r>
          <w:r>
            <w:fldChar w:fldCharType="end"/>
          </w:r>
        </w:p>
        <w:p w14:paraId="4318B545">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"_Toc184805694" </w:instrText>
          </w:r>
          <w:r>
            <w:fldChar w:fldCharType="separate"/>
          </w:r>
          <w:r>
            <w:rPr>
              <w:rStyle w:val="35"/>
            </w:rPr>
            <w:t>八、 入河排污口设置合理性分析</w:t>
          </w:r>
          <w:r>
            <w:tab/>
          </w:r>
          <w:r>
            <w:fldChar w:fldCharType="begin"/>
          </w:r>
          <w:r>
            <w:instrText xml:space="preserve"> PAGEREF _Toc184805694 \h </w:instrText>
          </w:r>
          <w:r>
            <w:fldChar w:fldCharType="separate"/>
          </w:r>
          <w:r>
            <w:t>44</w:t>
          </w:r>
          <w:r>
            <w:fldChar w:fldCharType="end"/>
          </w:r>
          <w:r>
            <w:fldChar w:fldCharType="end"/>
          </w:r>
        </w:p>
        <w:p w14:paraId="262FB690">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"_Toc184805695" </w:instrText>
          </w:r>
          <w:r>
            <w:fldChar w:fldCharType="separate"/>
          </w:r>
          <w:r>
            <w:rPr>
              <w:rStyle w:val="35"/>
              <w14:scene3d w14:prst="orthographicFront">
                <w14:lightRig w14:rig="threePt" w14:dir="t">
                  <w14:rot w14:lat="0" w14:lon="0" w14:rev="0"/>
                </w14:lightRig>
              </w14:scene3d>
            </w:rPr>
            <w:t>8.1</w:t>
          </w:r>
          <w:r>
            <w:rPr>
              <w:rStyle w:val="35"/>
            </w:rPr>
            <w:t xml:space="preserve"> 入河排污口位置合理性分析</w:t>
          </w:r>
          <w:r>
            <w:tab/>
          </w:r>
          <w:r>
            <w:fldChar w:fldCharType="begin"/>
          </w:r>
          <w:r>
            <w:instrText xml:space="preserve"> PAGEREF _Toc184805695 \h </w:instrText>
          </w:r>
          <w:r>
            <w:fldChar w:fldCharType="separate"/>
          </w:r>
          <w:r>
            <w:t>44</w:t>
          </w:r>
          <w:r>
            <w:fldChar w:fldCharType="end"/>
          </w:r>
          <w:r>
            <w:fldChar w:fldCharType="end"/>
          </w:r>
        </w:p>
        <w:p w14:paraId="0AAC243D">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"_Toc184805696" </w:instrText>
          </w:r>
          <w:r>
            <w:fldChar w:fldCharType="separate"/>
          </w:r>
          <w:r>
            <w:rPr>
              <w:rStyle w:val="35"/>
              <w14:scene3d w14:prst="orthographicFront">
                <w14:lightRig w14:rig="threePt" w14:dir="t">
                  <w14:rot w14:lat="0" w14:lon="0" w14:rev="0"/>
                </w14:lightRig>
              </w14:scene3d>
            </w:rPr>
            <w:t>8.2</w:t>
          </w:r>
          <w:r>
            <w:rPr>
              <w:rStyle w:val="35"/>
            </w:rPr>
            <w:t xml:space="preserve"> 选址合理性分析</w:t>
          </w:r>
          <w:r>
            <w:tab/>
          </w:r>
          <w:r>
            <w:fldChar w:fldCharType="begin"/>
          </w:r>
          <w:r>
            <w:instrText xml:space="preserve"> PAGEREF _Toc184805696 \h </w:instrText>
          </w:r>
          <w:r>
            <w:fldChar w:fldCharType="separate"/>
          </w:r>
          <w:r>
            <w:t>44</w:t>
          </w:r>
          <w:r>
            <w:fldChar w:fldCharType="end"/>
          </w:r>
          <w:r>
            <w:fldChar w:fldCharType="end"/>
          </w:r>
        </w:p>
        <w:p w14:paraId="2F877BD3">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"_Toc184805697" </w:instrText>
          </w:r>
          <w:r>
            <w:fldChar w:fldCharType="separate"/>
          </w:r>
          <w:r>
            <w:rPr>
              <w:rStyle w:val="35"/>
              <w14:scene3d w14:prst="orthographicFront">
                <w14:lightRig w14:rig="threePt" w14:dir="t">
                  <w14:rot w14:lat="0" w14:lon="0" w14:rev="0"/>
                </w14:lightRig>
              </w14:scene3d>
            </w:rPr>
            <w:t>8.3</w:t>
          </w:r>
          <w:r>
            <w:rPr>
              <w:rStyle w:val="35"/>
            </w:rPr>
            <w:t xml:space="preserve"> 排污口设置合理性分析</w:t>
          </w:r>
          <w:r>
            <w:tab/>
          </w:r>
          <w:r>
            <w:fldChar w:fldCharType="begin"/>
          </w:r>
          <w:r>
            <w:instrText xml:space="preserve"> PAGEREF _Toc184805697 \h </w:instrText>
          </w:r>
          <w:r>
            <w:fldChar w:fldCharType="separate"/>
          </w:r>
          <w:r>
            <w:t>44</w:t>
          </w:r>
          <w:r>
            <w:fldChar w:fldCharType="end"/>
          </w:r>
          <w:r>
            <w:fldChar w:fldCharType="end"/>
          </w:r>
        </w:p>
        <w:p w14:paraId="74214BCB">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"_Toc184805698" </w:instrText>
          </w:r>
          <w:r>
            <w:fldChar w:fldCharType="separate"/>
          </w:r>
          <w:r>
            <w:rPr>
              <w:rStyle w:val="35"/>
              <w14:scene3d w14:prst="orthographicFront">
                <w14:lightRig w14:rig="threePt" w14:dir="t">
                  <w14:rot w14:lat="0" w14:lon="0" w14:rev="0"/>
                </w14:lightRig>
              </w14:scene3d>
            </w:rPr>
            <w:t>8.4</w:t>
          </w:r>
          <w:r>
            <w:rPr>
              <w:rStyle w:val="35"/>
            </w:rPr>
            <w:t xml:space="preserve"> 排放浓度合理性分析</w:t>
          </w:r>
          <w:r>
            <w:tab/>
          </w:r>
          <w:r>
            <w:fldChar w:fldCharType="begin"/>
          </w:r>
          <w:r>
            <w:instrText xml:space="preserve"> PAGEREF _Toc184805698 \h </w:instrText>
          </w:r>
          <w:r>
            <w:fldChar w:fldCharType="separate"/>
          </w:r>
          <w:r>
            <w:t>45</w:t>
          </w:r>
          <w:r>
            <w:fldChar w:fldCharType="end"/>
          </w:r>
          <w:r>
            <w:fldChar w:fldCharType="end"/>
          </w:r>
        </w:p>
        <w:p w14:paraId="1D00FA79">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"_Toc184805699" </w:instrText>
          </w:r>
          <w:r>
            <w:fldChar w:fldCharType="separate"/>
          </w:r>
          <w:r>
            <w:rPr>
              <w:rStyle w:val="35"/>
              <w14:scene3d w14:prst="orthographicFront">
                <w14:lightRig w14:rig="threePt" w14:dir="t">
                  <w14:rot w14:lat="0" w14:lon="0" w14:rev="0"/>
                </w14:lightRig>
              </w14:scene3d>
            </w:rPr>
            <w:t>8.5</w:t>
          </w:r>
          <w:r>
            <w:rPr>
              <w:rStyle w:val="35"/>
            </w:rPr>
            <w:t xml:space="preserve"> 排放总量合理性分析</w:t>
          </w:r>
          <w:r>
            <w:tab/>
          </w:r>
          <w:r>
            <w:fldChar w:fldCharType="begin"/>
          </w:r>
          <w:r>
            <w:instrText xml:space="preserve"> PAGEREF _Toc184805699 \h </w:instrText>
          </w:r>
          <w:r>
            <w:fldChar w:fldCharType="separate"/>
          </w:r>
          <w:r>
            <w:t>45</w:t>
          </w:r>
          <w:r>
            <w:fldChar w:fldCharType="end"/>
          </w:r>
          <w:r>
            <w:fldChar w:fldCharType="end"/>
          </w:r>
        </w:p>
        <w:p w14:paraId="0571D1EA">
          <w:pPr>
            <w:pStyle w:val="21"/>
            <w:rPr>
              <w:rFonts w:asciiTheme="minorHAnsi" w:hAnsiTheme="minorHAnsi" w:eastAsiaTheme="minorEastAsia" w:cstheme="minorBidi"/>
              <w:snapToGrid/>
              <w:color w:val="auto"/>
              <w:kern w:val="2"/>
              <w:sz w:val="21"/>
              <w:szCs w:val="22"/>
            </w:rPr>
          </w:pPr>
          <w:r>
            <w:fldChar w:fldCharType="begin"/>
          </w:r>
          <w:r>
            <w:instrText xml:space="preserve"> HYPERLINK \l "_Toc184805700" </w:instrText>
          </w:r>
          <w:r>
            <w:fldChar w:fldCharType="separate"/>
          </w:r>
          <w:r>
            <w:rPr>
              <w:rStyle w:val="35"/>
            </w:rPr>
            <w:t>九、 结论</w:t>
          </w:r>
          <w:r>
            <w:tab/>
          </w:r>
          <w:r>
            <w:fldChar w:fldCharType="begin"/>
          </w:r>
          <w:r>
            <w:instrText xml:space="preserve"> PAGEREF _Toc184805700 \h </w:instrText>
          </w:r>
          <w:r>
            <w:fldChar w:fldCharType="separate"/>
          </w:r>
          <w:r>
            <w:t>46</w:t>
          </w:r>
          <w:r>
            <w:fldChar w:fldCharType="end"/>
          </w:r>
          <w:r>
            <w:fldChar w:fldCharType="end"/>
          </w:r>
        </w:p>
        <w:p w14:paraId="61327C48">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"_Toc184805701" </w:instrText>
          </w:r>
          <w:r>
            <w:fldChar w:fldCharType="separate"/>
          </w:r>
          <w:r>
            <w:rPr>
              <w:rStyle w:val="35"/>
              <w14:scene3d w14:prst="orthographicFront">
                <w14:lightRig w14:rig="threePt" w14:dir="t">
                  <w14:rot w14:lat="0" w14:lon="0" w14:rev="0"/>
                </w14:lightRig>
              </w14:scene3d>
            </w:rPr>
            <w:t>9.1</w:t>
          </w:r>
          <w:r>
            <w:rPr>
              <w:rStyle w:val="35"/>
            </w:rPr>
            <w:t xml:space="preserve"> 结论</w:t>
          </w:r>
          <w:r>
            <w:tab/>
          </w:r>
          <w:r>
            <w:fldChar w:fldCharType="begin"/>
          </w:r>
          <w:r>
            <w:instrText xml:space="preserve"> PAGEREF _Toc184805701 \h </w:instrText>
          </w:r>
          <w:r>
            <w:fldChar w:fldCharType="separate"/>
          </w:r>
          <w:r>
            <w:t>46</w:t>
          </w:r>
          <w:r>
            <w:fldChar w:fldCharType="end"/>
          </w:r>
          <w:r>
            <w:fldChar w:fldCharType="end"/>
          </w:r>
        </w:p>
        <w:p w14:paraId="7F95981A">
          <w:pPr>
            <w:pStyle w:val="24"/>
            <w:rPr>
              <w:rFonts w:asciiTheme="minorHAnsi" w:hAnsiTheme="minorHAnsi" w:eastAsiaTheme="minorEastAsia" w:cstheme="minorBidi"/>
              <w:snapToGrid/>
              <w:color w:val="auto"/>
              <w:kern w:val="2"/>
              <w:sz w:val="21"/>
              <w:szCs w:val="22"/>
            </w:rPr>
          </w:pPr>
          <w:r>
            <w:fldChar w:fldCharType="begin"/>
          </w:r>
          <w:r>
            <w:instrText xml:space="preserve"> HYPERLINK \l "_Toc184805702" </w:instrText>
          </w:r>
          <w:r>
            <w:fldChar w:fldCharType="separate"/>
          </w:r>
          <w:r>
            <w:rPr>
              <w:rStyle w:val="35"/>
              <w14:scene3d w14:prst="orthographicFront">
                <w14:lightRig w14:rig="threePt" w14:dir="t">
                  <w14:rot w14:lat="0" w14:lon="0" w14:rev="0"/>
                </w14:lightRig>
              </w14:scene3d>
            </w:rPr>
            <w:t>9.2</w:t>
          </w:r>
          <w:r>
            <w:rPr>
              <w:rStyle w:val="35"/>
            </w:rPr>
            <w:t xml:space="preserve"> 建议</w:t>
          </w:r>
          <w:r>
            <w:tab/>
          </w:r>
          <w:r>
            <w:fldChar w:fldCharType="begin"/>
          </w:r>
          <w:r>
            <w:instrText xml:space="preserve"> PAGEREF _Toc184805702 \h </w:instrText>
          </w:r>
          <w:r>
            <w:fldChar w:fldCharType="separate"/>
          </w:r>
          <w:r>
            <w:t>47</w:t>
          </w:r>
          <w:r>
            <w:fldChar w:fldCharType="end"/>
          </w:r>
          <w:r>
            <w:fldChar w:fldCharType="end"/>
          </w:r>
        </w:p>
        <w:p w14:paraId="515A957F">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end"/>
          </w:r>
        </w:p>
      </w:sdtContent>
    </w:sdt>
    <w:p w14:paraId="3C4D65F6">
      <w:pPr>
        <w:ind w:firstLine="480"/>
        <w:rPr>
          <w:color w:val="000000" w:themeColor="text1"/>
          <w14:textFill>
            <w14:solidFill>
              <w14:schemeClr w14:val="tx1"/>
            </w14:solidFill>
          </w14:textFill>
        </w:rPr>
      </w:pPr>
    </w:p>
    <w:p w14:paraId="3101989C">
      <w:pPr>
        <w:ind w:firstLine="480"/>
        <w:rPr>
          <w:color w:val="000000" w:themeColor="text1"/>
          <w14:textFill>
            <w14:solidFill>
              <w14:schemeClr w14:val="tx1"/>
            </w14:solidFill>
          </w14:textFill>
        </w:rPr>
        <w:sectPr>
          <w:footerReference r:id="rId12" w:type="default"/>
          <w:pgSz w:w="11906" w:h="16838"/>
          <w:pgMar w:top="1440" w:right="1800" w:bottom="1440" w:left="1800" w:header="851" w:footer="992" w:gutter="0"/>
          <w:pgNumType w:fmt="upperRoman" w:start="1"/>
          <w:cols w:space="425" w:num="1"/>
          <w:docGrid w:type="lines" w:linePitch="312" w:charSpace="0"/>
        </w:sectPr>
      </w:pPr>
    </w:p>
    <w:p w14:paraId="74225A32">
      <w:pPr>
        <w:pStyle w:val="43"/>
        <w:numPr>
          <w:ilvl w:val="0"/>
          <w:numId w:val="0"/>
        </w:numPr>
        <w:rPr>
          <w:color w:val="000000" w:themeColor="text1"/>
          <w14:textFill>
            <w14:solidFill>
              <w14:schemeClr w14:val="tx1"/>
            </w14:solidFill>
          </w14:textFill>
        </w:rPr>
      </w:pPr>
      <w:bookmarkStart w:id="2" w:name="_Toc184805659"/>
      <w:r>
        <w:rPr>
          <w:rFonts w:hint="eastAsia"/>
          <w:color w:val="000000" w:themeColor="text1"/>
          <w14:textFill>
            <w14:solidFill>
              <w14:schemeClr w14:val="tx1"/>
            </w14:solidFill>
          </w14:textFill>
        </w:rPr>
        <w:t>前 言</w:t>
      </w:r>
      <w:bookmarkEnd w:id="2"/>
    </w:p>
    <w:p w14:paraId="16523131">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芦塘乡（板栗村）污水处理厂位于</w:t>
      </w:r>
      <w:r>
        <w:rPr>
          <w:rFonts w:hint="eastAsia"/>
          <w:color w:val="000000" w:themeColor="text1"/>
          <w14:textFill>
            <w14:solidFill>
              <w14:schemeClr w14:val="tx1"/>
            </w14:solidFill>
          </w14:textFill>
        </w:rPr>
        <w:t>彭水苗族土家族自治县</w:t>
      </w:r>
      <w:r>
        <w:rPr>
          <w:rFonts w:hint="eastAsia" w:hAnsi="宋体"/>
          <w:bCs/>
          <w:color w:val="000000" w:themeColor="text1"/>
          <w14:textFill>
            <w14:solidFill>
              <w14:schemeClr w14:val="tx1"/>
            </w14:solidFill>
          </w14:textFill>
        </w:rPr>
        <w:t>芦塘乡板栗村三组，于2</w:t>
      </w:r>
      <w:r>
        <w:rPr>
          <w:rFonts w:hAnsi="宋体"/>
          <w:bCs/>
          <w:color w:val="000000" w:themeColor="text1"/>
          <w14:textFill>
            <w14:solidFill>
              <w14:schemeClr w14:val="tx1"/>
            </w14:solidFill>
          </w14:textFill>
        </w:rPr>
        <w:t>018</w:t>
      </w:r>
      <w:r>
        <w:rPr>
          <w:rFonts w:hint="eastAsia" w:hAnsi="宋体"/>
          <w:bCs/>
          <w:color w:val="000000" w:themeColor="text1"/>
          <w14:textFill>
            <w14:solidFill>
              <w14:schemeClr w14:val="tx1"/>
            </w14:solidFill>
          </w14:textFill>
        </w:rPr>
        <w:t>年建设完成，</w:t>
      </w:r>
      <w:r>
        <w:rPr>
          <w:rFonts w:hint="eastAsia"/>
          <w:color w:val="000000" w:themeColor="text1"/>
          <w14:textFill>
            <w14:solidFill>
              <w14:schemeClr w14:val="tx1"/>
            </w14:solidFill>
          </w14:textFill>
        </w:rPr>
        <w:t>收集处理芦塘乡</w:t>
      </w:r>
      <w:r>
        <w:rPr>
          <w:color w:val="000000" w:themeColor="text1"/>
          <w14:textFill>
            <w14:solidFill>
              <w14:schemeClr w14:val="tx1"/>
            </w14:solidFill>
          </w14:textFill>
        </w:rPr>
        <w:t>场镇片区的生活污水</w:t>
      </w:r>
      <w:r>
        <w:rPr>
          <w:rFonts w:hint="eastAsia"/>
          <w:color w:val="000000" w:themeColor="text1"/>
          <w14:textFill>
            <w14:solidFill>
              <w14:schemeClr w14:val="tx1"/>
            </w14:solidFill>
          </w14:textFill>
        </w:rPr>
        <w:t>。污水处理厂</w:t>
      </w:r>
      <w:r>
        <w:rPr>
          <w:rFonts w:hAnsi="宋体"/>
          <w:bCs/>
          <w:color w:val="000000" w:themeColor="text1"/>
          <w14:textFill>
            <w14:solidFill>
              <w14:schemeClr w14:val="tx1"/>
            </w14:solidFill>
          </w14:textFill>
        </w:rPr>
        <w:t>处理规模为90m</w:t>
      </w:r>
      <w:r>
        <w:rPr>
          <w:rFonts w:hAnsi="宋体"/>
          <w:bCs/>
          <w:color w:val="000000" w:themeColor="text1"/>
          <w:vertAlign w:val="superscript"/>
          <w14:textFill>
            <w14:solidFill>
              <w14:schemeClr w14:val="tx1"/>
            </w14:solidFill>
          </w14:textFill>
        </w:rPr>
        <w:t>3</w:t>
      </w:r>
      <w:r>
        <w:rPr>
          <w:rFonts w:hAnsi="宋体"/>
          <w:bCs/>
          <w:color w:val="000000" w:themeColor="text1"/>
          <w14:textFill>
            <w14:solidFill>
              <w14:schemeClr w14:val="tx1"/>
            </w14:solidFill>
          </w14:textFill>
        </w:rPr>
        <w:t>/d</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处理工艺</w:t>
      </w:r>
      <w:r>
        <w:rPr>
          <w:rFonts w:hint="eastAsia" w:hAnsi="宋体"/>
          <w:bCs/>
          <w:color w:val="000000" w:themeColor="text1"/>
          <w14:textFill>
            <w14:solidFill>
              <w14:schemeClr w14:val="tx1"/>
            </w14:solidFill>
          </w14:textFill>
        </w:rPr>
        <w:t>为“</w:t>
      </w:r>
      <w:r>
        <w:rPr>
          <w:rFonts w:hint="eastAsia"/>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城镇污水处理厂污染物排放标准》（GB 18918-2002）一级B标准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1km</w:t>
      </w:r>
      <w:r>
        <w:rPr>
          <w:rFonts w:hint="eastAsia" w:cs="Times New Roman"/>
          <w:snapToGrid/>
          <w:color w:val="000000" w:themeColor="text1"/>
          <w14:textFill>
            <w14:solidFill>
              <w14:schemeClr w14:val="tx1"/>
            </w14:solidFill>
          </w14:textFill>
        </w:rPr>
        <w:t>冲沟流入小河沟，再经</w:t>
      </w:r>
      <w:r>
        <w:rPr>
          <w:rFonts w:cs="Times New Roman"/>
          <w:snapToGrid/>
          <w:color w:val="000000" w:themeColor="text1"/>
          <w14:textFill>
            <w14:solidFill>
              <w14:schemeClr w14:val="tx1"/>
            </w14:solidFill>
          </w14:textFill>
        </w:rPr>
        <w:t>3</w:t>
      </w:r>
      <w:r>
        <w:rPr>
          <w:rFonts w:hint="eastAsia" w:cs="Times New Roman"/>
          <w:snapToGrid/>
          <w:color w:val="000000" w:themeColor="text1"/>
          <w14:textFill>
            <w14:solidFill>
              <w14:schemeClr w14:val="tx1"/>
            </w14:solidFill>
          </w14:textFill>
        </w:rPr>
        <w:t>km小河沟排入郁江</w:t>
      </w:r>
      <w:r>
        <w:rPr>
          <w:rFonts w:hint="eastAsia"/>
          <w:color w:val="000000" w:themeColor="text1"/>
          <w14:textFill>
            <w14:solidFill>
              <w14:schemeClr w14:val="tx1"/>
            </w14:solidFill>
          </w14:textFill>
        </w:rPr>
        <w:t>。</w:t>
      </w:r>
    </w:p>
    <w:p w14:paraId="47C26591">
      <w:pPr>
        <w:ind w:firstLine="480"/>
        <w:rPr>
          <w:color w:val="000000" w:themeColor="text1"/>
          <w14:textFill>
            <w14:solidFill>
              <w14:schemeClr w14:val="tx1"/>
            </w14:solidFill>
          </w14:textFill>
        </w:rPr>
      </w:pPr>
      <w:r>
        <w:rPr>
          <w:rFonts w:hint="eastAsia" w:hAnsi="宋体"/>
          <w:bCs/>
          <w:color w:val="000000" w:themeColor="text1"/>
          <w14:textFill>
            <w14:solidFill>
              <w14:schemeClr w14:val="tx1"/>
            </w14:solidFill>
          </w14:textFill>
        </w:rPr>
        <w:t>芦塘乡（板栗村）污水处理厂</w:t>
      </w:r>
      <w:r>
        <w:rPr>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东经：108.335650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，北纬：29.514853</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，该入河排污口属于新建排污口，类型为城镇污水处理设施入河排污口，排放方式为连续排放</w:t>
      </w:r>
      <w:r>
        <w:rPr>
          <w:rFonts w:hint="eastAsia" w:cs="Times New Roman"/>
          <w:snapToGrid/>
          <w:color w:val="000000" w:themeColor="text1"/>
          <w14:textFill>
            <w14:solidFill>
              <w14:schemeClr w14:val="tx1"/>
            </w14:solidFill>
          </w14:textFill>
        </w:rPr>
        <w:t>。</w:t>
      </w:r>
    </w:p>
    <w:p w14:paraId="171990CD">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按照《中华人民共和国水法》、《水功能区管理办法》和《入河排污口监督管理办法》等法律法规的要求，在江河、湖泊新建、建设或扩大排污口，需要对入河排污口设置的可行性和合理性进行论证。本项目涉及建设入河排污口，因此，需</w:t>
      </w:r>
      <w:r>
        <w:rPr>
          <w:color w:val="000000" w:themeColor="text1"/>
          <w14:textFill>
            <w14:solidFill>
              <w14:schemeClr w14:val="tx1"/>
            </w14:solidFill>
          </w14:textFill>
        </w:rPr>
        <w:t>要对</w:t>
      </w:r>
      <w:r>
        <w:rPr>
          <w:rFonts w:hint="eastAsia"/>
          <w:color w:val="000000" w:themeColor="text1"/>
          <w14:textFill>
            <w14:solidFill>
              <w14:schemeClr w14:val="tx1"/>
            </w14:solidFill>
          </w14:textFill>
        </w:rPr>
        <w:t>建设的</w:t>
      </w:r>
      <w:r>
        <w:rPr>
          <w:color w:val="000000" w:themeColor="text1"/>
          <w14:textFill>
            <w14:solidFill>
              <w14:schemeClr w14:val="tx1"/>
            </w14:solidFill>
          </w14:textFill>
        </w:rPr>
        <w:t>入河排污口设置可行性和合理性进行论证</w:t>
      </w:r>
      <w:r>
        <w:rPr>
          <w:rFonts w:hint="eastAsia"/>
          <w:color w:val="000000" w:themeColor="text1"/>
          <w14:textFill>
            <w14:solidFill>
              <w14:schemeClr w14:val="tx1"/>
            </w14:solidFill>
          </w14:textFill>
        </w:rPr>
        <w:t>。</w:t>
      </w:r>
      <w:r>
        <w:rPr>
          <w:rFonts w:cs="Times New Roman"/>
          <w:color w:val="000000" w:themeColor="text1"/>
          <w14:textFill>
            <w14:solidFill>
              <w14:schemeClr w14:val="tx1"/>
            </w14:solidFill>
          </w14:textFill>
        </w:rPr>
        <w:t>2024年7月，</w:t>
      </w:r>
      <w:bookmarkStart w:id="3" w:name="OLE_LINK11"/>
      <w:r>
        <w:rPr>
          <w:rFonts w:hint="eastAsia"/>
          <w:color w:val="000000" w:themeColor="text1"/>
          <w14:textFill>
            <w14:solidFill>
              <w14:schemeClr w14:val="tx1"/>
            </w14:solidFill>
          </w14:textFill>
        </w:rPr>
        <w:t>重庆环保投资集团有限公司委托</w:t>
      </w:r>
      <w:r>
        <w:rPr>
          <w:rFonts w:hint="eastAsia" w:cs="Times New Roman"/>
          <w:color w:val="000000" w:themeColor="text1"/>
          <w14:textFill>
            <w14:solidFill>
              <w14:schemeClr w14:val="tx1"/>
            </w14:solidFill>
          </w14:textFill>
        </w:rPr>
        <w:t>重庆新天地环境检测技术有限公司</w:t>
      </w:r>
      <w:bookmarkEnd w:id="3"/>
      <w:r>
        <w:rPr>
          <w:rFonts w:cs="Times New Roman"/>
          <w:color w:val="000000" w:themeColor="text1"/>
          <w14:textFill>
            <w14:solidFill>
              <w14:schemeClr w14:val="tx1"/>
            </w14:solidFill>
          </w14:textFill>
        </w:rPr>
        <w:t>对</w:t>
      </w:r>
      <w:r>
        <w:rPr>
          <w:rFonts w:hint="eastAsia" w:cs="Times New Roman"/>
          <w:color w:val="000000" w:themeColor="text1"/>
          <w14:textFill>
            <w14:solidFill>
              <w14:schemeClr w14:val="tx1"/>
            </w14:solidFill>
          </w14:textFill>
        </w:rPr>
        <w:t>芦塘乡（板栗村）污水处理厂</w:t>
      </w:r>
      <w:r>
        <w:rPr>
          <w:rFonts w:cs="Times New Roman"/>
          <w:color w:val="000000" w:themeColor="text1"/>
          <w14:textFill>
            <w14:solidFill>
              <w14:schemeClr w14:val="tx1"/>
            </w14:solidFill>
          </w14:textFill>
        </w:rPr>
        <w:t>入河排污口设置进行论证。</w:t>
      </w:r>
    </w:p>
    <w:p w14:paraId="14A86071">
      <w:pPr>
        <w:ind w:firstLine="480"/>
        <w:rPr>
          <w:color w:val="000000" w:themeColor="text1"/>
          <w14:textFill>
            <w14:solidFill>
              <w14:schemeClr w14:val="tx1"/>
            </w14:solidFill>
          </w14:textFill>
        </w:rPr>
      </w:pPr>
      <w:r>
        <w:rPr>
          <w:color w:val="000000" w:themeColor="text1"/>
          <w14:textFill>
            <w14:solidFill>
              <w14:schemeClr w14:val="tx1"/>
            </w14:solidFill>
          </w14:textFill>
        </w:rPr>
        <w:t>经过实地调查和资料收集，我公司在对入河排污口附近水域水环境分析的基础上，结合项目所在水功能区河道的水文、水生态、水功能区划要求，分析了入河排污口纳污区域内水环境质量现状；结合水功能区划，采用数学模型，对入河排污口排污影响进行了预测模拟，分析了入河排污口设置对水功能区、水生态以及第三方权益产生的影响，并对入河排污口设置的合理性进行了分析</w:t>
      </w:r>
    </w:p>
    <w:p w14:paraId="06B4C5F6">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本报告在编制过程中，得到了</w:t>
      </w:r>
      <w:r>
        <w:rPr>
          <w:rFonts w:hint="eastAsia" w:cs="Times New Roman"/>
          <w:color w:val="000000" w:themeColor="text1"/>
          <w14:textFill>
            <w14:solidFill>
              <w14:schemeClr w14:val="tx1"/>
            </w14:solidFill>
          </w14:textFill>
        </w:rPr>
        <w:t>彭水苗族土家族自治县生态环境</w:t>
      </w:r>
      <w:r>
        <w:rPr>
          <w:rFonts w:cs="Times New Roman"/>
          <w:color w:val="000000" w:themeColor="text1"/>
          <w14:textFill>
            <w14:solidFill>
              <w14:schemeClr w14:val="tx1"/>
            </w14:solidFill>
          </w14:textFill>
        </w:rPr>
        <w:t>局</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重庆环保投资集团有限公司</w:t>
      </w:r>
      <w:r>
        <w:rPr>
          <w:color w:val="000000" w:themeColor="text1"/>
          <w14:textFill>
            <w14:solidFill>
              <w14:schemeClr w14:val="tx1"/>
            </w14:solidFill>
          </w14:textFill>
        </w:rPr>
        <w:t>（委托单位）</w:t>
      </w:r>
      <w:r>
        <w:rPr>
          <w:rFonts w:cs="Times New Roman"/>
          <w:color w:val="000000" w:themeColor="text1"/>
          <w14:textFill>
            <w14:solidFill>
              <w14:schemeClr w14:val="tx1"/>
            </w14:solidFill>
          </w14:textFill>
        </w:rPr>
        <w:t>等单位的大力支持和帮助，在此表示感谢</w:t>
      </w:r>
      <w:r>
        <w:rPr>
          <w:rFonts w:hint="eastAsia" w:cs="Times New Roman"/>
          <w:color w:val="000000" w:themeColor="text1"/>
          <w14:textFill>
            <w14:solidFill>
              <w14:schemeClr w14:val="tx1"/>
            </w14:solidFill>
          </w14:textFill>
        </w:rPr>
        <w:t>！</w:t>
      </w:r>
    </w:p>
    <w:p w14:paraId="2C752E24">
      <w:pPr>
        <w:widowControl/>
        <w:autoSpaceDE/>
        <w:autoSpaceDN/>
        <w:adjustRightInd/>
        <w:snapToGrid/>
        <w:spacing w:line="240" w:lineRule="auto"/>
        <w:ind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14:paraId="1C3FCA56">
      <w:pPr>
        <w:pStyle w:val="43"/>
        <w:ind w:left="0" w:firstLine="0"/>
        <w:rPr>
          <w:color w:val="000000" w:themeColor="text1"/>
          <w14:textFill>
            <w14:solidFill>
              <w14:schemeClr w14:val="tx1"/>
            </w14:solidFill>
          </w14:textFill>
        </w:rPr>
      </w:pPr>
      <w:bookmarkStart w:id="4" w:name="_Toc184805660"/>
      <w:bookmarkStart w:id="5" w:name="_Toc163637560"/>
      <w:r>
        <w:rPr>
          <w:rFonts w:hint="eastAsia"/>
          <w:color w:val="000000" w:themeColor="text1"/>
          <w14:textFill>
            <w14:solidFill>
              <w14:schemeClr w14:val="tx1"/>
            </w14:solidFill>
          </w14:textFill>
        </w:rPr>
        <w:t>总则</w:t>
      </w:r>
      <w:bookmarkEnd w:id="4"/>
      <w:bookmarkEnd w:id="5"/>
    </w:p>
    <w:p w14:paraId="27794BB4">
      <w:pPr>
        <w:pStyle w:val="61"/>
        <w:spacing w:before="312"/>
      </w:pPr>
      <w:bookmarkStart w:id="6" w:name="_Toc184805661"/>
      <w:r>
        <w:rPr>
          <w:rFonts w:hint="eastAsia"/>
        </w:rPr>
        <w:t>1</w:t>
      </w:r>
      <w:r>
        <w:t xml:space="preserve">.1 </w:t>
      </w:r>
      <w:r>
        <w:rPr>
          <w:rFonts w:hint="eastAsia"/>
        </w:rPr>
        <w:t>论证目的</w:t>
      </w:r>
      <w:bookmarkEnd w:id="6"/>
    </w:p>
    <w:p w14:paraId="7E10ECA5">
      <w:pPr>
        <w:ind w:firstLine="480"/>
        <w:rPr>
          <w:color w:val="000000" w:themeColor="text1"/>
          <w14:textFill>
            <w14:solidFill>
              <w14:schemeClr w14:val="tx1"/>
            </w14:solidFill>
          </w14:textFill>
        </w:rPr>
      </w:pPr>
      <w:r>
        <w:rPr>
          <w:color w:val="000000" w:themeColor="text1"/>
          <w14:textFill>
            <w14:solidFill>
              <w14:schemeClr w14:val="tx1"/>
            </w14:solidFill>
          </w14:textFill>
        </w:rPr>
        <w:t>（1）为合理开发利用和保护水资源，协调好环境保护和区域发展的关系，营造人与自然的和谐氛围，有效保护长江干流水域水质安全和生态环境，实现排污口有效监督管理：按照《中华人民共和国水法》、《中华人民共和国环境保护法》、《水功能区管理办法》和《入河排污口监督管理办法》等法律法规的要求，在满足水功能区保护要求的前提下，论证入河排污口设置对水功能区水质、水生态和第三者权益的影响。</w:t>
      </w:r>
    </w:p>
    <w:p w14:paraId="7971C0CD">
      <w:pPr>
        <w:ind w:firstLine="480"/>
        <w:rPr>
          <w:color w:val="000000" w:themeColor="text1"/>
          <w14:textFill>
            <w14:solidFill>
              <w14:schemeClr w14:val="tx1"/>
            </w14:solidFill>
          </w14:textFill>
        </w:rPr>
      </w:pPr>
      <w:r>
        <w:rPr>
          <w:color w:val="000000" w:themeColor="text1"/>
          <w14:textFill>
            <w14:solidFill>
              <w14:schemeClr w14:val="tx1"/>
            </w14:solidFill>
          </w14:textFill>
        </w:rPr>
        <w:t>（2）保护水资源环境：根据受纳水体纳污能力、排污总量控制、水生态保护等要求，对排污口设置的合理性进行论证分析，优化入河排污口设置方案，并提出水资源保护措施，以保障所在水域生活、生产和生态用水安全。</w:t>
      </w:r>
    </w:p>
    <w:p w14:paraId="6163D1D2">
      <w:pPr>
        <w:ind w:firstLine="480"/>
        <w:rPr>
          <w:color w:val="000000" w:themeColor="text1"/>
          <w14:textFill>
            <w14:solidFill>
              <w14:schemeClr w14:val="tx1"/>
            </w14:solidFill>
          </w14:textFill>
        </w:rPr>
      </w:pPr>
      <w:r>
        <w:rPr>
          <w:color w:val="000000" w:themeColor="text1"/>
          <w14:textFill>
            <w14:solidFill>
              <w14:schemeClr w14:val="tx1"/>
            </w14:solidFill>
          </w14:textFill>
        </w:rPr>
        <w:t>（3）提供科学审批的依据：通过对入河排污口设置合理性的论证，为</w:t>
      </w:r>
      <w:r>
        <w:rPr>
          <w:rFonts w:hint="eastAsia"/>
          <w:color w:val="000000" w:themeColor="text1"/>
          <w14:textFill>
            <w14:solidFill>
              <w14:schemeClr w14:val="tx1"/>
            </w14:solidFill>
          </w14:textFill>
        </w:rPr>
        <w:t>彭水苗族土家族自治县生态环境局审批入河排污口以及建设单位合理设置入河排污口提供科学根据</w:t>
      </w:r>
      <w:r>
        <w:rPr>
          <w:color w:val="000000" w:themeColor="text1"/>
          <w14:textFill>
            <w14:solidFill>
              <w14:schemeClr w14:val="tx1"/>
            </w14:solidFill>
          </w14:textFill>
        </w:rPr>
        <w:t>。</w:t>
      </w:r>
    </w:p>
    <w:p w14:paraId="0E22693A">
      <w:pPr>
        <w:pStyle w:val="61"/>
        <w:spacing w:before="312"/>
      </w:pPr>
      <w:bookmarkStart w:id="7" w:name="_Toc184805663"/>
      <w:r>
        <w:rPr>
          <w:rFonts w:hint="eastAsia"/>
        </w:rPr>
        <w:t>1</w:t>
      </w:r>
      <w:r>
        <w:t xml:space="preserve">.2 </w:t>
      </w:r>
      <w:r>
        <w:rPr>
          <w:rFonts w:hint="eastAsia"/>
        </w:rPr>
        <w:t>论证依据</w:t>
      </w:r>
      <w:bookmarkEnd w:id="7"/>
    </w:p>
    <w:p w14:paraId="01CD7D13">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法律法规和相关条例</w:t>
      </w:r>
    </w:p>
    <w:p w14:paraId="463008D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《中华人民共和国水法》（2016年7月2日修订）；</w:t>
      </w:r>
    </w:p>
    <w:p w14:paraId="05A223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中华人民共和国环境保护法》（2015年1月1日起施行）；</w:t>
      </w:r>
    </w:p>
    <w:p w14:paraId="5C71A7D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《中华人民共和国水污染防治法》（2017年6月27日修订）；</w:t>
      </w:r>
    </w:p>
    <w:p w14:paraId="5EA2981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《饮用水水源保护区污染防治管理规定》（2010年12月22日修订）；</w:t>
      </w:r>
    </w:p>
    <w:p w14:paraId="4553A9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《水功能区监督管理办法》（2017年4月1日起施行）；</w:t>
      </w:r>
    </w:p>
    <w:p w14:paraId="6589B41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《建设项目水资源论证管理办法》（2017年12月22日修订）；</w:t>
      </w:r>
    </w:p>
    <w:p w14:paraId="0331EC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《入河排污口监督管理办法》（2015年12月16日修订）；</w:t>
      </w:r>
    </w:p>
    <w:p w14:paraId="517F7A7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《重庆市河道管理条例》（2018年7月26日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43332FE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《重庆市水资源管理条例》（2023年3月30日</w:t>
      </w:r>
      <w:r>
        <w:rPr>
          <w:rFonts w:hint="eastAsia"/>
          <w:color w:val="000000" w:themeColor="text1"/>
          <w14:textFill>
            <w14:solidFill>
              <w14:schemeClr w14:val="tx1"/>
            </w14:solidFill>
          </w14:textFill>
        </w:rPr>
        <w:t>修订</w:t>
      </w:r>
      <w:r>
        <w:rPr>
          <w:color w:val="000000" w:themeColor="text1"/>
          <w14:textFill>
            <w14:solidFill>
              <w14:schemeClr w14:val="tx1"/>
            </w14:solidFill>
          </w14:textFill>
        </w:rPr>
        <w:t>）；</w:t>
      </w:r>
    </w:p>
    <w:p w14:paraId="00DE727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重庆市水污染防治条例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（2020年10月1日</w:t>
      </w:r>
      <w:r>
        <w:rPr>
          <w:color w:val="000000" w:themeColor="text1"/>
          <w14:textFill>
            <w14:solidFill>
              <w14:schemeClr w14:val="tx1"/>
            </w14:solidFill>
          </w14:textFill>
        </w:rPr>
        <w:t>施行</w:t>
      </w:r>
      <w:r>
        <w:rPr>
          <w:rFonts w:hint="eastAsia"/>
          <w:color w:val="000000" w:themeColor="text1"/>
          <w14:textFill>
            <w14:solidFill>
              <w14:schemeClr w14:val="tx1"/>
            </w14:solidFill>
          </w14:textFill>
        </w:rPr>
        <w:t>）</w:t>
      </w:r>
    </w:p>
    <w:p w14:paraId="79EFC712">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规范和技术标准</w:t>
      </w:r>
    </w:p>
    <w:p w14:paraId="7F0C50E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）《地表水环境质量标准》（GB 3838-2002）；</w:t>
      </w:r>
    </w:p>
    <w:p w14:paraId="32E822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）《农田灌溉水质标准》（GB 5084-20</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p>
    <w:p w14:paraId="682197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）《景观娱乐用水水质标准》（GB 12941-91）；</w:t>
      </w:r>
    </w:p>
    <w:p w14:paraId="654E1F7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）《水功能区划分标准》（GB/T 50594-2010）；</w:t>
      </w:r>
    </w:p>
    <w:p w14:paraId="190B16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）《污水综合排放标准》（GB 8978-1996）；</w:t>
      </w:r>
    </w:p>
    <w:p w14:paraId="039DF36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）《城镇污水处理厂污染物排放标准》（GB 18918-2002）；</w:t>
      </w:r>
    </w:p>
    <w:p w14:paraId="5A1CB55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）《入河入海排污口监督管理技术指南 入河排污口规范化建设》（H</w:t>
      </w:r>
      <w:r>
        <w:rPr>
          <w:color w:val="000000" w:themeColor="text1"/>
          <w14:textFill>
            <w14:solidFill>
              <w14:schemeClr w14:val="tx1"/>
            </w14:solidFill>
          </w14:textFill>
        </w:rPr>
        <w:t>J 1309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w:t>
      </w:r>
    </w:p>
    <w:p w14:paraId="22B67A1D">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技术报告和文件</w:t>
      </w:r>
    </w:p>
    <w:p w14:paraId="22F0B2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《重庆市生态环境保护“十四五”规划（2021-2025年）》；</w:t>
      </w:r>
    </w:p>
    <w:p w14:paraId="09B388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《筑牢长江上游重要生态屏障“十四五”建设规划（2021-2025年）》</w:t>
      </w:r>
      <w:r>
        <w:rPr>
          <w:rFonts w:hint="eastAsia"/>
          <w:color w:val="000000" w:themeColor="text1"/>
          <w14:textFill>
            <w14:solidFill>
              <w14:schemeClr w14:val="tx1"/>
            </w14:solidFill>
          </w14:textFill>
        </w:rPr>
        <w:t>；</w:t>
      </w:r>
    </w:p>
    <w:p w14:paraId="092F000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（4）《全国重要江河湖泊水功能区划（2</w:t>
      </w:r>
      <w:r>
        <w:rPr>
          <w:color w:val="000000" w:themeColor="text1"/>
          <w14:textFill>
            <w14:solidFill>
              <w14:schemeClr w14:val="tx1"/>
            </w14:solidFill>
          </w14:textFill>
        </w:rPr>
        <w:t>013-2030</w:t>
      </w:r>
      <w:r>
        <w:rPr>
          <w:rFonts w:hint="eastAsia"/>
          <w:color w:val="000000" w:themeColor="text1"/>
          <w14:textFill>
            <w14:solidFill>
              <w14:schemeClr w14:val="tx1"/>
            </w14:solidFill>
          </w14:textFill>
        </w:rPr>
        <w:t>年）》；</w:t>
      </w:r>
    </w:p>
    <w:p w14:paraId="798422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（5）《产业结构调整指导目录》（</w:t>
      </w:r>
      <w:r>
        <w:rPr>
          <w:color w:val="000000" w:themeColor="text1"/>
          <w14:textFill>
            <w14:solidFill>
              <w14:schemeClr w14:val="tx1"/>
            </w14:solidFill>
          </w14:textFill>
        </w:rPr>
        <w:t>2024</w:t>
      </w:r>
      <w:r>
        <w:rPr>
          <w:rFonts w:hint="eastAsia"/>
          <w:color w:val="000000" w:themeColor="text1"/>
          <w14:textFill>
            <w14:solidFill>
              <w14:schemeClr w14:val="tx1"/>
            </w14:solidFill>
          </w14:textFill>
        </w:rPr>
        <w:t>年本）；</w:t>
      </w:r>
    </w:p>
    <w:p w14:paraId="4CB70C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）《彭水县水功能区纳污能力核定和分阶段限制排污总量控制方案报告》（201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年）；</w:t>
      </w:r>
    </w:p>
    <w:p w14:paraId="046E3C3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）《重庆市彭水县水功能区划修编报告》（2011年）。</w:t>
      </w:r>
    </w:p>
    <w:p w14:paraId="3C6EEF00">
      <w:pPr>
        <w:pStyle w:val="61"/>
        <w:spacing w:before="312"/>
      </w:pPr>
      <w:r>
        <w:t>1.3</w:t>
      </w:r>
      <w:r>
        <w:rPr>
          <w:rFonts w:hint="eastAsia"/>
        </w:rPr>
        <w:t xml:space="preserve"> </w:t>
      </w:r>
      <w:bookmarkStart w:id="8" w:name="_Toc184805664"/>
      <w:r>
        <w:rPr>
          <w:rFonts w:hint="eastAsia"/>
        </w:rPr>
        <w:t>论证范围</w:t>
      </w:r>
      <w:bookmarkEnd w:id="8"/>
    </w:p>
    <w:p w14:paraId="21889966">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本次论证的</w:t>
      </w:r>
      <w:r>
        <w:rPr>
          <w:rFonts w:hint="eastAsia" w:cs="Times New Roman"/>
          <w:color w:val="000000" w:themeColor="text1"/>
          <w14:textFill>
            <w14:solidFill>
              <w14:schemeClr w14:val="tx1"/>
            </w14:solidFill>
          </w14:textFill>
        </w:rPr>
        <w:t>芦塘乡（板栗村）污水处理厂</w:t>
      </w:r>
      <w:r>
        <w:rPr>
          <w:rFonts w:hint="eastAsia"/>
          <w:color w:val="000000" w:themeColor="text1"/>
          <w14:textFill>
            <w14:solidFill>
              <w14:schemeClr w14:val="tx1"/>
            </w14:solidFill>
          </w14:textFill>
        </w:rPr>
        <w:t>位于彭水苗族土家族自治县芦塘乡</w:t>
      </w:r>
      <w:r>
        <w:rPr>
          <w:rFonts w:hint="eastAsia" w:hAnsi="宋体"/>
          <w:bCs/>
          <w:color w:val="000000" w:themeColor="text1"/>
          <w14:textFill>
            <w14:solidFill>
              <w14:schemeClr w14:val="tx1"/>
            </w14:solidFill>
          </w14:textFill>
        </w:rPr>
        <w:t>板栗村三组</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入河排污口设置于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color w:val="000000" w:themeColor="text1"/>
          <w14:textFill>
            <w14:solidFill>
              <w14:schemeClr w14:val="tx1"/>
            </w14:solidFill>
          </w14:textFill>
        </w:rPr>
        <w:t>，地理坐标：</w:t>
      </w:r>
      <w:r>
        <w:rPr>
          <w:color w:val="000000" w:themeColor="text1"/>
          <w:spacing w:val="-13"/>
          <w14:textFill>
            <w14:solidFill>
              <w14:schemeClr w14:val="tx1"/>
            </w14:solidFill>
          </w14:textFill>
        </w:rPr>
        <w:t>东经：108.335650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，北纬：29.514853</w:t>
      </w:r>
      <w:r>
        <w:rPr>
          <w:rFonts w:hint="eastAsia"/>
          <w:color w:val="000000" w:themeColor="text1"/>
          <w:spacing w:val="-13"/>
          <w14:textFill>
            <w14:solidFill>
              <w14:schemeClr w14:val="tx1"/>
            </w14:solidFill>
          </w14:textFill>
        </w:rPr>
        <w:t>°</w:t>
      </w:r>
      <w:r>
        <w:rPr>
          <w:color w:val="000000" w:themeColor="text1"/>
          <w14:textFill>
            <w14:solidFill>
              <w14:schemeClr w14:val="tx1"/>
            </w14:solidFill>
          </w14:textFill>
        </w:rPr>
        <w:t>，属于</w:t>
      </w:r>
      <w:r>
        <w:rPr>
          <w:rFonts w:hint="eastAsia"/>
          <w:color w:val="000000" w:themeColor="text1"/>
          <w14:textFill>
            <w14:solidFill>
              <w14:schemeClr w14:val="tx1"/>
            </w14:solidFill>
          </w14:textFill>
        </w:rPr>
        <w:t>新建</w:t>
      </w:r>
      <w:r>
        <w:rPr>
          <w:color w:val="000000" w:themeColor="text1"/>
          <w14:textFill>
            <w14:solidFill>
              <w14:schemeClr w14:val="tx1"/>
            </w14:solidFill>
          </w14:textFill>
        </w:rPr>
        <w:t>排污口，类型为城镇污水处理设施入河排污口，排放方式为</w:t>
      </w:r>
      <w:r>
        <w:rPr>
          <w:rFonts w:hint="eastAsia"/>
          <w:color w:val="000000" w:themeColor="text1"/>
          <w14:textFill>
            <w14:solidFill>
              <w14:schemeClr w14:val="tx1"/>
            </w14:solidFill>
          </w14:textFill>
        </w:rPr>
        <w:t>岸边</w:t>
      </w:r>
      <w:r>
        <w:rPr>
          <w:color w:val="000000" w:themeColor="text1"/>
          <w14:textFill>
            <w14:solidFill>
              <w14:schemeClr w14:val="tx1"/>
            </w14:solidFill>
          </w14:textFill>
        </w:rPr>
        <w:t>连续排放</w:t>
      </w:r>
      <w:r>
        <w:rPr>
          <w:rFonts w:hint="eastAsia"/>
          <w:color w:val="000000" w:themeColor="text1"/>
          <w14:textFill>
            <w14:solidFill>
              <w14:schemeClr w14:val="tx1"/>
            </w14:solidFill>
          </w14:textFill>
        </w:rPr>
        <w:t>。</w:t>
      </w:r>
    </w:p>
    <w:p w14:paraId="7A5F1520">
      <w:pPr>
        <w:ind w:firstLine="480"/>
        <w:rPr>
          <w:color w:val="000000" w:themeColor="text1"/>
          <w14:textFill>
            <w14:solidFill>
              <w14:schemeClr w14:val="tx1"/>
            </w14:solidFill>
          </w14:textFill>
        </w:rPr>
      </w:pPr>
      <w:r>
        <w:rPr>
          <w:color w:val="000000" w:themeColor="text1"/>
          <w14:textFill>
            <w14:solidFill>
              <w14:schemeClr w14:val="tx1"/>
            </w14:solidFill>
          </w14:textFill>
        </w:rPr>
        <w:t>排污口论证范围以水功能区为单元</w:t>
      </w:r>
      <w:r>
        <w:rPr>
          <w:rFonts w:hint="eastAsia"/>
          <w:color w:val="000000" w:themeColor="text1"/>
          <w14:textFill>
            <w14:solidFill>
              <w14:schemeClr w14:val="tx1"/>
            </w14:solidFill>
          </w14:textFill>
        </w:rPr>
        <w:t>，根据《重庆市彭水县水功能区划修编报告》（2011年），芦塘乡（板栗村）污水处理厂排污口所在的一级水功能区为“郁江彭水保家镇开发利用区”，二级水功能区为“郁江彭水保家镇景观娱乐、饮用水源区”，现状水质为Ⅱ类，水质管理目标为Ⅱ类。</w:t>
      </w:r>
    </w:p>
    <w:p w14:paraId="10DF9028">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由于厂区南侧冲沟和小河沟未划定水功能区，考虑本项目处理后的尾水排放对其下游可能产生影响，将排污口至郁江入河口作为自然排水河沟，本次论证范围为</w:t>
      </w:r>
      <w:r>
        <w:rPr>
          <w:rFonts w:hint="eastAsia"/>
          <w:color w:val="000000" w:themeColor="text1"/>
          <w14:textFill>
            <w14:solidFill>
              <w14:schemeClr w14:val="tx1"/>
            </w14:solidFill>
          </w14:textFill>
        </w:rPr>
        <w:t>“郁江彭水保家镇景观娱乐、饮用水源区”，此段上起彭水县马岩洞电站坝址，下至河口，长约42.0km。</w:t>
      </w:r>
    </w:p>
    <w:p w14:paraId="3654A2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本项目论证范围见图1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。项目所在区域水系图见附图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6A948940">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2117725</wp:posOffset>
                </wp:positionH>
                <wp:positionV relativeFrom="paragraph">
                  <wp:posOffset>49530</wp:posOffset>
                </wp:positionV>
                <wp:extent cx="619125" cy="266700"/>
                <wp:effectExtent l="0" t="0" r="676275" b="114300"/>
                <wp:wrapNone/>
                <wp:docPr id="6" name="线形标注 2 6"/>
                <wp:cNvGraphicFramePr/>
                <a:graphic xmlns:a="http://schemas.openxmlformats.org/drawingml/2006/main">
                  <a:graphicData uri="http://schemas.microsoft.com/office/word/2010/wordprocessingShape">
                    <wps:wsp>
                      <wps:cNvSpPr/>
                      <wps:spPr>
                        <a:xfrm>
                          <a:off x="0" y="0"/>
                          <a:ext cx="619125" cy="266700"/>
                        </a:xfrm>
                        <a:prstGeom prst="borderCallout2">
                          <a:avLst>
                            <a:gd name="adj1" fmla="val 52621"/>
                            <a:gd name="adj2" fmla="val 100397"/>
                            <a:gd name="adj3" fmla="val 55812"/>
                            <a:gd name="adj4" fmla="val 132419"/>
                            <a:gd name="adj5" fmla="val 132244"/>
                            <a:gd name="adj6" fmla="val 203260"/>
                          </a:avLst>
                        </a:prstGeom>
                        <a:solidFill>
                          <a:schemeClr val="bg1"/>
                        </a:solidFill>
                        <a:ln w="12700">
                          <a:solidFill>
                            <a:srgbClr val="C150E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B81AA">
                            <w:pPr>
                              <w:spacing w:line="240" w:lineRule="auto"/>
                              <w:ind w:firstLine="0" w:firstLineChars="0"/>
                              <w:jc w:val="center"/>
                              <w:rPr>
                                <w:color w:val="FF0000"/>
                                <w:sz w:val="18"/>
                                <w:szCs w:val="18"/>
                              </w:rPr>
                            </w:pPr>
                            <w:r>
                              <w:rPr>
                                <w:rFonts w:hint="eastAsia"/>
                                <w:color w:val="FF0000"/>
                                <w:sz w:val="18"/>
                                <w:szCs w:val="18"/>
                              </w:rPr>
                              <w:t>小河沟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66.75pt;margin-top:3.9pt;height:21pt;width:48.75pt;z-index:251662336;v-text-anchor:middle;mso-width-relative:page;mso-height-relative:page;" fillcolor="#FFFFFF [3212]" filled="t" stroked="t" coordsize="21600,21600" o:gfxdata="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Gwqtn/YAAAACAEAAA8AAAAAAAAAAQAgAAAAIgAAAGRycy9kb3ducmV2LnhtbFBL&#10;AQIUABQAAAAIAIdO4kDWZoJV2gIAAPUFAAAOAAAAAAAAAAEAIAAAACcBAABkcnMvZTJvRG9jLnht&#10;bFBLBQYAAAAABgAGAFkBAABzBgAAAAA=&#10;" adj="43904,28565,28603,12055,21686,11366">
                <v:fill on="t" focussize="0,0"/>
                <v:stroke weight="1pt" color="#C150E0 [3204]" miterlimit="8" joinstyle="miter"/>
                <v:imagedata o:title=""/>
                <o:lock v:ext="edit" aspectratio="f"/>
                <v:textbox>
                  <w:txbxContent>
                    <w:p w14:paraId="680B81AA">
                      <w:pPr>
                        <w:spacing w:line="240" w:lineRule="auto"/>
                        <w:ind w:firstLine="0" w:firstLineChars="0"/>
                        <w:jc w:val="center"/>
                        <w:rPr>
                          <w:color w:val="FF0000"/>
                          <w:sz w:val="18"/>
                          <w:szCs w:val="18"/>
                        </w:rPr>
                      </w:pPr>
                      <w:r>
                        <w:rPr>
                          <w:rFonts w:hint="eastAsia"/>
                          <w:color w:val="FF0000"/>
                          <w:sz w:val="18"/>
                          <w:szCs w:val="18"/>
                        </w:rPr>
                        <w:t>小河沟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3194050</wp:posOffset>
                </wp:positionH>
                <wp:positionV relativeFrom="paragraph">
                  <wp:posOffset>2964180</wp:posOffset>
                </wp:positionV>
                <wp:extent cx="603250" cy="284480"/>
                <wp:effectExtent l="914400" t="247650" r="25400" b="20320"/>
                <wp:wrapNone/>
                <wp:docPr id="7" name="线形标注 2 7"/>
                <wp:cNvGraphicFramePr/>
                <a:graphic xmlns:a="http://schemas.openxmlformats.org/drawingml/2006/main">
                  <a:graphicData uri="http://schemas.microsoft.com/office/word/2010/wordprocessingShape">
                    <wps:wsp>
                      <wps:cNvSpPr/>
                      <wps:spPr>
                        <a:xfrm>
                          <a:off x="0" y="0"/>
                          <a:ext cx="603250" cy="284480"/>
                        </a:xfrm>
                        <a:prstGeom prst="borderCallout2">
                          <a:avLst>
                            <a:gd name="adj1" fmla="val 60226"/>
                            <a:gd name="adj2" fmla="val -2017"/>
                            <a:gd name="adj3" fmla="val -7167"/>
                            <a:gd name="adj4" fmla="val -90371"/>
                            <a:gd name="adj5" fmla="val -85806"/>
                            <a:gd name="adj6" fmla="val -149369"/>
                          </a:avLst>
                        </a:prstGeom>
                        <a:solidFill>
                          <a:schemeClr val="bg1"/>
                        </a:solidFill>
                        <a:ln w="19050">
                          <a:solidFill>
                            <a:srgbClr val="00E6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E6C42">
                            <w:pPr>
                              <w:spacing w:line="240" w:lineRule="auto"/>
                              <w:ind w:firstLine="0" w:firstLineChars="0"/>
                              <w:jc w:val="center"/>
                              <w:rPr>
                                <w:color w:val="FF0000"/>
                                <w:sz w:val="18"/>
                                <w:szCs w:val="18"/>
                              </w:rPr>
                            </w:pPr>
                            <w:r>
                              <w:rPr>
                                <w:rFonts w:hint="eastAsia"/>
                                <w:color w:val="FF0000"/>
                                <w:sz w:val="18"/>
                                <w:szCs w:val="18"/>
                              </w:rPr>
                              <w:t>郁江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51.5pt;margin-top:233.4pt;height:22.4pt;width:47.5pt;mso-position-horizontal-relative:margin;z-index:251663360;v-text-anchor:middle;mso-width-relative:page;mso-height-relative:page;" fillcolor="#FFFFFF [3212]" filled="t" stroked="t" coordsize="21600,21600" o:gfxdata="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KiQkY2wAAAAsBAAAPAAAAAAAAAAEAIAAAACIAAABkcnMvZG93bnJldi54bWxQ&#10;SwECFAAUAAAACACHTuJAUcFpP9gCAAD1BQAADgAAAAAAAAABACAAAAAqAQAAZHJzL2Uyb0RvYy54&#10;bWxQSwUGAAAAAAYABgBZAQAAdAYAAAAA&#10;" adj="-32264,-18534,-19520,-1548,-436,13009">
                <v:fill on="t" focussize="0,0"/>
                <v:stroke weight="1.5pt" color="#00E668 [3204]" miterlimit="8" joinstyle="miter"/>
                <v:imagedata o:title=""/>
                <o:lock v:ext="edit" aspectratio="f"/>
                <v:textbox>
                  <w:txbxContent>
                    <w:p w14:paraId="7D8E6C42">
                      <w:pPr>
                        <w:spacing w:line="240" w:lineRule="auto"/>
                        <w:ind w:firstLine="0" w:firstLineChars="0"/>
                        <w:jc w:val="center"/>
                        <w:rPr>
                          <w:color w:val="FF0000"/>
                          <w:sz w:val="18"/>
                          <w:szCs w:val="18"/>
                        </w:rPr>
                      </w:pPr>
                      <w:r>
                        <w:rPr>
                          <w:rFonts w:hint="eastAsia"/>
                          <w:color w:val="FF0000"/>
                          <w:sz w:val="18"/>
                          <w:szCs w:val="18"/>
                        </w:rPr>
                        <w:t>郁江</w:t>
                      </w:r>
                    </w:p>
                  </w:txbxContent>
                </v:textbox>
              </v:shap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510540</wp:posOffset>
                </wp:positionH>
                <wp:positionV relativeFrom="paragraph">
                  <wp:posOffset>535940</wp:posOffset>
                </wp:positionV>
                <wp:extent cx="2997835" cy="3220085"/>
                <wp:effectExtent l="38100" t="38100" r="50800" b="57150"/>
                <wp:wrapNone/>
                <wp:docPr id="4" name="直接连接符 4"/>
                <wp:cNvGraphicFramePr/>
                <a:graphic xmlns:a="http://schemas.openxmlformats.org/drawingml/2006/main">
                  <a:graphicData uri="http://schemas.microsoft.com/office/word/2010/wordprocessingShape">
                    <wps:wsp>
                      <wps:cNvCnPr/>
                      <wps:spPr>
                        <a:xfrm flipV="1">
                          <a:off x="0" y="0"/>
                          <a:ext cx="2997642" cy="3219809"/>
                        </a:xfrm>
                        <a:prstGeom prst="line">
                          <a:avLst/>
                        </a:prstGeom>
                        <a:ln w="952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_x0000_s1026" o:spid="_x0000_s1026" o:spt="20" style="position:absolute;left:0pt;flip:y;margin-left:40.2pt;margin-top:42.2pt;height:253.55pt;width:236.05pt;z-index:251661312;mso-width-relative:page;mso-height-relative:page;" filled="f" stroked="t" coordsize="21600,21600" o:gfxdata="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1Hbp/2QAAAAkBAAAPAAAAAAAAAAEA&#10;IAAAACIAAABkcnMvZG93bnJldi54bWxQSwECFAAUAAAACACHTuJAb64GXA4CAAAKBAAADgAAAAAA&#10;AAABACAAAAAoAQAAZHJzL2Uyb0RvYy54bWxQSwUGAAAAAAYABgBZAQAAqAUAAAAA&#10;">
                <v:fill on="f" focussize="0,0"/>
                <v:stroke color="#FF0000" joinstyle="round" startarrow="open" endarrow="open"/>
                <v:imagedata o:title=""/>
                <o:lock v:ext="edit" aspectratio="f"/>
              </v:line>
            </w:pict>
          </mc:Fallback>
        </mc:AlternateContent>
      </w:r>
      <w:r>
        <w:rPr>
          <w:snapToGrid/>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margin">
                  <wp:posOffset>1818005</wp:posOffset>
                </wp:positionH>
                <wp:positionV relativeFrom="paragraph">
                  <wp:posOffset>1390015</wp:posOffset>
                </wp:positionV>
                <wp:extent cx="666750" cy="26670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srgbClr val="FF0000"/>
                          </a:solidFill>
                        </a:ln>
                      </wps:spPr>
                      <wps:txbx>
                        <w:txbxContent>
                          <w:p w14:paraId="58EC5A11">
                            <w:pPr>
                              <w:spacing w:line="240" w:lineRule="auto"/>
                              <w:ind w:firstLine="0" w:firstLineChars="0"/>
                              <w:rPr>
                                <w:color w:val="FF0000"/>
                              </w:rPr>
                            </w:pPr>
                            <w:r>
                              <w:rPr>
                                <w:rFonts w:hint="eastAsia"/>
                                <w:color w:val="FF0000"/>
                                <w:sz w:val="18"/>
                                <w:szCs w:val="18"/>
                              </w:rPr>
                              <w:t>论证范围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15pt;margin-top:109.45pt;height:21pt;width:52.5pt;mso-position-horizontal-relative:margin;z-index:251664384;mso-width-relative:page;mso-height-relative:page;" fillcolor="#FFFFFF [3201]" filled="t" stroked="t" coordsize="21600,21600" o:gfxdata="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Vwp2wAAAAsB&#10;AAAPAAAAAAAAAAEAIAAAACIAAABkcnMvZG93bnJldi54bWxQSwECFAAUAAAACACHTuJAXtyibFEC&#10;AAC3BAAADgAAAAAAAAABACAAAAAqAQAAZHJzL2Uyb0RvYy54bWxQSwUGAAAAAAYABgBZAQAA7QUA&#10;AAAA&#10;">
                <v:fill on="t" focussize="0,0"/>
                <v:stroke weight="0.5pt" color="#FF0000" joinstyle="round"/>
                <v:imagedata o:title=""/>
                <o:lock v:ext="edit" aspectratio="f"/>
                <v:textbox>
                  <w:txbxContent>
                    <w:p w14:paraId="58EC5A11">
                      <w:pPr>
                        <w:spacing w:line="240" w:lineRule="auto"/>
                        <w:ind w:firstLine="0" w:firstLineChars="0"/>
                        <w:rPr>
                          <w:color w:val="FF0000"/>
                        </w:rPr>
                      </w:pPr>
                      <w:r>
                        <w:rPr>
                          <w:rFonts w:hint="eastAsia"/>
                          <w:color w:val="FF0000"/>
                          <w:sz w:val="18"/>
                          <w:szCs w:val="18"/>
                        </w:rPr>
                        <w:t>论证范围</w:t>
                      </w:r>
                    </w:p>
                  </w:txbxContent>
                </v:textbox>
              </v:shape>
            </w:pict>
          </mc:Fallback>
        </mc:AlternateContent>
      </w:r>
      <w:r>
        <w:rPr>
          <w:snapToGrid/>
          <w:color w:val="000000" w:themeColor="text1"/>
          <w14:textFill>
            <w14:solidFill>
              <w14:schemeClr w14:val="tx1"/>
            </w14:solidFill>
          </w14:textFill>
        </w:rPr>
        <w:drawing>
          <wp:inline distT="0" distB="0" distL="0" distR="0">
            <wp:extent cx="4277360" cy="388937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286472" cy="3897356"/>
                    </a:xfrm>
                    <a:prstGeom prst="rect">
                      <a:avLst/>
                    </a:prstGeom>
                  </pic:spPr>
                </pic:pic>
              </a:graphicData>
            </a:graphic>
          </wp:inline>
        </w:drawing>
      </w:r>
    </w:p>
    <w:p w14:paraId="21904823">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图1.4-1  论证范围示意图</w:t>
      </w:r>
    </w:p>
    <w:p w14:paraId="156C5802">
      <w:pPr>
        <w:pStyle w:val="61"/>
        <w:spacing w:before="312"/>
      </w:pPr>
      <w:bookmarkStart w:id="9" w:name="_Toc184805666"/>
      <w:r>
        <w:rPr>
          <w:rFonts w:hint="eastAsia"/>
        </w:rPr>
        <w:t xml:space="preserve"> </w:t>
      </w:r>
      <w:r>
        <w:t xml:space="preserve">1.4 </w:t>
      </w:r>
      <w:r>
        <w:rPr>
          <w:rFonts w:hint="eastAsia"/>
        </w:rPr>
        <w:t>论证工作程序</w:t>
      </w:r>
      <w:bookmarkEnd w:id="9"/>
    </w:p>
    <w:p w14:paraId="751982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（1）现场查勘与资料收集</w:t>
      </w:r>
    </w:p>
    <w:p w14:paraId="44B93DDA">
      <w:pPr>
        <w:ind w:firstLine="480"/>
        <w:rPr>
          <w:color w:val="000000" w:themeColor="text1"/>
          <w14:textFill>
            <w14:solidFill>
              <w14:schemeClr w14:val="tx1"/>
            </w14:solidFill>
          </w14:textFill>
        </w:rPr>
      </w:pPr>
      <w:r>
        <w:rPr>
          <w:color w:val="000000" w:themeColor="text1"/>
          <w14:textFill>
            <w14:solidFill>
              <w14:schemeClr w14:val="tx1"/>
            </w14:solidFill>
          </w14:textFill>
        </w:rPr>
        <w:t>根据入河排污口设置的论证要求，组织技术人员对现场进行查勘，调查和收集</w:t>
      </w: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的基本资料及所在区域自然环境和社会环境资料，排污口设置河段的水文、水质和水生态资料等，并且，收集可能影响的其他取排水用户资料等。</w:t>
      </w:r>
    </w:p>
    <w:p w14:paraId="7954F697">
      <w:pPr>
        <w:ind w:firstLine="480"/>
        <w:rPr>
          <w:color w:val="000000" w:themeColor="text1"/>
          <w14:textFill>
            <w14:solidFill>
              <w14:schemeClr w14:val="tx1"/>
            </w14:solidFill>
          </w14:textFill>
        </w:rPr>
      </w:pPr>
      <w:r>
        <w:rPr>
          <w:color w:val="000000" w:themeColor="text1"/>
          <w14:textFill>
            <w14:solidFill>
              <w14:schemeClr w14:val="tx1"/>
            </w14:solidFill>
          </w14:textFill>
        </w:rPr>
        <w:t>收集</w:t>
      </w: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的主要项目设计资料，特别是入河排污口设置方案，以及废污水处理工艺流程资料等，并对资料进行初步分析。</w:t>
      </w:r>
    </w:p>
    <w:p w14:paraId="5BBDE81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（2）资料整理与分析</w:t>
      </w:r>
    </w:p>
    <w:p w14:paraId="66795EB6">
      <w:pPr>
        <w:ind w:firstLine="480"/>
        <w:rPr>
          <w:color w:val="000000" w:themeColor="text1"/>
          <w14:textFill>
            <w14:solidFill>
              <w14:schemeClr w14:val="tx1"/>
            </w14:solidFill>
          </w14:textFill>
        </w:rPr>
      </w:pPr>
      <w:r>
        <w:rPr>
          <w:color w:val="000000" w:themeColor="text1"/>
          <w14:textFill>
            <w14:solidFill>
              <w14:schemeClr w14:val="tx1"/>
            </w14:solidFill>
          </w14:textFill>
        </w:rPr>
        <w:t>根据所收集的资料，进行整理分析，收集分析</w:t>
      </w: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服务范围的城镇规划、分区规划、排水规划和供水规划，且对沿河排污口现状进行统计调查，明确</w:t>
      </w: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的污水处理工艺流程、入河排污口设置、主要污染物排放量及污染特性等基本情况；分析所属河段水资源保护管理要求、水环境现状和水生态现状等情况，以及其他取排水用户分布情况等。</w:t>
      </w:r>
    </w:p>
    <w:p w14:paraId="5EC57C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（3）建立数学模型及模型验证</w:t>
      </w:r>
    </w:p>
    <w:p w14:paraId="10DEA8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根据项目所处河段河道与水文特性，确定计算边界，选定合适的计算模型，采用现状水文、水质同步监测数据对模型参数进行验证。</w:t>
      </w:r>
    </w:p>
    <w:p w14:paraId="4AB2FA1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（4）入河排污口设置影响分析</w:t>
      </w:r>
    </w:p>
    <w:p w14:paraId="2E2FC9B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计算结果、水功能区管理的要求，分析排污口对所在水功能区水质影响程度和变化趋势；根据排污口所处河段水生态现状，以及排污口设置前后水域生态系统的演替变化趋势，分析排污口排污对水域生态系统和敏感生态目标的影响程度。论证分析排污对论证范围内及第三方取用水安全的影响。</w:t>
      </w:r>
    </w:p>
    <w:p w14:paraId="29B538D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（5）入河排污口设置合理性分析</w:t>
      </w:r>
    </w:p>
    <w:p w14:paraId="5E3F425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论证结果，综合考虑排污口所在河段水文、水功能区（水域）水质和水生态保护要求、第三者权益等因素，分析入河排污口位置、污水排放影响范围的相对关系；根据排放总量，对照所在水域纳污能力，综合分析论证排污口设置的合理性，提出入河排污口设置的制约性因素。</w:t>
      </w:r>
    </w:p>
    <w:p w14:paraId="76F424D0">
      <w:pPr>
        <w:pStyle w:val="61"/>
        <w:spacing w:before="312"/>
      </w:pPr>
      <w:r>
        <w:rPr>
          <w:rFonts w:hint="eastAsia"/>
        </w:rPr>
        <w:t xml:space="preserve"> </w:t>
      </w:r>
      <w:bookmarkStart w:id="10" w:name="_Toc184805667"/>
      <w:r>
        <w:t xml:space="preserve">1.5 </w:t>
      </w:r>
      <w:r>
        <w:rPr>
          <w:rFonts w:hint="eastAsia"/>
        </w:rPr>
        <w:t>论证的主要内容</w:t>
      </w:r>
      <w:bookmarkEnd w:id="10"/>
    </w:p>
    <w:p w14:paraId="382EA1E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入河排污口设置论证包括下列主要内容：</w:t>
      </w:r>
    </w:p>
    <w:p w14:paraId="1A1ECE8B">
      <w:pPr>
        <w:ind w:firstLine="480"/>
        <w:rPr>
          <w:color w:val="FF0000"/>
        </w:rPr>
      </w:pPr>
      <w:r>
        <w:rPr>
          <w:rFonts w:hint="eastAsia"/>
          <w:color w:val="FF0000"/>
        </w:rPr>
        <w:t>（1）入河排污口所在水功能区（水域）管理要求和取排水状况分析；</w:t>
      </w:r>
    </w:p>
    <w:p w14:paraId="476728E4">
      <w:pPr>
        <w:ind w:firstLine="480"/>
        <w:rPr>
          <w:color w:val="FF0000"/>
        </w:rPr>
      </w:pPr>
      <w:r>
        <w:rPr>
          <w:rFonts w:hint="eastAsia"/>
          <w:color w:val="FF0000"/>
        </w:rPr>
        <w:t>（2）入河排污口设置后污水排放对水功能区（水域）的影响范围分析；</w:t>
      </w:r>
    </w:p>
    <w:p w14:paraId="5FD75105">
      <w:pPr>
        <w:ind w:firstLine="480"/>
        <w:rPr>
          <w:color w:val="FF0000"/>
        </w:rPr>
      </w:pPr>
      <w:r>
        <w:rPr>
          <w:rFonts w:hint="eastAsia"/>
          <w:color w:val="FF0000"/>
        </w:rPr>
        <w:t>（3）入河排污口设置对水功能区（水域）水质和水生态影响分析；</w:t>
      </w:r>
    </w:p>
    <w:p w14:paraId="0F7B3AB5">
      <w:pPr>
        <w:ind w:firstLine="480"/>
        <w:rPr>
          <w:color w:val="FF0000"/>
        </w:rPr>
      </w:pPr>
      <w:r>
        <w:rPr>
          <w:rFonts w:hint="eastAsia"/>
          <w:color w:val="FF0000"/>
        </w:rPr>
        <w:t>（4）入河排污口设置对有利害关系的第三者权益的影响分析；</w:t>
      </w:r>
    </w:p>
    <w:p w14:paraId="3C7128DC">
      <w:pPr>
        <w:ind w:firstLine="480"/>
        <w:rPr>
          <w:color w:val="000000" w:themeColor="text1"/>
          <w14:textFill>
            <w14:solidFill>
              <w14:schemeClr w14:val="tx1"/>
            </w14:solidFill>
          </w14:textFill>
        </w:rPr>
        <w:sectPr>
          <w:footerReference r:id="rId13" w:type="default"/>
          <w:pgSz w:w="11906" w:h="16838"/>
          <w:pgMar w:top="1440" w:right="1800" w:bottom="1440" w:left="1800" w:header="851" w:footer="992" w:gutter="0"/>
          <w:cols w:space="425" w:num="1"/>
          <w:docGrid w:type="lines" w:linePitch="312" w:charSpace="0"/>
        </w:sectPr>
      </w:pPr>
      <w:r>
        <w:rPr>
          <w:rFonts w:hint="eastAsia"/>
          <w:color w:val="FF0000"/>
        </w:rPr>
        <w:t>（5）入河排污口设置合理性分析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br w:type="page"/>
      </w:r>
    </w:p>
    <w:p w14:paraId="53C18BB6">
      <w:pPr>
        <w:pStyle w:val="43"/>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责任主体基本情况</w:t>
      </w:r>
    </w:p>
    <w:p w14:paraId="04F2D9C6">
      <w:pPr>
        <w:pStyle w:val="61"/>
        <w:spacing w:before="312"/>
      </w:pPr>
      <w:bookmarkStart w:id="11" w:name="_Toc3042"/>
      <w:r>
        <w:t>2.1 责任主体名称、单位性质、地址</w:t>
      </w:r>
      <w:bookmarkEnd w:id="11"/>
    </w:p>
    <w:p w14:paraId="21F499F0">
      <w:pPr>
        <w:ind w:firstLine="482"/>
        <w:rPr>
          <w:color w:val="000000" w:themeColor="text1"/>
          <w14:textFill>
            <w14:solidFill>
              <w14:schemeClr w14:val="tx1"/>
            </w14:solidFill>
          </w14:textFill>
        </w:rPr>
      </w:pPr>
      <w:r>
        <w:rPr>
          <w:b/>
          <w:color w:val="000000" w:themeColor="text1"/>
          <w14:textFill>
            <w14:solidFill>
              <w14:schemeClr w14:val="tx1"/>
            </w14:solidFill>
          </w14:textFill>
        </w:rPr>
        <w:t>建设单位名称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重庆环保投资集团有限公司</w:t>
      </w:r>
    </w:p>
    <w:p w14:paraId="6D198FB2">
      <w:pPr>
        <w:ind w:firstLine="482"/>
        <w:rPr>
          <w:color w:val="000000" w:themeColor="text1"/>
          <w14:textFill>
            <w14:solidFill>
              <w14:schemeClr w14:val="tx1"/>
            </w14:solidFill>
          </w14:textFill>
        </w:rPr>
      </w:pPr>
      <w:r>
        <w:rPr>
          <w:b/>
          <w:color w:val="000000" w:themeColor="text1"/>
          <w14:textFill>
            <w14:solidFill>
              <w14:schemeClr w14:val="tx1"/>
            </w14:solidFill>
          </w14:textFill>
        </w:rPr>
        <w:t>法定代表人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赖生平</w:t>
      </w:r>
    </w:p>
    <w:p w14:paraId="2D5A2712">
      <w:pPr>
        <w:ind w:firstLine="482"/>
        <w:rPr>
          <w:color w:val="000000" w:themeColor="text1"/>
          <w14:textFill>
            <w14:solidFill>
              <w14:schemeClr w14:val="tx1"/>
            </w14:solidFill>
          </w14:textFill>
        </w:rPr>
      </w:pPr>
      <w:r>
        <w:rPr>
          <w:b/>
          <w:color w:val="000000" w:themeColor="text1"/>
          <w14:textFill>
            <w14:solidFill>
              <w14:schemeClr w14:val="tx1"/>
            </w14:solidFill>
          </w14:textFill>
        </w:rPr>
        <w:t>企业类型</w:t>
      </w:r>
      <w:r>
        <w:rPr>
          <w:color w:val="000000" w:themeColor="text1"/>
          <w14:textFill>
            <w14:solidFill>
              <w14:schemeClr w14:val="tx1"/>
            </w14:solidFill>
          </w14:textFill>
        </w:rPr>
        <w:t>：有限责任公司</w:t>
      </w:r>
    </w:p>
    <w:p w14:paraId="1FB9E25E">
      <w:pPr>
        <w:ind w:firstLine="482"/>
        <w:rPr>
          <w:color w:val="000000" w:themeColor="text1"/>
          <w14:textFill>
            <w14:solidFill>
              <w14:schemeClr w14:val="tx1"/>
            </w14:solidFill>
          </w14:textFill>
        </w:rPr>
      </w:pPr>
      <w:r>
        <w:rPr>
          <w:b/>
          <w:color w:val="000000" w:themeColor="text1"/>
          <w14:textFill>
            <w14:solidFill>
              <w14:schemeClr w14:val="tx1"/>
            </w14:solidFill>
          </w14:textFill>
        </w:rPr>
        <w:t>注册地址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重庆市江北区海尔路176号（美全22世纪B塔第23层）</w:t>
      </w:r>
    </w:p>
    <w:p w14:paraId="604C84B0">
      <w:pPr>
        <w:ind w:firstLine="482"/>
        <w:rPr>
          <w:color w:val="000000" w:themeColor="text1"/>
          <w14:textFill>
            <w14:solidFill>
              <w14:schemeClr w14:val="tx1"/>
            </w14:solidFill>
          </w14:textFill>
        </w:rPr>
      </w:pPr>
      <w:r>
        <w:rPr>
          <w:b/>
          <w:color w:val="000000" w:themeColor="text1"/>
          <w14:textFill>
            <w14:solidFill>
              <w14:schemeClr w14:val="tx1"/>
            </w14:solidFill>
          </w14:textFill>
        </w:rPr>
        <w:t>统一社会信用代码</w:t>
      </w:r>
      <w:r>
        <w:rPr>
          <w:color w:val="000000" w:themeColor="text1"/>
          <w14:textFill>
            <w14:solidFill>
              <w14:schemeClr w14:val="tx1"/>
            </w14:solidFill>
          </w14:textFill>
        </w:rPr>
        <w:t>：91500000339470140F</w:t>
      </w:r>
    </w:p>
    <w:p w14:paraId="583537A7">
      <w:pPr>
        <w:ind w:firstLine="482"/>
        <w:rPr>
          <w:color w:val="000000" w:themeColor="text1"/>
          <w14:textFill>
            <w14:solidFill>
              <w14:schemeClr w14:val="tx1"/>
            </w14:solidFill>
          </w14:textFill>
        </w:rPr>
      </w:pPr>
      <w:r>
        <w:rPr>
          <w:b/>
          <w:color w:val="000000" w:themeColor="text1"/>
          <w14:textFill>
            <w14:solidFill>
              <w14:schemeClr w14:val="tx1"/>
            </w14:solidFill>
          </w14:textFill>
        </w:rPr>
        <w:t>生产经营范围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危险废物经营；建设工程设计；建设工程施工；建筑劳务分包。（依法须经批准的项目，经相关部门批准后方可开展经营活动，具体经营项目以相关部门批准文件或许可证件为准）一般项目：环保咨询服务；环境保护专用设备制造；环境监测专用仪器仪表制造；大数据服务；互联网数据服务；网络技术服务；环境保护监测；污水处理及其再生利用；水污染治理；水环境污染防治服务；大气污染治理；大气环境污染防治服务；土壤污染治理与修复服务；土壤环境污染防治服务；固体废物治理；生态恢复及生态保护服务；工程管理服务；园林绿化工程施工；利用自有资金从事投资业务（不得从事吸收公众存款或变相吸收公众存款、发放贷款以及证券、期货等金融业务）。（除依法须经批准的项目外，凭营业执照依法自主开展经营活动）。</w:t>
      </w:r>
    </w:p>
    <w:p w14:paraId="1EED3456">
      <w:pPr>
        <w:pStyle w:val="61"/>
        <w:spacing w:before="312"/>
      </w:pPr>
      <w:bookmarkStart w:id="12" w:name="_Toc15105"/>
      <w:r>
        <w:t xml:space="preserve"> 2.2 责任主体生产经营状况</w:t>
      </w:r>
      <w:bookmarkEnd w:id="12"/>
    </w:p>
    <w:p w14:paraId="5BB27C21">
      <w:pPr>
        <w:ind w:firstLine="480"/>
        <w:rPr>
          <w:color w:val="000000" w:themeColor="text1"/>
          <w14:textFill>
            <w14:solidFill>
              <w14:schemeClr w14:val="tx1"/>
            </w14:solidFill>
          </w14:textFill>
        </w:rPr>
      </w:pPr>
      <w:r>
        <w:rPr>
          <w:rFonts w:hint="eastAsia"/>
        </w:rPr>
        <w:t>重庆环保投资集团有限公司</w:t>
      </w:r>
      <w:r>
        <w:rPr>
          <w:rFonts w:hint="eastAsia"/>
          <w:color w:val="000000" w:themeColor="text1"/>
          <w14:textFill>
            <w14:solidFill>
              <w14:schemeClr w14:val="tx1"/>
            </w14:solidFill>
          </w14:textFill>
        </w:rPr>
        <w:t>成立于2</w:t>
      </w:r>
      <w:r>
        <w:rPr>
          <w:color w:val="000000" w:themeColor="text1"/>
          <w14:textFill>
            <w14:solidFill>
              <w14:schemeClr w14:val="tx1"/>
            </w14:solidFill>
          </w14:textFill>
        </w:rPr>
        <w:t>015</w:t>
      </w:r>
      <w:r>
        <w:rPr>
          <w:rFonts w:hint="eastAsia"/>
          <w:color w:val="000000" w:themeColor="text1"/>
          <w14:textFill>
            <w14:solidFill>
              <w14:schemeClr w14:val="tx1"/>
            </w14:solidFill>
          </w14:textFill>
        </w:rPr>
        <w:t>年5月1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日，现隶属于重庆水务环境控股集团有限公司，集团业务涵盖水、大气、固废、土壤、辐射等生态环境全要素领域，具有环保咨询、投资、建设、运维及检测监测、大数据开发的全产业链服务体系。</w:t>
      </w:r>
    </w:p>
    <w:p w14:paraId="51F78847">
      <w:pPr>
        <w:ind w:firstLine="480"/>
      </w:pPr>
      <w:r>
        <w:rPr>
          <w:rFonts w:hint="eastAsia"/>
        </w:rPr>
        <w:t>（1）企业近期生产经营活动</w:t>
      </w:r>
    </w:p>
    <w:p w14:paraId="7658AA57">
      <w:pPr>
        <w:ind w:firstLine="480"/>
      </w:pPr>
      <w:r>
        <w:rPr>
          <w:rFonts w:hint="eastAsia"/>
        </w:rPr>
        <w:t>重庆环保投资集团有限公司近期主要进行重庆市石柱、彭水、武隆等区县乡镇污水处理厂的运行、维护和管理，下属重庆新天地环境检测技术有限公司近期主要开展</w:t>
      </w:r>
      <w:r>
        <w:rPr>
          <w:rFonts w:hint="eastAsia"/>
          <w:color w:val="000000" w:themeColor="text1"/>
          <w14:textFill>
            <w14:solidFill>
              <w14:schemeClr w14:val="tx1"/>
            </w14:solidFill>
          </w14:textFill>
        </w:rPr>
        <w:t>水、大气、固废、土壤、辐射等环境检测、运维及大数据开发服务，</w:t>
      </w:r>
      <w:r>
        <w:rPr>
          <w:rFonts w:hint="eastAsia"/>
        </w:rPr>
        <w:t>太可环保分公司和固废管理服务分公司近期主要进行环保咨询、投资、建设等服务。</w:t>
      </w:r>
    </w:p>
    <w:p w14:paraId="1377F431">
      <w:pPr>
        <w:ind w:firstLine="480"/>
      </w:pPr>
      <w:r>
        <w:rPr>
          <w:rFonts w:hint="eastAsia"/>
        </w:rPr>
        <w:t>（2）企业经营基础状况</w:t>
      </w:r>
    </w:p>
    <w:p w14:paraId="778FB940">
      <w:pPr>
        <w:ind w:firstLine="480"/>
      </w:pPr>
      <w:r>
        <w:rPr>
          <w:rFonts w:hint="eastAsia"/>
        </w:rPr>
        <w:t>重庆环保投资集团有限公司</w:t>
      </w:r>
      <w:r>
        <w:t>2024年</w:t>
      </w:r>
      <w:r>
        <w:rPr>
          <w:rFonts w:hint="eastAsia"/>
        </w:rPr>
        <w:t>企业</w:t>
      </w:r>
      <w:r>
        <w:t>工商年报显示社保</w:t>
      </w:r>
      <w:r>
        <w:rPr>
          <w:rFonts w:hint="eastAsia"/>
        </w:rPr>
        <w:t>参保</w:t>
      </w:r>
      <w:r>
        <w:t>人数为336人</w:t>
      </w:r>
      <w:r>
        <w:rPr>
          <w:rFonts w:hint="eastAsia"/>
        </w:rPr>
        <w:t>。</w:t>
      </w:r>
    </w:p>
    <w:p w14:paraId="39E55B82">
      <w:pPr>
        <w:ind w:firstLine="480"/>
      </w:pPr>
      <w:r>
        <w:rPr>
          <w:rFonts w:hint="eastAsia"/>
        </w:rPr>
        <w:t>（</w:t>
      </w:r>
      <w:r>
        <w:t>3</w:t>
      </w:r>
      <w:r>
        <w:rPr>
          <w:rFonts w:hint="eastAsia"/>
        </w:rPr>
        <w:t>）企业经营状态</w:t>
      </w:r>
    </w:p>
    <w:p w14:paraId="6FFCD4F8">
      <w:pPr>
        <w:ind w:firstLine="480"/>
        <w:rPr>
          <w:color w:val="000000" w:themeColor="text1"/>
          <w14:textFill>
            <w14:solidFill>
              <w14:schemeClr w14:val="tx1"/>
            </w14:solidFill>
          </w14:textFill>
        </w:rPr>
      </w:pPr>
      <w:r>
        <w:rPr>
          <w:rFonts w:hint="eastAsia"/>
        </w:rPr>
        <w:t>根据国家企业信用信息公示系统查询重庆环保投资集团有限公司处于存续（在营、开业、在册）状态，</w:t>
      </w:r>
      <w:r>
        <w:rPr>
          <w:rFonts w:hint="eastAsia"/>
          <w:color w:val="000000" w:themeColor="text1"/>
          <w14:textFill>
            <w14:solidFill>
              <w14:schemeClr w14:val="tx1"/>
            </w14:solidFill>
          </w14:textFill>
        </w:rPr>
        <w:t>表明企业经营活动正常开展。</w:t>
      </w:r>
    </w:p>
    <w:p w14:paraId="50C6D976">
      <w:pPr>
        <w:ind w:firstLine="480"/>
        <w:rPr>
          <w:color w:val="000000" w:themeColor="text1"/>
          <w14:textFill>
            <w14:solidFill>
              <w14:schemeClr w14:val="tx1"/>
            </w14:solidFill>
          </w14:textFill>
        </w:rPr>
      </w:pPr>
    </w:p>
    <w:p w14:paraId="412F34B7">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9949152">
      <w:pPr>
        <w:pStyle w:val="43"/>
        <w:ind w:left="0" w:firstLine="0"/>
        <w:rPr>
          <w:color w:val="000000" w:themeColor="text1"/>
          <w14:textFill>
            <w14:solidFill>
              <w14:schemeClr w14:val="tx1"/>
            </w14:solidFill>
          </w14:textFill>
        </w:rPr>
      </w:pPr>
      <w:r>
        <w:t>建设项目基本情况及排污分析</w:t>
      </w:r>
    </w:p>
    <w:p w14:paraId="1DE6E443">
      <w:pPr>
        <w:pStyle w:val="61"/>
        <w:spacing w:before="312"/>
      </w:pPr>
      <w:r>
        <w:rPr>
          <w:rFonts w:hint="eastAsia"/>
        </w:rPr>
        <w:t>3</w:t>
      </w:r>
      <w:r>
        <w:t xml:space="preserve">.1 </w:t>
      </w:r>
      <w:r>
        <w:rPr>
          <w:rFonts w:hint="eastAsia"/>
        </w:rPr>
        <w:t>项目基本情况</w:t>
      </w:r>
    </w:p>
    <w:p w14:paraId="2D4BF0F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（1）项目名称：芦塘乡（板栗村）污水处理厂工程；</w:t>
      </w:r>
    </w:p>
    <w:p w14:paraId="0B505FD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（2）建设单位：</w:t>
      </w:r>
      <w:r>
        <w:rPr>
          <w:rFonts w:hint="eastAsia"/>
        </w:rPr>
        <w:t>重庆环保投资集团有限公司</w:t>
      </w:r>
      <w:r>
        <w:rPr>
          <w:rFonts w:hint="eastAsia"/>
          <w:color w:val="000000" w:themeColor="text1"/>
          <w14:textFill>
            <w14:solidFill>
              <w14:schemeClr w14:val="tx1"/>
            </w14:solidFill>
          </w14:textFill>
        </w:rPr>
        <w:t>；</w:t>
      </w:r>
    </w:p>
    <w:p w14:paraId="2C34C67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（3）建设性质：新建；</w:t>
      </w:r>
    </w:p>
    <w:p w14:paraId="4F4493E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（4）建设地点：彭水苗族土家族自治县芦塘乡</w:t>
      </w:r>
      <w:r>
        <w:rPr>
          <w:rFonts w:hint="eastAsia" w:hAnsi="宋体"/>
          <w:bCs/>
          <w:color w:val="000000" w:themeColor="text1"/>
          <w14:textFill>
            <w14:solidFill>
              <w14:schemeClr w14:val="tx1"/>
            </w14:solidFill>
          </w14:textFill>
        </w:rPr>
        <w:t>板栗村三组</w:t>
      </w:r>
      <w:r>
        <w:rPr>
          <w:rFonts w:hint="eastAsia"/>
          <w:color w:val="000000" w:themeColor="text1"/>
          <w14:textFill>
            <w14:solidFill>
              <w14:schemeClr w14:val="tx1"/>
            </w14:solidFill>
          </w14:textFill>
        </w:rPr>
        <w:t>；</w:t>
      </w:r>
    </w:p>
    <w:p w14:paraId="353EAE9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）服务范围：彭水苗族土家族自治县芦塘乡中心场镇片区，进水主要为生活污水；</w:t>
      </w:r>
    </w:p>
    <w:p w14:paraId="35B610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）设计规模：</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p>
    <w:p w14:paraId="2BF84EB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）设计工艺：AO处理工艺；</w:t>
      </w:r>
    </w:p>
    <w:p w14:paraId="46C020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）尾水排放：出水水质达《城镇污水处理厂污染物排放标准》（GB 18918-2002）一级B标准后排入厂区南侧冲沟，经1km冲沟流入小河沟，再经3km小河沟排入郁江。</w:t>
      </w:r>
    </w:p>
    <w:p w14:paraId="5B99437C">
      <w:pPr>
        <w:pStyle w:val="61"/>
        <w:spacing w:before="312"/>
      </w:pPr>
      <w:r>
        <w:t xml:space="preserve">3.2 </w:t>
      </w:r>
      <w:bookmarkStart w:id="13" w:name="_Toc184805670"/>
      <w:r>
        <w:rPr>
          <w:rFonts w:hint="eastAsia"/>
        </w:rPr>
        <w:t>项目所在区域概况</w:t>
      </w:r>
      <w:bookmarkEnd w:id="13"/>
    </w:p>
    <w:p w14:paraId="2E74EB43">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自然环境</w:t>
      </w:r>
    </w:p>
    <w:p w14:paraId="0FBEA439">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（1）地理位置</w:t>
      </w:r>
    </w:p>
    <w:p w14:paraId="47DAE74F">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彭水苗族土家族自治县，隶属重庆市。位于重庆市东南部，北连石柱县，东北接利川市，东连黔江区，东南接酉阳县，南邻沿河县、务川县，西南连道真县，西连武隆区，西北接丰都县，总面积3903.79平方千米。</w:t>
      </w:r>
    </w:p>
    <w:p w14:paraId="1999DF17">
      <w:pPr>
        <w:ind w:firstLine="492"/>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芦塘乡，隶属于重庆市彭水苗族土家族自治县，地处彭水苗族土家族自治县东北部，东与郁山镇相连，南接保家镇，西邻普子镇，北靠联合乡，距彭水苗族土家族自治县政府驻地50千米，区域总面积47.53平方千米</w:t>
      </w:r>
      <w:r>
        <w:rPr>
          <w:rFonts w:hint="eastAsia"/>
          <w:color w:val="000000" w:themeColor="text1"/>
          <w14:textFill>
            <w14:solidFill>
              <w14:schemeClr w14:val="tx1"/>
            </w14:solidFill>
          </w14:textFill>
        </w:rPr>
        <w:t>。</w:t>
      </w:r>
    </w:p>
    <w:p w14:paraId="1F6FAA7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hAnsi="宋体"/>
          <w:bCs/>
          <w:color w:val="000000" w:themeColor="text1"/>
          <w14:textFill>
            <w14:solidFill>
              <w14:schemeClr w14:val="tx1"/>
            </w14:solidFill>
          </w14:textFill>
        </w:rPr>
        <w:t>芦塘乡板栗村三组。</w:t>
      </w:r>
    </w:p>
    <w:p w14:paraId="7996D804">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（2）地形、地貌及地质特征</w:t>
      </w:r>
    </w:p>
    <w:p w14:paraId="4198ECE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彭水县地质构造属新华构造体系，位于渝鄂黔隆起带向渝东中台坳下降的斜坡上。晚侏罗系至晚白垩世间燕山旋回的宁镇运动，以水平挤压为主，形成老厂坪背斜、普子向斜、郁山背斜、桑柘坪向斜、筲箕滩背斜等规模巨大的北北东向褶皱及筲箕滩、七梁子冲断层等伴生断裂。第三纪开始的喜马拉雅运动中，使县境普遍间歇性而又不均衡抬升，造成郁山一马武（石柱县境）及太原、棣棠、三岔溪、诸佛、桐楼、大园、龙塘、弹子岍正断层和火石垭、龙洋、大垭、石盘逆掩断层以及筲箕滩冲断层等，形成北北东向岭谷相间的原始地貌。出露地层主要有元古界震旦系、古生界寒武系、古生界奥陶系、古生界志留系、古生界泥盆系、古生界二叠系、中生界三叠系、中生界侏罗系及新生界第四系。 </w:t>
      </w:r>
    </w:p>
    <w:p w14:paraId="2C5BD13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势西北高而东南低，为构造剥蚀的中、低山地形。地貌类型复杂，“两山夹一槽”是主要特征。地形地貌受北北东向构造控制，主要山脉呈北北东向延伸，成层现象明显，谷地、坡麓、岩溶洼地及小型山间盆地相间，逆顺地貌并存。各类地貌中丘陵河谷区占13.39%，低山区占52.88%，中山区占34.03%。</w:t>
      </w:r>
    </w:p>
    <w:p w14:paraId="07C24DA2">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气候条件</w:t>
      </w:r>
    </w:p>
    <w:p w14:paraId="7CF52A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属中亚热带温润季风气候区，多年平均气温17.50℃，多年平均风速0.8m/s，多年平均最大风速13.2m/s，瞬时最大风速33m/s；多年平均相对湿度为78%，常年平均降雨量1104.20mm，年均蒸发量950.40mm，年均气压978.60百帕毫巴，无霜期311天，年日照时数1035.5小时。总的气候特点是：气候温和，雨量充沛多集中，光照偏少云雾多，春来较早多夜雨，夏季炎热多伏旱，秋季凉爽多绵雨，冬无严寒少霜雪。无霜期长，具有典型的季风气候特征。早春季节，冷空气活动频繁，常有局部大风、冰雹；初夏常有连阴雨；盛夏多伏旱，常有酷暑；秋季多绵雨；冬季少雪无严寒，日平均气温都在0℃以上。</w:t>
      </w:r>
    </w:p>
    <w:p w14:paraId="0549B6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气候的另一特点是：立体差异大。海拔每升高100m，平均气温便递减0.46～0.55℃；年积温约下降200℃左右。年无霜期由沿江河谷的312天递减到中山区的235天。年日照时数，低中山区受山脊和云雾阻挡，要比平坝约少四分之一。</w:t>
      </w:r>
    </w:p>
    <w:p w14:paraId="1D5B6AE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县气象站观测资料，彭水县常年主导风向为NE风，年均频率为5.39％，次主导风向为ENE风和E风，年均频率分别为4.74%、3.95％，全年静风频率66.45％。彭水县多年平均风速0.42m/s，年内各月之间平均风速变幅较小，在0.31m/s～0.56m/s之间，8月风速最大，为0.56m/s。</w:t>
      </w:r>
    </w:p>
    <w:p w14:paraId="6A87D481">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水文特征</w:t>
      </w:r>
    </w:p>
    <w:p w14:paraId="07AA12BC">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（1）地表水</w:t>
      </w:r>
    </w:p>
    <w:p w14:paraId="5C4C36C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彭水县水资源丰富，境内有大小河流61条，均属乌江水系。主要河流为乌江和郁江。</w:t>
      </w:r>
    </w:p>
    <w:p w14:paraId="5FC4D3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在郁山镇以上称为后江河，郁山镇至河口称为郁江。郁江是乌江右岸较大的一级支流，发源于湖北省利川市境内的大石桥乡的刘仓坪，河源海拔高程1514米。由北向南在码头山入重庆的彭水县境，在彭水县城汇入乌江，郁江流域地理位置介于东经108°03′—108°50′，北纬29°08′—30°13′之间。全流域面积4602.2平方公里。</w:t>
      </w:r>
    </w:p>
    <w:p w14:paraId="4C46CAC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流域西北邻龙河，以七跃山脉为分水岭，北邻湖北的清依江，东北与阿蓬江相邻，东部与诸佛江以西山盖、小厂盖为分水岭。流域水系在湖北省境内呈羽形，在彭水境内呈树枝状，平面形状呈长条形。流动地势呈东北高西南低，周界为高山环绕，河谷深切，山势陡峻，支流多，坡陡急流，雨洪汇流速度快。河流全长157.4公里。河床平均坡降8.3%。其中湖北境内长72.8公里，彭水境内长84.6公里。</w:t>
      </w:r>
    </w:p>
    <w:p w14:paraId="66F29D26">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（2）地下水</w:t>
      </w:r>
    </w:p>
    <w:p w14:paraId="35D13AB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县地下水储量大，类型多，分布广。据南江水文地质大队的资料及调查统计，全县有暗河47条，地下水出露点666处，流量大于20升/秒的大泉有34个。地下水储量15.44亿立方米，多年平均出露量7.96亿立方米。根据地层岩性和赋存条件，地下水分为三大类型：即碳酸盐岩裂隙溶洞水，分布面积占幅员面积的53.5%，年均径流量14.04亿立方米；基岩裂隙孔隙水，本类型地下水主要有风化带孔隙裂隙水和构造断裂带孔隙裂隙水，分布面积占幅员面积的22.8%，年均径流量0.35亿立方米；碳酸盐岩夹碎屑裂隙溶洞水，分布面积为幅员面积的23.7%，年均径流量1.05亿立方米。</w:t>
      </w:r>
    </w:p>
    <w:p w14:paraId="0F99A982">
      <w:pPr>
        <w:pStyle w:val="61"/>
        <w:spacing w:before="312"/>
      </w:pPr>
      <w:r>
        <w:rPr>
          <w:rFonts w:hint="eastAsia"/>
        </w:rPr>
        <w:t>3</w:t>
      </w:r>
      <w:r>
        <w:t xml:space="preserve">.3 </w:t>
      </w:r>
      <w:r>
        <w:rPr>
          <w:rFonts w:hint="eastAsia"/>
        </w:rPr>
        <w:t>项目建设及运行情况</w:t>
      </w:r>
    </w:p>
    <w:p w14:paraId="30D0BD54">
      <w:pPr>
        <w:ind w:firstLine="480"/>
        <w:rPr>
          <w:color w:val="000000" w:themeColor="text1"/>
          <w14:textFill>
            <w14:solidFill>
              <w14:schemeClr w14:val="tx1"/>
            </w14:solidFill>
          </w14:textFill>
        </w:rPr>
      </w:pPr>
      <w:r>
        <w:t>本项目处于</w:t>
      </w:r>
      <w:r>
        <w:rPr>
          <w:rFonts w:hint="eastAsia"/>
        </w:rPr>
        <w:t>运行</w:t>
      </w:r>
      <w:r>
        <w:t>阶段，污水处理厂及入河排污口</w:t>
      </w:r>
      <w:r>
        <w:rPr>
          <w:rFonts w:hint="eastAsia"/>
        </w:rPr>
        <w:t>已经正常运行，</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重庆市生态环境局及</w:t>
      </w:r>
      <w:r>
        <w:rPr>
          <w:rFonts w:hint="eastAsia" w:hAnsi="宋体"/>
          <w:bCs/>
          <w:color w:val="000000" w:themeColor="text1"/>
          <w14:textFill>
            <w14:solidFill>
              <w14:schemeClr w14:val="tx1"/>
            </w14:solidFill>
          </w14:textFill>
        </w:rPr>
        <w:t>彭水苗族土家族自治县</w:t>
      </w:r>
      <w:r>
        <w:rPr>
          <w:rFonts w:hint="eastAsia"/>
          <w:color w:val="000000" w:themeColor="text1"/>
          <w14:textFill>
            <w14:solidFill>
              <w14:schemeClr w14:val="tx1"/>
            </w14:solidFill>
          </w14:textFill>
        </w:rPr>
        <w:t>生态环境局要求，本项目入河排污口为城镇污水处理厂入河排污口，需补充办理入河排污口设置审批。</w:t>
      </w:r>
    </w:p>
    <w:p w14:paraId="578674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彭水苗族土家族自治县芦塘乡（板栗村）污水处理厂新建工程项目组成见表</w:t>
      </w:r>
      <w:r>
        <w:rPr>
          <w:color w:val="000000" w:themeColor="text1"/>
          <w14:textFill>
            <w14:solidFill>
              <w14:schemeClr w14:val="tx1"/>
            </w14:solidFill>
          </w14:textFill>
        </w:rPr>
        <w:t>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6204D640">
      <w:pPr>
        <w:spacing w:line="240" w:lineRule="auto"/>
        <w:ind w:firstLine="0" w:firstLineChars="0"/>
        <w:jc w:val="center"/>
        <w:rPr>
          <w:rFonts w:cs="Times New Roman"/>
          <w:b/>
          <w:color w:val="000000" w:themeColor="text1"/>
          <w:sz w:val="21"/>
          <w:szCs w:val="21"/>
          <w14:textFill>
            <w14:solidFill>
              <w14:schemeClr w14:val="tx1"/>
            </w14:solidFill>
          </w14:textFill>
        </w:rPr>
      </w:pPr>
      <w:bookmarkStart w:id="14" w:name="_Ref127279086"/>
      <w:r>
        <w:rPr>
          <w:rFonts w:cs="Times New Roman"/>
          <w:b/>
          <w:color w:val="000000" w:themeColor="text1"/>
          <w:sz w:val="21"/>
          <w:szCs w:val="21"/>
          <w14:textFill>
            <w14:solidFill>
              <w14:schemeClr w14:val="tx1"/>
            </w14:solidFill>
          </w14:textFill>
        </w:rPr>
        <w:t>表</w:t>
      </w:r>
      <w:bookmarkEnd w:id="14"/>
      <w:r>
        <w:rPr>
          <w:rFonts w:cs="Times New Roman"/>
          <w:b/>
          <w:color w:val="000000" w:themeColor="text1"/>
          <w:sz w:val="21"/>
          <w:szCs w:val="21"/>
          <w14:textFill>
            <w14:solidFill>
              <w14:schemeClr w14:val="tx1"/>
            </w14:solidFill>
          </w14:textFill>
        </w:rPr>
        <w:t xml:space="preserve">3.3-1  </w:t>
      </w:r>
      <w:r>
        <w:rPr>
          <w:rFonts w:hint="eastAsia" w:cs="Times New Roman"/>
          <w:b/>
          <w:color w:val="000000" w:themeColor="text1"/>
          <w:sz w:val="21"/>
          <w:szCs w:val="21"/>
          <w14:textFill>
            <w14:solidFill>
              <w14:schemeClr w14:val="tx1"/>
            </w14:solidFill>
          </w14:textFill>
        </w:rPr>
        <w:t>芦塘乡（板栗村）污水处理厂新建工程</w:t>
      </w:r>
      <w:r>
        <w:rPr>
          <w:rFonts w:cs="Times New Roman"/>
          <w:b/>
          <w:color w:val="000000" w:themeColor="text1"/>
          <w:sz w:val="21"/>
          <w:szCs w:val="21"/>
          <w14:textFill>
            <w14:solidFill>
              <w14:schemeClr w14:val="tx1"/>
            </w14:solidFill>
          </w14:textFill>
        </w:rPr>
        <w:t>项目组成表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19"/>
        <w:gridCol w:w="1602"/>
        <w:gridCol w:w="2664"/>
        <w:gridCol w:w="839"/>
        <w:gridCol w:w="839"/>
        <w:gridCol w:w="837"/>
      </w:tblGrid>
      <w:tr w14:paraId="65CE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7E6384EF">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序号</w:t>
            </w:r>
          </w:p>
        </w:tc>
        <w:tc>
          <w:tcPr>
            <w:tcW w:w="1538" w:type="pct"/>
            <w:gridSpan w:val="2"/>
            <w:vAlign w:val="center"/>
          </w:tcPr>
          <w:p w14:paraId="1FA6661F">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p>
        </w:tc>
        <w:tc>
          <w:tcPr>
            <w:tcW w:w="1563" w:type="pct"/>
            <w:vAlign w:val="center"/>
          </w:tcPr>
          <w:p w14:paraId="27B80D4B">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尺寸（L×B×H（m））</w:t>
            </w:r>
          </w:p>
        </w:tc>
        <w:tc>
          <w:tcPr>
            <w:tcW w:w="492" w:type="pct"/>
            <w:vAlign w:val="center"/>
          </w:tcPr>
          <w:p w14:paraId="2749E702">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单位</w:t>
            </w:r>
          </w:p>
        </w:tc>
        <w:tc>
          <w:tcPr>
            <w:tcW w:w="492" w:type="pct"/>
            <w:vAlign w:val="center"/>
          </w:tcPr>
          <w:p w14:paraId="6AD66080">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数量</w:t>
            </w:r>
          </w:p>
        </w:tc>
        <w:tc>
          <w:tcPr>
            <w:tcW w:w="491" w:type="pct"/>
            <w:vAlign w:val="center"/>
          </w:tcPr>
          <w:p w14:paraId="6C82C9FC">
            <w:pPr>
              <w:spacing w:line="240" w:lineRule="auto"/>
              <w:ind w:firstLine="0" w:firstLineChars="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结构</w:t>
            </w:r>
          </w:p>
        </w:tc>
      </w:tr>
      <w:tr w14:paraId="182B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5C6555C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1538" w:type="pct"/>
            <w:gridSpan w:val="2"/>
            <w:vAlign w:val="center"/>
          </w:tcPr>
          <w:p w14:paraId="552364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格栅</w:t>
            </w:r>
            <w:r>
              <w:rPr>
                <w:rFonts w:hint="eastAsia" w:cs="Times New Roman"/>
                <w:color w:val="000000" w:themeColor="text1"/>
                <w:sz w:val="21"/>
                <w:szCs w:val="21"/>
                <w14:textFill>
                  <w14:solidFill>
                    <w14:schemeClr w14:val="tx1"/>
                  </w14:solidFill>
                </w14:textFill>
              </w:rPr>
              <w:t>井</w:t>
            </w:r>
          </w:p>
        </w:tc>
        <w:tc>
          <w:tcPr>
            <w:tcW w:w="1563" w:type="pct"/>
            <w:vAlign w:val="center"/>
          </w:tcPr>
          <w:p w14:paraId="1598B37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1.0m×1.0m×2.25m</w:t>
            </w:r>
          </w:p>
        </w:tc>
        <w:tc>
          <w:tcPr>
            <w:tcW w:w="492" w:type="pct"/>
            <w:vAlign w:val="center"/>
          </w:tcPr>
          <w:p w14:paraId="3C6FB9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191C45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7A1973C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00D9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restart"/>
            <w:vAlign w:val="center"/>
          </w:tcPr>
          <w:p w14:paraId="420415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598" w:type="pct"/>
            <w:vMerge w:val="restart"/>
            <w:vAlign w:val="center"/>
          </w:tcPr>
          <w:p w14:paraId="5246A4F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预沉调节池</w:t>
            </w:r>
          </w:p>
        </w:tc>
        <w:tc>
          <w:tcPr>
            <w:tcW w:w="940" w:type="pct"/>
            <w:vAlign w:val="center"/>
          </w:tcPr>
          <w:p w14:paraId="4BA1A01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初沉池</w:t>
            </w:r>
          </w:p>
        </w:tc>
        <w:tc>
          <w:tcPr>
            <w:tcW w:w="1563" w:type="pct"/>
            <w:vAlign w:val="center"/>
          </w:tcPr>
          <w:p w14:paraId="2869070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3.0m×2.0m×4.0m</w:t>
            </w:r>
          </w:p>
        </w:tc>
        <w:tc>
          <w:tcPr>
            <w:tcW w:w="492" w:type="pct"/>
            <w:vAlign w:val="center"/>
          </w:tcPr>
          <w:p w14:paraId="4EC669C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7E7BB36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589F1EA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3181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continue"/>
            <w:vAlign w:val="center"/>
          </w:tcPr>
          <w:p w14:paraId="7EBCD2A5">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98" w:type="pct"/>
            <w:vMerge w:val="continue"/>
            <w:vAlign w:val="center"/>
          </w:tcPr>
          <w:p w14:paraId="3B15D353">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40" w:type="pct"/>
            <w:vAlign w:val="center"/>
          </w:tcPr>
          <w:p w14:paraId="137DDC7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调节池</w:t>
            </w:r>
          </w:p>
        </w:tc>
        <w:tc>
          <w:tcPr>
            <w:tcW w:w="1563" w:type="pct"/>
            <w:vAlign w:val="center"/>
          </w:tcPr>
          <w:p w14:paraId="1D10B11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3.0m×5.0m×4.0m</w:t>
            </w:r>
          </w:p>
        </w:tc>
        <w:tc>
          <w:tcPr>
            <w:tcW w:w="492" w:type="pct"/>
            <w:vAlign w:val="center"/>
          </w:tcPr>
          <w:p w14:paraId="72B7384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1BA1C2E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222B520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04AB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restart"/>
            <w:vAlign w:val="center"/>
          </w:tcPr>
          <w:p w14:paraId="0E1BD0B7">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598" w:type="pct"/>
            <w:vMerge w:val="restart"/>
            <w:vAlign w:val="center"/>
          </w:tcPr>
          <w:p w14:paraId="4FBF374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AO组合池</w:t>
            </w:r>
          </w:p>
        </w:tc>
        <w:tc>
          <w:tcPr>
            <w:tcW w:w="940" w:type="pct"/>
            <w:vAlign w:val="center"/>
          </w:tcPr>
          <w:p w14:paraId="5C26B03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厌氧</w:t>
            </w:r>
            <w:r>
              <w:rPr>
                <w:rFonts w:cs="Times New Roman"/>
                <w:color w:val="000000" w:themeColor="text1"/>
                <w:sz w:val="21"/>
                <w:szCs w:val="21"/>
                <w14:textFill>
                  <w14:solidFill>
                    <w14:schemeClr w14:val="tx1"/>
                  </w14:solidFill>
                </w14:textFill>
              </w:rPr>
              <w:t>池</w:t>
            </w:r>
          </w:p>
        </w:tc>
        <w:tc>
          <w:tcPr>
            <w:tcW w:w="1563" w:type="pct"/>
            <w:vAlign w:val="center"/>
          </w:tcPr>
          <w:p w14:paraId="22CC549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3.0m×2.0m×3.0m</w:t>
            </w:r>
          </w:p>
        </w:tc>
        <w:tc>
          <w:tcPr>
            <w:tcW w:w="492" w:type="pct"/>
            <w:vAlign w:val="center"/>
          </w:tcPr>
          <w:p w14:paraId="1B22FD2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63B5DAC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52A118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5767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Merge w:val="continue"/>
            <w:vAlign w:val="center"/>
          </w:tcPr>
          <w:p w14:paraId="13D5CDD4">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598" w:type="pct"/>
            <w:vMerge w:val="continue"/>
            <w:vAlign w:val="center"/>
          </w:tcPr>
          <w:p w14:paraId="20311A55">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940" w:type="pct"/>
            <w:vAlign w:val="center"/>
          </w:tcPr>
          <w:p w14:paraId="02A29CBB">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好氧</w:t>
            </w:r>
            <w:r>
              <w:rPr>
                <w:rFonts w:cs="Times New Roman"/>
                <w:color w:val="000000" w:themeColor="text1"/>
                <w:sz w:val="21"/>
                <w:szCs w:val="21"/>
                <w14:textFill>
                  <w14:solidFill>
                    <w14:schemeClr w14:val="tx1"/>
                  </w14:solidFill>
                </w14:textFill>
              </w:rPr>
              <w:t>池</w:t>
            </w:r>
          </w:p>
        </w:tc>
        <w:tc>
          <w:tcPr>
            <w:tcW w:w="1563" w:type="pct"/>
            <w:vAlign w:val="center"/>
          </w:tcPr>
          <w:p w14:paraId="55D8B9C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5.25m×3.0m×3.0m</w:t>
            </w:r>
          </w:p>
        </w:tc>
        <w:tc>
          <w:tcPr>
            <w:tcW w:w="492" w:type="pct"/>
            <w:vAlign w:val="center"/>
          </w:tcPr>
          <w:p w14:paraId="186B434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687CD77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372BE95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4CDC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175E187F">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w:t>
            </w:r>
          </w:p>
        </w:tc>
        <w:tc>
          <w:tcPr>
            <w:tcW w:w="1538" w:type="pct"/>
            <w:gridSpan w:val="2"/>
            <w:vAlign w:val="center"/>
          </w:tcPr>
          <w:p w14:paraId="70A385F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沉淀池</w:t>
            </w:r>
          </w:p>
        </w:tc>
        <w:tc>
          <w:tcPr>
            <w:tcW w:w="1563" w:type="pct"/>
            <w:vAlign w:val="center"/>
          </w:tcPr>
          <w:p w14:paraId="7566EE2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2.0m×2.0m×3.5m</w:t>
            </w:r>
          </w:p>
        </w:tc>
        <w:tc>
          <w:tcPr>
            <w:tcW w:w="492" w:type="pct"/>
            <w:vAlign w:val="center"/>
          </w:tcPr>
          <w:p w14:paraId="28F7710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2152FD0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37692DC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2152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48002255">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p>
        </w:tc>
        <w:tc>
          <w:tcPr>
            <w:tcW w:w="1538" w:type="pct"/>
            <w:gridSpan w:val="2"/>
            <w:vAlign w:val="center"/>
          </w:tcPr>
          <w:p w14:paraId="3E2A2A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消毒池</w:t>
            </w:r>
          </w:p>
        </w:tc>
        <w:tc>
          <w:tcPr>
            <w:tcW w:w="1563" w:type="pct"/>
            <w:vAlign w:val="center"/>
          </w:tcPr>
          <w:p w14:paraId="5EAB5AD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0.5m×2.0m×2.7m</w:t>
            </w:r>
          </w:p>
        </w:tc>
        <w:tc>
          <w:tcPr>
            <w:tcW w:w="492" w:type="pct"/>
            <w:vAlign w:val="center"/>
          </w:tcPr>
          <w:p w14:paraId="5CBF712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6684B6E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54FA616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钢混</w:t>
            </w:r>
          </w:p>
        </w:tc>
      </w:tr>
      <w:tr w14:paraId="78FB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2DDF55F4">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p>
        </w:tc>
        <w:tc>
          <w:tcPr>
            <w:tcW w:w="1538" w:type="pct"/>
            <w:gridSpan w:val="2"/>
            <w:vAlign w:val="center"/>
          </w:tcPr>
          <w:p w14:paraId="134AFE1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干化池（加设透光材料的雨棚）</w:t>
            </w:r>
          </w:p>
        </w:tc>
        <w:tc>
          <w:tcPr>
            <w:tcW w:w="1563" w:type="pct"/>
            <w:vAlign w:val="center"/>
          </w:tcPr>
          <w:p w14:paraId="6128BA3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2.7m</w:t>
            </w:r>
            <w:r>
              <w:rPr>
                <w:rFonts w:cs="Times New Roman"/>
                <w:color w:val="000000" w:themeColor="text1"/>
                <w:sz w:val="21"/>
                <w:szCs w:val="21"/>
                <w:vertAlign w:val="superscript"/>
                <w14:textFill>
                  <w14:solidFill>
                    <w14:schemeClr w14:val="tx1"/>
                  </w14:solidFill>
                </w14:textFill>
              </w:rPr>
              <w:t>3</w:t>
            </w:r>
          </w:p>
        </w:tc>
        <w:tc>
          <w:tcPr>
            <w:tcW w:w="492" w:type="pct"/>
            <w:vAlign w:val="center"/>
          </w:tcPr>
          <w:p w14:paraId="691FA58D">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7820046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491" w:type="pct"/>
            <w:vAlign w:val="center"/>
          </w:tcPr>
          <w:p w14:paraId="45CBC577">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r w14:paraId="639E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4" w:type="pct"/>
            <w:vAlign w:val="center"/>
          </w:tcPr>
          <w:p w14:paraId="6478BF66">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w:t>
            </w:r>
          </w:p>
        </w:tc>
        <w:tc>
          <w:tcPr>
            <w:tcW w:w="1538" w:type="pct"/>
            <w:gridSpan w:val="2"/>
            <w:vAlign w:val="center"/>
          </w:tcPr>
          <w:p w14:paraId="2EBC94F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综合用房</w:t>
            </w:r>
          </w:p>
        </w:tc>
        <w:tc>
          <w:tcPr>
            <w:tcW w:w="1563" w:type="pct"/>
            <w:vAlign w:val="center"/>
          </w:tcPr>
          <w:p w14:paraId="4AA54314">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17.3m</w:t>
            </w:r>
            <w:r>
              <w:rPr>
                <w:rFonts w:cs="Times New Roman"/>
                <w:color w:val="000000" w:themeColor="text1"/>
                <w:sz w:val="21"/>
                <w:szCs w:val="21"/>
                <w:vertAlign w:val="superscript"/>
                <w14:textFill>
                  <w14:solidFill>
                    <w14:schemeClr w14:val="tx1"/>
                  </w14:solidFill>
                </w14:textFill>
              </w:rPr>
              <w:t>3</w:t>
            </w:r>
          </w:p>
        </w:tc>
        <w:tc>
          <w:tcPr>
            <w:tcW w:w="492" w:type="pct"/>
            <w:vAlign w:val="center"/>
          </w:tcPr>
          <w:p w14:paraId="4EDD689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座</w:t>
            </w:r>
          </w:p>
        </w:tc>
        <w:tc>
          <w:tcPr>
            <w:tcW w:w="492" w:type="pct"/>
            <w:vAlign w:val="center"/>
          </w:tcPr>
          <w:p w14:paraId="02F428A2">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491" w:type="pct"/>
            <w:vAlign w:val="center"/>
          </w:tcPr>
          <w:p w14:paraId="1FB7051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砖混</w:t>
            </w:r>
          </w:p>
        </w:tc>
      </w:tr>
    </w:tbl>
    <w:p w14:paraId="42B5110D">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污水处理厂区采用水平型分两排布置，建构筑物沿厂区主干道两边布置，沿进场方向南面为综合用房、格栅井/初沉调节池；北面依次为消毒池/排水计量渠、A/O生化组合池、污泥干化池</w:t>
      </w:r>
      <w:r>
        <w:rPr>
          <w:rFonts w:hAnsi="宋体"/>
          <w:bCs/>
          <w:color w:val="000000" w:themeColor="text1"/>
          <w14:textFill>
            <w14:solidFill>
              <w14:schemeClr w14:val="tx1"/>
            </w14:solidFill>
          </w14:textFill>
        </w:rPr>
        <w:t>，布局合理</w:t>
      </w:r>
      <w:r>
        <w:rPr>
          <w:color w:val="000000" w:themeColor="text1"/>
          <w14:textFill>
            <w14:solidFill>
              <w14:schemeClr w14:val="tx1"/>
            </w14:solidFill>
          </w14:textFill>
        </w:rPr>
        <w:t>。</w:t>
      </w:r>
    </w:p>
    <w:p w14:paraId="120EE6DA">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本项目平面布置图详见附图5</w:t>
      </w:r>
      <w:r>
        <w:rPr>
          <w:rFonts w:hint="eastAsia"/>
          <w:color w:val="000000" w:themeColor="text1"/>
          <w14:textFill>
            <w14:solidFill>
              <w14:schemeClr w14:val="tx1"/>
            </w14:solidFill>
          </w14:textFill>
        </w:rPr>
        <w:t>。</w:t>
      </w:r>
    </w:p>
    <w:p w14:paraId="15AF1378">
      <w:pPr>
        <w:pStyle w:val="61"/>
        <w:spacing w:before="312"/>
      </w:pPr>
      <w:r>
        <w:t>3.4 项目水平衡及废污水排放分析</w:t>
      </w:r>
    </w:p>
    <w:p w14:paraId="5D7A4A2A">
      <w:pPr>
        <w:pStyle w:val="45"/>
        <w:rPr>
          <w:color w:val="000000" w:themeColor="text1"/>
          <w14:textFill>
            <w14:solidFill>
              <w14:schemeClr w14:val="tx1"/>
            </w14:solidFill>
          </w14:textFill>
        </w:rPr>
      </w:pPr>
      <w:r>
        <w:rPr>
          <w:color w:val="000000" w:themeColor="text1"/>
          <w14:textFill>
            <w14:solidFill>
              <w14:schemeClr w14:val="tx1"/>
            </w14:solidFill>
          </w14:textFill>
        </w:rPr>
        <w:t xml:space="preserve">3.4.1 </w:t>
      </w:r>
      <w:r>
        <w:rPr>
          <w:rFonts w:hint="eastAsia"/>
          <w:color w:val="000000" w:themeColor="text1"/>
          <w14:textFill>
            <w14:solidFill>
              <w14:schemeClr w14:val="tx1"/>
            </w14:solidFill>
          </w14:textFill>
        </w:rPr>
        <w:t>项目污水处理工艺</w:t>
      </w:r>
    </w:p>
    <w:p w14:paraId="689780D3">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工程采用：“</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”工艺。工艺流程见图</w:t>
      </w:r>
      <w:r>
        <w:rPr>
          <w:color w:val="000000" w:themeColor="text1"/>
          <w:lang w:val="zh-CN"/>
          <w14:textFill>
            <w14:solidFill>
              <w14:schemeClr w14:val="tx1"/>
            </w14:solidFill>
          </w14:textFill>
        </w:rPr>
        <w:t>3.4</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w:t>
      </w:r>
    </w:p>
    <w:p w14:paraId="5263B5EA">
      <w:pPr>
        <w:spacing w:line="240" w:lineRule="auto"/>
        <w:ind w:firstLine="0" w:firstLineChars="0"/>
        <w:jc w:val="center"/>
        <w:rPr>
          <w:rFonts w:cs="Times New Roman"/>
          <w:b/>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352800" cy="2420620"/>
            <wp:effectExtent l="0" t="0" r="0" b="0"/>
            <wp:docPr id="57" name="图片 57" descr="C:\Users\ADMINI~1\AppData\Local\Temp\QQ_172239679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QQ_17223967917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61550" cy="2427342"/>
                    </a:xfrm>
                    <a:prstGeom prst="rect">
                      <a:avLst/>
                    </a:prstGeom>
                    <a:noFill/>
                    <a:ln>
                      <a:noFill/>
                    </a:ln>
                  </pic:spPr>
                </pic:pic>
              </a:graphicData>
            </a:graphic>
          </wp:inline>
        </w:drawing>
      </w:r>
    </w:p>
    <w:p w14:paraId="572A4A2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 xml:space="preserve">3.4-1  </w:t>
      </w:r>
      <w:r>
        <w:rPr>
          <w:rFonts w:hint="eastAsia" w:cs="Times New Roman"/>
          <w:b/>
          <w:color w:val="000000" w:themeColor="text1"/>
          <w:sz w:val="21"/>
          <w:szCs w:val="21"/>
          <w14:textFill>
            <w14:solidFill>
              <w14:schemeClr w14:val="tx1"/>
            </w14:solidFill>
          </w14:textFill>
        </w:rPr>
        <w:t>工艺流程图</w:t>
      </w:r>
    </w:p>
    <w:p w14:paraId="7ED1A5A4">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A</w:t>
      </w:r>
      <w:r>
        <w:rPr>
          <w:color w:val="000000" w:themeColor="text1"/>
          <w:lang w:val="zh-CN"/>
          <w14:textFill>
            <w14:solidFill>
              <w14:schemeClr w14:val="tx1"/>
            </w14:solidFill>
          </w14:textFill>
        </w:rPr>
        <w:t>O</w:t>
      </w:r>
      <w:r>
        <w:rPr>
          <w:rFonts w:hint="eastAsia"/>
          <w:color w:val="000000" w:themeColor="text1"/>
          <w:lang w:val="zh-CN"/>
          <w14:textFill>
            <w14:solidFill>
              <w14:schemeClr w14:val="tx1"/>
            </w14:solidFill>
          </w14:textFill>
        </w:rPr>
        <w:t>工艺流程简介：</w:t>
      </w:r>
    </w:p>
    <w:p w14:paraId="50B40CC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A就是缺氧段，主要用于脱氮；O就是好氧段，主要用于去除水中的有机物。它除了可去除废水中的有机污染物外，还可同时去除磷。</w:t>
      </w:r>
    </w:p>
    <w:p w14:paraId="7CF4CF2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乡镇污水经主干管自流进入污水处理厂，首先流经格栅，去除污水中的大块杂物及漂浮物等，再自流进入初沉调节池，污水在初沉调节池内进行水量调节和水质均化，同时去除污水中的颗粒物，为后续的处理单元提供稳定的水源。之后的污水再由泵送至AO生化组合池，污水首先进入缺氧池，与回流的混合液充分混合，利用反硝化菌的作用将硝态氮还原氮气，达到脱氮的目的；接着污水自流进入曝气池，在经过曝气之后，污水中的有机污染物得到去除，有机物得到去除的同时活性污泥不断的增殖，形成了泥水混合液，一部分的混合液回流至缺氧池，一部分进入二沉池进行泥水分离。</w:t>
      </w:r>
    </w:p>
    <w:p w14:paraId="79122E44">
      <w:pPr>
        <w:ind w:firstLine="48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初沉调节池的污泥、二沉池排放的剩余污泥进入污泥干化池自然干化。格栅拦截的栅渣定期外运，干化池产生的滤液流入预沉调节池再次进行处理</w:t>
      </w:r>
      <w:r>
        <w:rPr>
          <w:rFonts w:hint="eastAsia"/>
          <w:color w:val="000000" w:themeColor="text1"/>
          <w:lang w:val="zh-CN"/>
          <w14:textFill>
            <w14:solidFill>
              <w14:schemeClr w14:val="tx1"/>
            </w14:solidFill>
          </w14:textFill>
        </w:rPr>
        <w:t>。</w:t>
      </w:r>
    </w:p>
    <w:p w14:paraId="29C53D08">
      <w:pPr>
        <w:pStyle w:val="45"/>
        <w:rPr>
          <w:color w:val="000000" w:themeColor="text1"/>
          <w14:textFill>
            <w14:solidFill>
              <w14:schemeClr w14:val="tx1"/>
            </w14:solidFill>
          </w14:textFill>
        </w:rPr>
      </w:pPr>
      <w:r>
        <w:rPr>
          <w:color w:val="000000" w:themeColor="text1"/>
          <w14:textFill>
            <w14:solidFill>
              <w14:schemeClr w14:val="tx1"/>
            </w14:solidFill>
          </w14:textFill>
        </w:rPr>
        <w:t xml:space="preserve">3.4.2 </w:t>
      </w:r>
      <w:r>
        <w:rPr>
          <w:rFonts w:hint="eastAsia"/>
          <w:color w:val="000000" w:themeColor="text1"/>
          <w14:textFill>
            <w14:solidFill>
              <w14:schemeClr w14:val="tx1"/>
            </w14:solidFill>
          </w14:textFill>
        </w:rPr>
        <w:t>处理工艺去除率</w:t>
      </w:r>
    </w:p>
    <w:p w14:paraId="63DC8B2A">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本项目采用</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AO</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工艺，各主要污水处理构筑物处理效率见表3.4</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w:t>
      </w:r>
    </w:p>
    <w:p w14:paraId="7B85254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3.4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2  污水处理工艺各阶段去除率一览表单位：mg/L</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391"/>
        <w:gridCol w:w="983"/>
        <w:gridCol w:w="1065"/>
        <w:gridCol w:w="948"/>
        <w:gridCol w:w="1161"/>
        <w:gridCol w:w="771"/>
      </w:tblGrid>
      <w:tr w14:paraId="396C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restart"/>
            <w:tcBorders>
              <w:tl2br w:val="single" w:color="auto" w:sz="4" w:space="0"/>
            </w:tcBorders>
            <w:vAlign w:val="center"/>
          </w:tcPr>
          <w:p w14:paraId="4E49F45D">
            <w:pPr>
              <w:spacing w:line="240" w:lineRule="auto"/>
              <w:ind w:firstLine="0" w:firstLineChars="0"/>
              <w:jc w:val="righ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-74930</wp:posOffset>
                      </wp:positionH>
                      <wp:positionV relativeFrom="paragraph">
                        <wp:posOffset>-13335</wp:posOffset>
                      </wp:positionV>
                      <wp:extent cx="1028700" cy="447675"/>
                      <wp:effectExtent l="0" t="0" r="19050" b="28575"/>
                      <wp:wrapNone/>
                      <wp:docPr id="60" name="直接连接符 60"/>
                      <wp:cNvGraphicFramePr/>
                      <a:graphic xmlns:a="http://schemas.openxmlformats.org/drawingml/2006/main">
                        <a:graphicData uri="http://schemas.microsoft.com/office/word/2010/wordprocessingShape">
                          <wps:wsp>
                            <wps:cNvCnPr/>
                            <wps:spPr>
                              <a:xfrm>
                                <a:off x="0" y="0"/>
                                <a:ext cx="10287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pt;margin-top:-1.05pt;height:35.25pt;width:81pt;z-index:251665408;mso-width-relative:page;mso-height-relative:page;" filled="f" stroked="t" coordsize="21600,21600" o:gfxdata="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gY2z9cA&#10;AAAJAQAADwAAAAAAAAABACAAAAAiAAAAZHJzL2Rvd25yZXYueG1sUEsBAhQAFAAAAAgAh07iQEcf&#10;HAznAQAAuAMAAA4AAAAAAAAAAQAgAAAAJgEAAGRycy9lMm9Eb2MueG1sUEsFBgAAAAAGAAYAWQEA&#10;AH8FAAAAAA==&#10;">
                      <v:fill on="f" focussize="0,0"/>
                      <v:stroke weight="0.5pt" color="#000000 [3213]" miterlimit="8" joinstyle="miter"/>
                      <v:imagedata o:title=""/>
                      <o:lock v:ext="edit" aspectratio="f"/>
                    </v:line>
                  </w:pict>
                </mc:Fallback>
              </mc:AlternateContent>
            </w:r>
            <w:r>
              <w:rPr>
                <w:rFonts w:cs="Times New Roman"/>
                <w:color w:val="000000" w:themeColor="text1"/>
                <w:szCs w:val="21"/>
                <w14:textFill>
                  <w14:solidFill>
                    <w14:schemeClr w14:val="tx1"/>
                  </w14:solidFill>
                </w14:textFill>
              </w:rPr>
              <w:t>指标</w:t>
            </w:r>
          </w:p>
          <w:p w14:paraId="7B3234F8">
            <w:pPr>
              <w:spacing w:line="240" w:lineRule="auto"/>
              <w:ind w:firstLine="0" w:firstLineChars="0"/>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处理单元      处理效率</w:t>
            </w:r>
          </w:p>
        </w:tc>
        <w:tc>
          <w:tcPr>
            <w:tcW w:w="577" w:type="pct"/>
            <w:vAlign w:val="center"/>
          </w:tcPr>
          <w:p w14:paraId="768AFF5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625" w:type="pct"/>
            <w:vAlign w:val="center"/>
          </w:tcPr>
          <w:p w14:paraId="48A5170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BOD</w:t>
            </w:r>
            <w:r>
              <w:rPr>
                <w:rFonts w:cs="Times New Roman"/>
                <w:color w:val="000000" w:themeColor="text1"/>
                <w:szCs w:val="21"/>
                <w:vertAlign w:val="subscript"/>
                <w14:textFill>
                  <w14:solidFill>
                    <w14:schemeClr w14:val="tx1"/>
                  </w14:solidFill>
                </w14:textFill>
              </w:rPr>
              <w:t>5</w:t>
            </w:r>
          </w:p>
        </w:tc>
        <w:tc>
          <w:tcPr>
            <w:tcW w:w="556" w:type="pct"/>
            <w:vAlign w:val="center"/>
          </w:tcPr>
          <w:p w14:paraId="5CA8B70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SS</w:t>
            </w:r>
          </w:p>
        </w:tc>
        <w:tc>
          <w:tcPr>
            <w:tcW w:w="681" w:type="pct"/>
            <w:vAlign w:val="center"/>
          </w:tcPr>
          <w:p w14:paraId="5F1C86E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NH</w:t>
            </w:r>
            <w:r>
              <w:rPr>
                <w:rFonts w:cs="Times New Roman"/>
                <w:color w:val="000000" w:themeColor="text1"/>
                <w:szCs w:val="21"/>
                <w:vertAlign w:val="subscript"/>
                <w14:textFill>
                  <w14:solidFill>
                    <w14:schemeClr w14:val="tx1"/>
                  </w14:solidFill>
                </w14:textFill>
              </w:rPr>
              <w:t>3</w:t>
            </w:r>
            <w:r>
              <w:rPr>
                <w:rFonts w:cs="Times New Roman"/>
                <w:color w:val="000000" w:themeColor="text1"/>
                <w:szCs w:val="21"/>
                <w14:textFill>
                  <w14:solidFill>
                    <w14:schemeClr w14:val="tx1"/>
                  </w14:solidFill>
                </w14:textFill>
              </w:rPr>
              <w:t>-N</w:t>
            </w:r>
          </w:p>
        </w:tc>
        <w:tc>
          <w:tcPr>
            <w:tcW w:w="452" w:type="pct"/>
            <w:vAlign w:val="center"/>
          </w:tcPr>
          <w:p w14:paraId="5BAEEC5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TP</w:t>
            </w:r>
          </w:p>
        </w:tc>
      </w:tr>
      <w:tr w14:paraId="7EF8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Merge w:val="continue"/>
            <w:tcBorders>
              <w:tl2br w:val="single" w:color="auto" w:sz="4" w:space="0"/>
            </w:tcBorders>
            <w:vAlign w:val="center"/>
          </w:tcPr>
          <w:p w14:paraId="16A4576A">
            <w:pPr>
              <w:spacing w:line="240" w:lineRule="auto"/>
              <w:ind w:firstLine="0" w:firstLineChars="0"/>
              <w:jc w:val="center"/>
              <w:rPr>
                <w:rFonts w:cs="Times New Roman"/>
                <w:color w:val="000000" w:themeColor="text1"/>
                <w:szCs w:val="21"/>
                <w14:textFill>
                  <w14:solidFill>
                    <w14:schemeClr w14:val="tx1"/>
                  </w14:solidFill>
                </w14:textFill>
              </w:rPr>
            </w:pPr>
          </w:p>
        </w:tc>
        <w:tc>
          <w:tcPr>
            <w:tcW w:w="577" w:type="pct"/>
            <w:vAlign w:val="center"/>
          </w:tcPr>
          <w:p w14:paraId="2C24EC0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350</w:t>
            </w:r>
          </w:p>
        </w:tc>
        <w:tc>
          <w:tcPr>
            <w:tcW w:w="625" w:type="pct"/>
            <w:vAlign w:val="center"/>
          </w:tcPr>
          <w:p w14:paraId="5BB105C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150</w:t>
            </w:r>
          </w:p>
        </w:tc>
        <w:tc>
          <w:tcPr>
            <w:tcW w:w="556" w:type="pct"/>
            <w:vAlign w:val="center"/>
          </w:tcPr>
          <w:p w14:paraId="64E183B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250</w:t>
            </w:r>
          </w:p>
        </w:tc>
        <w:tc>
          <w:tcPr>
            <w:tcW w:w="681" w:type="pct"/>
            <w:vAlign w:val="center"/>
          </w:tcPr>
          <w:p w14:paraId="09D727E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w:t>
            </w:r>
          </w:p>
        </w:tc>
        <w:tc>
          <w:tcPr>
            <w:tcW w:w="452" w:type="pct"/>
            <w:vAlign w:val="center"/>
          </w:tcPr>
          <w:p w14:paraId="2764F6AC">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r>
      <w:tr w14:paraId="3AA9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6B572B3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格栅</w:t>
            </w:r>
          </w:p>
        </w:tc>
        <w:tc>
          <w:tcPr>
            <w:tcW w:w="1403" w:type="pct"/>
            <w:vAlign w:val="center"/>
          </w:tcPr>
          <w:p w14:paraId="4EBAFA4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1573969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25" w:type="pct"/>
            <w:vAlign w:val="center"/>
          </w:tcPr>
          <w:p w14:paraId="2006CA5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46AE9E1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681" w:type="pct"/>
            <w:vAlign w:val="center"/>
          </w:tcPr>
          <w:p w14:paraId="3AAAB8B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452" w:type="pct"/>
            <w:vAlign w:val="center"/>
          </w:tcPr>
          <w:p w14:paraId="1BDBD2B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r>
      <w:tr w14:paraId="63F6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4488F594">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7F765F3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40C9B52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280</w:t>
            </w:r>
          </w:p>
        </w:tc>
        <w:tc>
          <w:tcPr>
            <w:tcW w:w="625" w:type="pct"/>
            <w:vAlign w:val="center"/>
          </w:tcPr>
          <w:p w14:paraId="4893CCE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120</w:t>
            </w:r>
          </w:p>
        </w:tc>
        <w:tc>
          <w:tcPr>
            <w:tcW w:w="556" w:type="pct"/>
            <w:vAlign w:val="center"/>
          </w:tcPr>
          <w:p w14:paraId="5E962F5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125</w:t>
            </w:r>
          </w:p>
        </w:tc>
        <w:tc>
          <w:tcPr>
            <w:tcW w:w="681" w:type="pct"/>
            <w:vAlign w:val="center"/>
          </w:tcPr>
          <w:p w14:paraId="41040DA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24</w:t>
            </w:r>
          </w:p>
        </w:tc>
        <w:tc>
          <w:tcPr>
            <w:tcW w:w="452" w:type="pct"/>
            <w:vAlign w:val="center"/>
          </w:tcPr>
          <w:p w14:paraId="39B3292D">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3.80</w:t>
            </w:r>
          </w:p>
        </w:tc>
      </w:tr>
      <w:tr w14:paraId="29F3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75C9E3A1">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初沉池</w:t>
            </w:r>
          </w:p>
        </w:tc>
        <w:tc>
          <w:tcPr>
            <w:tcW w:w="1403" w:type="pct"/>
            <w:vAlign w:val="center"/>
          </w:tcPr>
          <w:p w14:paraId="00366E9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4AB4BBC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625" w:type="pct"/>
            <w:vAlign w:val="center"/>
          </w:tcPr>
          <w:p w14:paraId="54C87A4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w:t>
            </w:r>
          </w:p>
        </w:tc>
        <w:tc>
          <w:tcPr>
            <w:tcW w:w="556" w:type="pct"/>
            <w:vAlign w:val="center"/>
          </w:tcPr>
          <w:p w14:paraId="4450356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09060A6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452" w:type="pct"/>
            <w:vAlign w:val="center"/>
          </w:tcPr>
          <w:p w14:paraId="2562C1B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728D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52642B83">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6724580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1796671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238</w:t>
            </w:r>
          </w:p>
        </w:tc>
        <w:tc>
          <w:tcPr>
            <w:tcW w:w="625" w:type="pct"/>
            <w:vAlign w:val="center"/>
          </w:tcPr>
          <w:p w14:paraId="275C761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102</w:t>
            </w:r>
          </w:p>
        </w:tc>
        <w:tc>
          <w:tcPr>
            <w:tcW w:w="556" w:type="pct"/>
            <w:vAlign w:val="center"/>
          </w:tcPr>
          <w:p w14:paraId="6564DE6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81" w:type="pct"/>
            <w:vAlign w:val="center"/>
          </w:tcPr>
          <w:p w14:paraId="14F9A80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14.4</w:t>
            </w:r>
          </w:p>
        </w:tc>
        <w:tc>
          <w:tcPr>
            <w:tcW w:w="452" w:type="pct"/>
            <w:vAlign w:val="center"/>
          </w:tcPr>
          <w:p w14:paraId="14E36984">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3.04</w:t>
            </w:r>
          </w:p>
        </w:tc>
      </w:tr>
      <w:tr w14:paraId="15A6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44BADBF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A/O池</w:t>
            </w:r>
          </w:p>
        </w:tc>
        <w:tc>
          <w:tcPr>
            <w:tcW w:w="1403" w:type="pct"/>
            <w:vAlign w:val="center"/>
          </w:tcPr>
          <w:p w14:paraId="6F638E5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281F699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75</w:t>
            </w:r>
          </w:p>
        </w:tc>
        <w:tc>
          <w:tcPr>
            <w:tcW w:w="625" w:type="pct"/>
            <w:vAlign w:val="center"/>
          </w:tcPr>
          <w:p w14:paraId="4D7EAB4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85</w:t>
            </w:r>
          </w:p>
        </w:tc>
        <w:tc>
          <w:tcPr>
            <w:tcW w:w="556" w:type="pct"/>
            <w:vAlign w:val="center"/>
          </w:tcPr>
          <w:p w14:paraId="7A56E11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40</w:t>
            </w:r>
          </w:p>
        </w:tc>
        <w:tc>
          <w:tcPr>
            <w:tcW w:w="681" w:type="pct"/>
            <w:vAlign w:val="center"/>
          </w:tcPr>
          <w:p w14:paraId="2518920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50</w:t>
            </w:r>
          </w:p>
        </w:tc>
        <w:tc>
          <w:tcPr>
            <w:tcW w:w="452" w:type="pct"/>
            <w:vAlign w:val="center"/>
          </w:tcPr>
          <w:p w14:paraId="0577AD7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r>
      <w:tr w14:paraId="5383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1100E49D">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09F69059">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6D4FF80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59.5</w:t>
            </w:r>
          </w:p>
        </w:tc>
        <w:tc>
          <w:tcPr>
            <w:tcW w:w="625" w:type="pct"/>
            <w:vAlign w:val="center"/>
          </w:tcPr>
          <w:p w14:paraId="0CE92D9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15.3</w:t>
            </w:r>
          </w:p>
        </w:tc>
        <w:tc>
          <w:tcPr>
            <w:tcW w:w="556" w:type="pct"/>
            <w:vAlign w:val="center"/>
          </w:tcPr>
          <w:p w14:paraId="713D85A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45.0</w:t>
            </w:r>
          </w:p>
        </w:tc>
        <w:tc>
          <w:tcPr>
            <w:tcW w:w="681" w:type="pct"/>
            <w:vAlign w:val="center"/>
          </w:tcPr>
          <w:p w14:paraId="48FF4CB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7.2</w:t>
            </w:r>
          </w:p>
        </w:tc>
        <w:tc>
          <w:tcPr>
            <w:tcW w:w="452" w:type="pct"/>
            <w:vAlign w:val="center"/>
          </w:tcPr>
          <w:p w14:paraId="28362F1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1.22</w:t>
            </w:r>
          </w:p>
        </w:tc>
      </w:tr>
      <w:tr w14:paraId="0081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vAlign w:val="center"/>
          </w:tcPr>
          <w:p w14:paraId="2D283C03">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二沉池</w:t>
            </w:r>
          </w:p>
        </w:tc>
        <w:tc>
          <w:tcPr>
            <w:tcW w:w="1403" w:type="pct"/>
            <w:vAlign w:val="center"/>
          </w:tcPr>
          <w:p w14:paraId="120BBF0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处理效率（%）</w:t>
            </w:r>
          </w:p>
        </w:tc>
        <w:tc>
          <w:tcPr>
            <w:tcW w:w="577" w:type="pct"/>
            <w:vAlign w:val="center"/>
          </w:tcPr>
          <w:p w14:paraId="69BE4C37">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625" w:type="pct"/>
            <w:vAlign w:val="center"/>
          </w:tcPr>
          <w:p w14:paraId="20C9C950">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556" w:type="pct"/>
            <w:vAlign w:val="center"/>
          </w:tcPr>
          <w:p w14:paraId="5E34B0D8">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81" w:type="pct"/>
            <w:vAlign w:val="center"/>
          </w:tcPr>
          <w:p w14:paraId="157AA95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w:t>
            </w:r>
          </w:p>
        </w:tc>
        <w:tc>
          <w:tcPr>
            <w:tcW w:w="452" w:type="pct"/>
            <w:vAlign w:val="center"/>
          </w:tcPr>
          <w:p w14:paraId="3D334A5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r>
      <w:tr w14:paraId="500D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vAlign w:val="center"/>
          </w:tcPr>
          <w:p w14:paraId="30B7B38D">
            <w:pPr>
              <w:spacing w:line="240" w:lineRule="auto"/>
              <w:ind w:firstLine="0" w:firstLineChars="0"/>
              <w:jc w:val="center"/>
              <w:rPr>
                <w:rFonts w:cs="Times New Roman"/>
                <w:color w:val="000000" w:themeColor="text1"/>
                <w:szCs w:val="21"/>
                <w14:textFill>
                  <w14:solidFill>
                    <w14:schemeClr w14:val="tx1"/>
                  </w14:solidFill>
                </w14:textFill>
              </w:rPr>
            </w:pPr>
          </w:p>
        </w:tc>
        <w:tc>
          <w:tcPr>
            <w:tcW w:w="1403" w:type="pct"/>
            <w:vAlign w:val="center"/>
          </w:tcPr>
          <w:p w14:paraId="3DE26F8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出水浓度（mg/l）</w:t>
            </w:r>
          </w:p>
        </w:tc>
        <w:tc>
          <w:tcPr>
            <w:tcW w:w="577" w:type="pct"/>
            <w:vAlign w:val="center"/>
          </w:tcPr>
          <w:p w14:paraId="79DC714E">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56.5</w:t>
            </w:r>
          </w:p>
        </w:tc>
        <w:tc>
          <w:tcPr>
            <w:tcW w:w="625" w:type="pct"/>
            <w:vAlign w:val="center"/>
          </w:tcPr>
          <w:p w14:paraId="59D3F1F2">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14.5</w:t>
            </w:r>
          </w:p>
        </w:tc>
        <w:tc>
          <w:tcPr>
            <w:tcW w:w="556" w:type="pct"/>
            <w:vAlign w:val="center"/>
          </w:tcPr>
          <w:p w14:paraId="759BF3D5">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18.0</w:t>
            </w:r>
          </w:p>
        </w:tc>
        <w:tc>
          <w:tcPr>
            <w:tcW w:w="681" w:type="pct"/>
            <w:vAlign w:val="center"/>
          </w:tcPr>
          <w:p w14:paraId="6852F71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6.8</w:t>
            </w:r>
          </w:p>
        </w:tc>
        <w:tc>
          <w:tcPr>
            <w:tcW w:w="452" w:type="pct"/>
            <w:vAlign w:val="center"/>
          </w:tcPr>
          <w:p w14:paraId="514D36B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0.97</w:t>
            </w:r>
          </w:p>
        </w:tc>
      </w:tr>
      <w:tr w14:paraId="672E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9" w:type="pct"/>
            <w:gridSpan w:val="2"/>
            <w:vAlign w:val="center"/>
          </w:tcPr>
          <w:p w14:paraId="145FDE2F">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一级B标准</w:t>
            </w:r>
          </w:p>
        </w:tc>
        <w:tc>
          <w:tcPr>
            <w:tcW w:w="577" w:type="pct"/>
            <w:vAlign w:val="center"/>
          </w:tcPr>
          <w:p w14:paraId="6309538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≤60</w:t>
            </w:r>
          </w:p>
        </w:tc>
        <w:tc>
          <w:tcPr>
            <w:tcW w:w="625" w:type="pct"/>
            <w:vAlign w:val="center"/>
          </w:tcPr>
          <w:p w14:paraId="536B48F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556" w:type="pct"/>
            <w:vAlign w:val="center"/>
          </w:tcPr>
          <w:p w14:paraId="776898CA">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681" w:type="pct"/>
            <w:vAlign w:val="center"/>
          </w:tcPr>
          <w:p w14:paraId="2AB0A9AB">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≤8</w:t>
            </w:r>
          </w:p>
        </w:tc>
        <w:tc>
          <w:tcPr>
            <w:tcW w:w="452" w:type="pct"/>
            <w:vAlign w:val="center"/>
          </w:tcPr>
          <w:p w14:paraId="0C4F6A76">
            <w:pPr>
              <w:spacing w:line="240" w:lineRule="auto"/>
              <w:ind w:firstLine="0" w:firstLineChars="0"/>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≤1.0</w:t>
            </w:r>
          </w:p>
        </w:tc>
      </w:tr>
    </w:tbl>
    <w:p w14:paraId="375F3FE9">
      <w:pPr>
        <w:spacing w:before="156" w:beforeLines="50"/>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本项目工艺，具有良好的去除COD、脱氮除磷效果，排放</w:t>
      </w:r>
      <w:r>
        <w:rPr>
          <w:rFonts w:hint="eastAsia"/>
          <w:color w:val="000000" w:themeColor="text1"/>
          <w:lang w:val="zh-CN"/>
          <w14:textFill>
            <w14:solidFill>
              <w14:schemeClr w14:val="tx1"/>
            </w14:solidFill>
          </w14:textFill>
        </w:rPr>
        <w:t>尾水</w:t>
      </w:r>
      <w:r>
        <w:rPr>
          <w:color w:val="000000" w:themeColor="text1"/>
          <w:lang w:val="zh-CN"/>
          <w14:textFill>
            <w14:solidFill>
              <w14:schemeClr w14:val="tx1"/>
            </w14:solidFill>
          </w14:textFill>
        </w:rPr>
        <w:t>能够达到《城镇污水处理厂污染物排放标准》（GB 18918-2002）－2002）一级B标准</w:t>
      </w:r>
      <w:r>
        <w:rPr>
          <w:rFonts w:hint="eastAsia"/>
          <w:color w:val="000000" w:themeColor="text1"/>
          <w:lang w:val="zh-CN"/>
          <w14:textFill>
            <w14:solidFill>
              <w14:schemeClr w14:val="tx1"/>
            </w14:solidFill>
          </w14:textFill>
        </w:rPr>
        <w:t>。</w:t>
      </w:r>
    </w:p>
    <w:p w14:paraId="481D992E">
      <w:pPr>
        <w:ind w:firstLine="480"/>
      </w:pPr>
    </w:p>
    <w:p w14:paraId="618BF789">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BB357B4">
      <w:pPr>
        <w:pStyle w:val="43"/>
        <w:ind w:left="0" w:firstLine="0"/>
        <w:rPr>
          <w:color w:val="000000" w:themeColor="text1"/>
          <w14:textFill>
            <w14:solidFill>
              <w14:schemeClr w14:val="tx1"/>
            </w14:solidFill>
          </w14:textFill>
        </w:rPr>
      </w:pPr>
      <w:r>
        <w:t>水生态环境现状调查分析</w:t>
      </w:r>
    </w:p>
    <w:p w14:paraId="5A9989B3">
      <w:pPr>
        <w:pStyle w:val="61"/>
        <w:spacing w:before="312"/>
      </w:pPr>
      <w:bookmarkStart w:id="15" w:name="_Toc184805672"/>
      <w:r>
        <w:t xml:space="preserve">4.1 </w:t>
      </w:r>
      <w:r>
        <w:rPr>
          <w:rFonts w:hint="eastAsia"/>
        </w:rPr>
        <w:t>论证范围现有入河排污口调查分析</w:t>
      </w:r>
    </w:p>
    <w:p w14:paraId="238103DF">
      <w:pPr>
        <w:pStyle w:val="45"/>
        <w:rPr>
          <w:color w:val="000000" w:themeColor="text1"/>
          <w14:textFill>
            <w14:solidFill>
              <w14:schemeClr w14:val="tx1"/>
            </w14:solidFill>
          </w14:textFill>
        </w:rPr>
      </w:pPr>
      <w:r>
        <w:rPr>
          <w:color w:val="000000" w:themeColor="text1"/>
          <w14:textFill>
            <w14:solidFill>
              <w14:schemeClr w14:val="tx1"/>
            </w14:solidFill>
          </w14:textFill>
        </w:rPr>
        <w:t xml:space="preserve">4.1.1 </w:t>
      </w:r>
      <w:r>
        <w:t>论证范围内现有</w:t>
      </w:r>
      <w:r>
        <w:rPr>
          <w:rFonts w:hint="eastAsia"/>
          <w:color w:val="000000" w:themeColor="text1"/>
          <w14:textFill>
            <w14:solidFill>
              <w14:schemeClr w14:val="tx1"/>
            </w14:solidFill>
          </w14:textFill>
        </w:rPr>
        <w:t>取水状况</w:t>
      </w:r>
    </w:p>
    <w:p w14:paraId="2A27779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论证项目位于</w:t>
      </w:r>
      <w:r>
        <w:rPr>
          <w:rFonts w:hint="eastAsia" w:cs="Times New Roman"/>
          <w:color w:val="000000" w:themeColor="text1"/>
          <w14:textFill>
            <w14:solidFill>
              <w14:schemeClr w14:val="tx1"/>
            </w14:solidFill>
          </w14:textFill>
        </w:rPr>
        <w:t>郁江右岸，污水处理厂</w:t>
      </w:r>
      <w:r>
        <w:rPr>
          <w:rFonts w:cs="Times New Roman"/>
          <w:color w:val="000000" w:themeColor="text1"/>
          <w14:textFill>
            <w14:solidFill>
              <w14:schemeClr w14:val="tx1"/>
            </w14:solidFill>
          </w14:textFill>
        </w:rPr>
        <w:t>厂区</w:t>
      </w:r>
      <w:r>
        <w:rPr>
          <w:rFonts w:hint="eastAsia" w:cs="Times New Roman"/>
          <w:color w:val="000000" w:themeColor="text1"/>
          <w14:textFill>
            <w14:solidFill>
              <w14:schemeClr w14:val="tx1"/>
            </w14:solidFill>
          </w14:textFill>
        </w:rPr>
        <w:t>南侧冲沟，</w:t>
      </w:r>
      <w:r>
        <w:rPr>
          <w:rFonts w:cs="Times New Roman"/>
          <w:color w:val="000000" w:themeColor="text1"/>
          <w14:textFill>
            <w14:solidFill>
              <w14:schemeClr w14:val="tx1"/>
            </w14:solidFill>
          </w14:textFill>
        </w:rPr>
        <w:t>排污口所在</w:t>
      </w:r>
      <w:r>
        <w:rPr>
          <w:rFonts w:hint="eastAsia" w:cs="Times New Roman"/>
          <w:color w:val="000000" w:themeColor="text1"/>
          <w14:textFill>
            <w14:solidFill>
              <w14:schemeClr w14:val="tx1"/>
            </w14:solidFill>
          </w14:textFill>
        </w:rPr>
        <w:t>一</w:t>
      </w:r>
      <w:r>
        <w:rPr>
          <w:rFonts w:cs="Times New Roman"/>
          <w:color w:val="000000" w:themeColor="text1"/>
          <w14:textFill>
            <w14:solidFill>
              <w14:schemeClr w14:val="tx1"/>
            </w14:solidFill>
          </w14:textFill>
        </w:rPr>
        <w:t>级水功能区为</w:t>
      </w:r>
      <w:r>
        <w:rPr>
          <w:rFonts w:hint="eastAsia" w:cs="Times New Roman"/>
          <w:color w:val="000000" w:themeColor="text1"/>
          <w14:textFill>
            <w14:solidFill>
              <w14:schemeClr w14:val="tx1"/>
            </w14:solidFill>
          </w14:textFill>
        </w:rPr>
        <w:t>“郁江彭水保家镇开发利用区”，二</w:t>
      </w:r>
      <w:r>
        <w:rPr>
          <w:rFonts w:cs="Times New Roman"/>
          <w:color w:val="000000" w:themeColor="text1"/>
          <w14:textFill>
            <w14:solidFill>
              <w14:schemeClr w14:val="tx1"/>
            </w14:solidFill>
          </w14:textFill>
        </w:rPr>
        <w:t>级水功能区为</w:t>
      </w:r>
      <w:r>
        <w:rPr>
          <w:rFonts w:hint="eastAsia" w:cs="Times New Roman"/>
          <w:color w:val="000000" w:themeColor="text1"/>
          <w14:textFill>
            <w14:solidFill>
              <w14:schemeClr w14:val="tx1"/>
            </w14:solidFill>
          </w14:textFill>
        </w:rPr>
        <w:t>“郁江彭水保家镇景观娱乐、饮用水源区”。根据资料查阅和现场踏勘，</w:t>
      </w:r>
      <w:r>
        <w:rPr>
          <w:rFonts w:cs="Times New Roman"/>
          <w:color w:val="000000" w:themeColor="text1"/>
          <w14:textFill>
            <w14:solidFill>
              <w14:schemeClr w14:val="tx1"/>
            </w14:solidFill>
          </w14:textFill>
        </w:rPr>
        <w:t>在论证范围内</w:t>
      </w:r>
      <w:r>
        <w:rPr>
          <w:rFonts w:hint="eastAsia" w:cs="Times New Roman"/>
          <w:color w:val="000000" w:themeColor="text1"/>
          <w14:textFill>
            <w14:solidFill>
              <w14:schemeClr w14:val="tx1"/>
            </w14:solidFill>
          </w14:textFill>
        </w:rPr>
        <w:t>有以下取水口。具体位置关系见附图</w:t>
      </w:r>
      <w:r>
        <w:rPr>
          <w:rFonts w:cs="Times New Roman"/>
          <w:color w:val="000000" w:themeColor="text1"/>
          <w14:textFill>
            <w14:solidFill>
              <w14:schemeClr w14:val="tx1"/>
            </w14:solidFill>
          </w14:textFill>
        </w:rPr>
        <w:t>6</w:t>
      </w:r>
      <w:r>
        <w:rPr>
          <w:rFonts w:hint="eastAsia" w:cs="Times New Roman"/>
          <w:color w:val="000000" w:themeColor="text1"/>
          <w14:textFill>
            <w14:solidFill>
              <w14:schemeClr w14:val="tx1"/>
            </w14:solidFill>
          </w14:textFill>
        </w:rPr>
        <w:t>。</w:t>
      </w:r>
    </w:p>
    <w:p w14:paraId="7870FBB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表4.1.1  郁江干流沿线取水口统计表</w:t>
      </w:r>
    </w:p>
    <w:tbl>
      <w:tblPr>
        <w:tblStyle w:val="30"/>
        <w:tblW w:w="51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221"/>
        <w:gridCol w:w="1602"/>
        <w:gridCol w:w="1310"/>
        <w:gridCol w:w="1457"/>
        <w:gridCol w:w="1457"/>
      </w:tblGrid>
      <w:tr w14:paraId="07E5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669" w:type="dxa"/>
            <w:shd w:val="clear" w:color="auto" w:fill="auto"/>
            <w:vAlign w:val="center"/>
          </w:tcPr>
          <w:p w14:paraId="3B9E761A">
            <w:pPr>
              <w:pStyle w:val="59"/>
              <w:rPr>
                <w:b/>
                <w:color w:val="FF0000"/>
              </w:rPr>
            </w:pPr>
            <w:r>
              <w:rPr>
                <w:b/>
                <w:color w:val="FF0000"/>
              </w:rPr>
              <w:t>序号</w:t>
            </w:r>
          </w:p>
        </w:tc>
        <w:tc>
          <w:tcPr>
            <w:tcW w:w="2162" w:type="dxa"/>
            <w:shd w:val="clear" w:color="auto" w:fill="auto"/>
            <w:vAlign w:val="center"/>
          </w:tcPr>
          <w:p w14:paraId="7BB1A4CC">
            <w:pPr>
              <w:pStyle w:val="59"/>
              <w:rPr>
                <w:b/>
                <w:color w:val="FF0000"/>
              </w:rPr>
            </w:pPr>
            <w:r>
              <w:rPr>
                <w:b/>
                <w:color w:val="FF0000"/>
              </w:rPr>
              <w:t>引提水工程名称</w:t>
            </w:r>
          </w:p>
        </w:tc>
        <w:tc>
          <w:tcPr>
            <w:tcW w:w="1560" w:type="dxa"/>
            <w:shd w:val="clear" w:color="auto" w:fill="auto"/>
            <w:vAlign w:val="center"/>
          </w:tcPr>
          <w:p w14:paraId="6C1DD381">
            <w:pPr>
              <w:pStyle w:val="59"/>
              <w:rPr>
                <w:b/>
                <w:color w:val="FF0000"/>
              </w:rPr>
            </w:pPr>
            <w:r>
              <w:rPr>
                <w:rFonts w:hint="eastAsia"/>
                <w:b/>
                <w:color w:val="FF0000"/>
              </w:rPr>
              <w:t>地址</w:t>
            </w:r>
          </w:p>
        </w:tc>
        <w:tc>
          <w:tcPr>
            <w:tcW w:w="1275" w:type="dxa"/>
            <w:shd w:val="clear" w:color="auto" w:fill="auto"/>
            <w:vAlign w:val="center"/>
          </w:tcPr>
          <w:p w14:paraId="4D1B0DE5">
            <w:pPr>
              <w:pStyle w:val="59"/>
              <w:rPr>
                <w:b/>
                <w:color w:val="FF0000"/>
              </w:rPr>
            </w:pPr>
            <w:r>
              <w:rPr>
                <w:b/>
                <w:color w:val="FF0000"/>
              </w:rPr>
              <w:t>所在河流</w:t>
            </w:r>
          </w:p>
        </w:tc>
        <w:tc>
          <w:tcPr>
            <w:tcW w:w="1418" w:type="dxa"/>
            <w:shd w:val="clear" w:color="auto" w:fill="auto"/>
            <w:vAlign w:val="center"/>
          </w:tcPr>
          <w:p w14:paraId="052BF6B3">
            <w:pPr>
              <w:pStyle w:val="59"/>
              <w:rPr>
                <w:b/>
                <w:color w:val="FF0000"/>
              </w:rPr>
            </w:pPr>
            <w:r>
              <w:rPr>
                <w:rFonts w:hint="eastAsia"/>
                <w:b/>
                <w:color w:val="FF0000"/>
              </w:rPr>
              <w:t>用途</w:t>
            </w:r>
          </w:p>
        </w:tc>
        <w:tc>
          <w:tcPr>
            <w:tcW w:w="1418" w:type="dxa"/>
            <w:vAlign w:val="center"/>
          </w:tcPr>
          <w:p w14:paraId="0E623CEA">
            <w:pPr>
              <w:pStyle w:val="59"/>
              <w:rPr>
                <w:b/>
                <w:color w:val="FF0000"/>
              </w:rPr>
            </w:pPr>
            <w:r>
              <w:rPr>
                <w:rFonts w:hint="eastAsia"/>
                <w:b/>
                <w:color w:val="FF0000"/>
              </w:rPr>
              <w:t>取水利用量</w:t>
            </w:r>
          </w:p>
        </w:tc>
      </w:tr>
      <w:tr w14:paraId="26E1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shd w:val="clear" w:color="auto" w:fill="auto"/>
            <w:vAlign w:val="center"/>
          </w:tcPr>
          <w:p w14:paraId="2847F9C8">
            <w:pPr>
              <w:spacing w:line="240" w:lineRule="auto"/>
              <w:ind w:firstLine="0" w:firstLineChars="0"/>
              <w:jc w:val="center"/>
              <w:rPr>
                <w:rFonts w:cs="Times New Roman"/>
                <w:color w:val="FF0000"/>
                <w:sz w:val="21"/>
                <w:szCs w:val="21"/>
              </w:rPr>
            </w:pPr>
            <w:r>
              <w:rPr>
                <w:rFonts w:hint="eastAsia" w:cs="Times New Roman"/>
                <w:color w:val="FF0000"/>
                <w:sz w:val="21"/>
                <w:szCs w:val="21"/>
              </w:rPr>
              <w:t>1</w:t>
            </w:r>
          </w:p>
        </w:tc>
        <w:tc>
          <w:tcPr>
            <w:tcW w:w="2162" w:type="dxa"/>
            <w:shd w:val="clear" w:color="auto" w:fill="auto"/>
            <w:vAlign w:val="center"/>
          </w:tcPr>
          <w:p w14:paraId="13ACCF4C">
            <w:pPr>
              <w:spacing w:line="240" w:lineRule="auto"/>
              <w:ind w:firstLine="0" w:firstLineChars="0"/>
              <w:jc w:val="center"/>
              <w:rPr>
                <w:rFonts w:cs="Times New Roman"/>
                <w:color w:val="FF0000"/>
                <w:sz w:val="21"/>
                <w:szCs w:val="21"/>
              </w:rPr>
            </w:pPr>
            <w:r>
              <w:rPr>
                <w:rFonts w:cs="Times New Roman"/>
                <w:color w:val="FF0000"/>
                <w:sz w:val="21"/>
                <w:szCs w:val="21"/>
              </w:rPr>
              <w:t>保家</w:t>
            </w:r>
            <w:r>
              <w:rPr>
                <w:rFonts w:hint="eastAsia" w:cs="Times New Roman"/>
                <w:color w:val="FF0000"/>
                <w:sz w:val="21"/>
                <w:szCs w:val="21"/>
              </w:rPr>
              <w:t>镇自来水厂</w:t>
            </w:r>
          </w:p>
        </w:tc>
        <w:tc>
          <w:tcPr>
            <w:tcW w:w="1560" w:type="dxa"/>
            <w:shd w:val="clear" w:color="auto" w:fill="auto"/>
            <w:vAlign w:val="center"/>
          </w:tcPr>
          <w:p w14:paraId="5AB811CD">
            <w:pPr>
              <w:spacing w:line="240" w:lineRule="auto"/>
              <w:ind w:firstLine="0" w:firstLineChars="0"/>
              <w:jc w:val="center"/>
              <w:rPr>
                <w:rFonts w:cs="Times New Roman"/>
                <w:color w:val="FF0000"/>
                <w:sz w:val="21"/>
                <w:szCs w:val="21"/>
              </w:rPr>
            </w:pPr>
            <w:r>
              <w:rPr>
                <w:rFonts w:cs="Times New Roman"/>
                <w:color w:val="FF0000"/>
                <w:sz w:val="21"/>
                <w:szCs w:val="21"/>
              </w:rPr>
              <w:t>保家镇</w:t>
            </w:r>
          </w:p>
        </w:tc>
        <w:tc>
          <w:tcPr>
            <w:tcW w:w="1275" w:type="dxa"/>
            <w:shd w:val="clear" w:color="auto" w:fill="auto"/>
            <w:vAlign w:val="center"/>
          </w:tcPr>
          <w:p w14:paraId="714DC7F7">
            <w:pPr>
              <w:spacing w:line="240" w:lineRule="auto"/>
              <w:ind w:firstLine="0" w:firstLineChars="0"/>
              <w:jc w:val="center"/>
              <w:rPr>
                <w:rFonts w:cs="Times New Roman"/>
                <w:color w:val="FF0000"/>
                <w:sz w:val="21"/>
                <w:szCs w:val="21"/>
              </w:rPr>
            </w:pPr>
            <w:r>
              <w:rPr>
                <w:rFonts w:cs="Times New Roman"/>
                <w:color w:val="FF0000"/>
                <w:sz w:val="21"/>
                <w:szCs w:val="21"/>
              </w:rPr>
              <w:t>郁江</w:t>
            </w:r>
          </w:p>
        </w:tc>
        <w:tc>
          <w:tcPr>
            <w:tcW w:w="1418" w:type="dxa"/>
            <w:shd w:val="clear" w:color="auto" w:fill="auto"/>
            <w:vAlign w:val="center"/>
          </w:tcPr>
          <w:p w14:paraId="04B6E1C8">
            <w:pPr>
              <w:spacing w:line="240" w:lineRule="auto"/>
              <w:ind w:firstLine="0" w:firstLineChars="0"/>
              <w:jc w:val="center"/>
              <w:rPr>
                <w:rFonts w:cs="Times New Roman"/>
                <w:color w:val="FF0000"/>
                <w:sz w:val="21"/>
                <w:szCs w:val="21"/>
              </w:rPr>
            </w:pPr>
            <w:r>
              <w:rPr>
                <w:rFonts w:hint="eastAsia" w:cs="Times New Roman"/>
                <w:color w:val="FF0000"/>
                <w:sz w:val="21"/>
                <w:szCs w:val="21"/>
              </w:rPr>
              <w:t>生活用水</w:t>
            </w:r>
          </w:p>
        </w:tc>
        <w:tc>
          <w:tcPr>
            <w:tcW w:w="1418" w:type="dxa"/>
            <w:vAlign w:val="center"/>
          </w:tcPr>
          <w:p w14:paraId="04D8874D">
            <w:pPr>
              <w:pStyle w:val="124"/>
              <w:rPr>
                <w:rFonts w:ascii="Times New Roman" w:hAnsi="Times New Roman"/>
                <w:color w:val="FF0000"/>
              </w:rPr>
            </w:pPr>
            <w:r>
              <w:rPr>
                <w:rFonts w:ascii="Times New Roman" w:hAnsi="Times New Roman"/>
                <w:color w:val="FF0000"/>
              </w:rPr>
              <w:t>已取消</w:t>
            </w:r>
          </w:p>
        </w:tc>
      </w:tr>
      <w:tr w14:paraId="4D88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shd w:val="clear" w:color="auto" w:fill="auto"/>
            <w:vAlign w:val="center"/>
          </w:tcPr>
          <w:p w14:paraId="414AB764">
            <w:pPr>
              <w:spacing w:line="240" w:lineRule="auto"/>
              <w:ind w:firstLine="0" w:firstLineChars="0"/>
              <w:jc w:val="center"/>
              <w:rPr>
                <w:rFonts w:cs="Times New Roman"/>
                <w:color w:val="FF0000"/>
                <w:sz w:val="21"/>
                <w:szCs w:val="21"/>
              </w:rPr>
            </w:pPr>
            <w:r>
              <w:rPr>
                <w:rFonts w:hint="eastAsia" w:cs="Times New Roman"/>
                <w:color w:val="FF0000"/>
                <w:sz w:val="21"/>
                <w:szCs w:val="21"/>
              </w:rPr>
              <w:t>2</w:t>
            </w:r>
          </w:p>
        </w:tc>
        <w:tc>
          <w:tcPr>
            <w:tcW w:w="2162" w:type="dxa"/>
            <w:shd w:val="clear" w:color="auto" w:fill="auto"/>
            <w:vAlign w:val="center"/>
          </w:tcPr>
          <w:p w14:paraId="262C7151">
            <w:pPr>
              <w:spacing w:line="240" w:lineRule="auto"/>
              <w:ind w:firstLine="0" w:firstLineChars="0"/>
              <w:jc w:val="center"/>
              <w:rPr>
                <w:rFonts w:cs="Times New Roman"/>
                <w:color w:val="FF0000"/>
                <w:sz w:val="21"/>
                <w:szCs w:val="21"/>
              </w:rPr>
            </w:pPr>
            <w:r>
              <w:rPr>
                <w:rFonts w:hint="eastAsia" w:cs="Times New Roman"/>
                <w:color w:val="FF0000"/>
                <w:sz w:val="21"/>
                <w:szCs w:val="21"/>
              </w:rPr>
              <w:t>郁江关口泵站取水口</w:t>
            </w:r>
          </w:p>
        </w:tc>
        <w:tc>
          <w:tcPr>
            <w:tcW w:w="1560" w:type="dxa"/>
            <w:shd w:val="clear" w:color="auto" w:fill="auto"/>
            <w:vAlign w:val="center"/>
          </w:tcPr>
          <w:p w14:paraId="6BC9457B">
            <w:pPr>
              <w:spacing w:line="240" w:lineRule="auto"/>
              <w:ind w:firstLine="0" w:firstLineChars="0"/>
              <w:jc w:val="center"/>
              <w:rPr>
                <w:rFonts w:cs="Times New Roman"/>
                <w:color w:val="FF0000"/>
                <w:sz w:val="21"/>
                <w:szCs w:val="21"/>
              </w:rPr>
            </w:pPr>
            <w:r>
              <w:rPr>
                <w:rFonts w:hint="eastAsia" w:cs="Times New Roman"/>
                <w:color w:val="FF0000"/>
                <w:sz w:val="21"/>
                <w:szCs w:val="21"/>
              </w:rPr>
              <w:t>郁江干流关口河段左岸</w:t>
            </w:r>
          </w:p>
        </w:tc>
        <w:tc>
          <w:tcPr>
            <w:tcW w:w="1275" w:type="dxa"/>
            <w:shd w:val="clear" w:color="auto" w:fill="auto"/>
            <w:vAlign w:val="center"/>
          </w:tcPr>
          <w:p w14:paraId="624CABDD">
            <w:pPr>
              <w:spacing w:line="240" w:lineRule="auto"/>
              <w:ind w:firstLine="0" w:firstLineChars="0"/>
              <w:jc w:val="center"/>
              <w:rPr>
                <w:rFonts w:cs="Times New Roman"/>
                <w:color w:val="FF0000"/>
                <w:sz w:val="21"/>
                <w:szCs w:val="21"/>
              </w:rPr>
            </w:pPr>
            <w:r>
              <w:rPr>
                <w:rFonts w:cs="Times New Roman"/>
                <w:color w:val="FF0000"/>
                <w:sz w:val="21"/>
                <w:szCs w:val="21"/>
              </w:rPr>
              <w:t>郁江</w:t>
            </w:r>
          </w:p>
        </w:tc>
        <w:tc>
          <w:tcPr>
            <w:tcW w:w="1418" w:type="dxa"/>
            <w:shd w:val="clear" w:color="auto" w:fill="auto"/>
            <w:vAlign w:val="center"/>
          </w:tcPr>
          <w:p w14:paraId="21AA3722">
            <w:pPr>
              <w:spacing w:line="240" w:lineRule="auto"/>
              <w:ind w:firstLine="0" w:firstLineChars="0"/>
              <w:jc w:val="center"/>
              <w:rPr>
                <w:rFonts w:cs="Times New Roman"/>
                <w:color w:val="FF0000"/>
                <w:sz w:val="21"/>
                <w:szCs w:val="21"/>
              </w:rPr>
            </w:pPr>
            <w:r>
              <w:rPr>
                <w:rFonts w:hint="eastAsia" w:cs="Times New Roman"/>
                <w:color w:val="FF0000"/>
                <w:sz w:val="21"/>
                <w:szCs w:val="21"/>
              </w:rPr>
              <w:t>生活用水</w:t>
            </w:r>
          </w:p>
        </w:tc>
        <w:tc>
          <w:tcPr>
            <w:tcW w:w="1418" w:type="dxa"/>
            <w:vAlign w:val="center"/>
          </w:tcPr>
          <w:p w14:paraId="68032DFB">
            <w:pPr>
              <w:pStyle w:val="124"/>
              <w:rPr>
                <w:rFonts w:ascii="Times New Roman" w:hAnsi="Times New Roman"/>
                <w:color w:val="FF0000"/>
              </w:rPr>
            </w:pPr>
            <w:r>
              <w:rPr>
                <w:rFonts w:ascii="Times New Roman" w:hAnsi="Times New Roman"/>
                <w:color w:val="FF0000"/>
              </w:rPr>
              <w:t>2万m</w:t>
            </w:r>
            <w:r>
              <w:rPr>
                <w:rFonts w:ascii="Times New Roman" w:hAnsi="Times New Roman"/>
                <w:color w:val="FF0000"/>
                <w:vertAlign w:val="superscript"/>
              </w:rPr>
              <w:t>3</w:t>
            </w:r>
            <w:r>
              <w:rPr>
                <w:rFonts w:ascii="Times New Roman" w:hAnsi="Times New Roman"/>
                <w:color w:val="FF0000"/>
              </w:rPr>
              <w:t>/d</w:t>
            </w:r>
          </w:p>
        </w:tc>
      </w:tr>
    </w:tbl>
    <w:p w14:paraId="6720A5C6">
      <w:pPr>
        <w:pStyle w:val="45"/>
        <w:rPr>
          <w:color w:val="000000" w:themeColor="text1"/>
          <w14:textFill>
            <w14:solidFill>
              <w14:schemeClr w14:val="tx1"/>
            </w14:solidFill>
          </w14:textFill>
        </w:rPr>
      </w:pPr>
      <w:r>
        <w:rPr>
          <w:color w:val="000000" w:themeColor="text1"/>
          <w14:textFill>
            <w14:solidFill>
              <w14:schemeClr w14:val="tx1"/>
            </w14:solidFill>
          </w14:textFill>
        </w:rPr>
        <w:t xml:space="preserve">4.1.2 </w:t>
      </w:r>
      <w:r>
        <w:t>论证范围内现有</w:t>
      </w:r>
      <w:r>
        <w:rPr>
          <w:rFonts w:hint="eastAsia"/>
        </w:rPr>
        <w:t>排</w:t>
      </w:r>
      <w:r>
        <w:rPr>
          <w:rFonts w:hint="eastAsia"/>
          <w:color w:val="000000" w:themeColor="text1"/>
          <w14:textFill>
            <w14:solidFill>
              <w14:schemeClr w14:val="tx1"/>
            </w14:solidFill>
          </w14:textFill>
        </w:rPr>
        <w:t>水状况</w:t>
      </w:r>
    </w:p>
    <w:p w14:paraId="00BBF788">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本次论证项目位于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color w:val="000000" w:themeColor="text1"/>
          <w14:textFill>
            <w14:solidFill>
              <w14:schemeClr w14:val="tx1"/>
            </w14:solidFill>
          </w14:textFill>
        </w:rPr>
        <w:t>排污口所在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根据资料查阅和现场踏勘，</w:t>
      </w:r>
      <w:r>
        <w:rPr>
          <w:color w:val="000000" w:themeColor="text1"/>
          <w14:textFill>
            <w14:solidFill>
              <w14:schemeClr w14:val="tx1"/>
            </w14:solidFill>
          </w14:textFill>
        </w:rPr>
        <w:t>在论证范围内</w:t>
      </w:r>
      <w:r>
        <w:rPr>
          <w:rFonts w:hint="eastAsia"/>
          <w:color w:val="000000" w:themeColor="text1"/>
          <w14:textFill>
            <w14:solidFill>
              <w14:schemeClr w14:val="tx1"/>
            </w14:solidFill>
          </w14:textFill>
        </w:rPr>
        <w:t>涉及的排污口有乔梓乡（合心村）污水处理厂、保家镇污水处理厂、彭水职教中心污水处理厂、岩东乡（堰塘村）污水处理厂、彭水一中（芦渡湖）污水处理厂、保家工业园区污水处理厂入河排污口，见表</w:t>
      </w:r>
      <w:r>
        <w:rPr>
          <w:color w:val="000000" w:themeColor="text1"/>
          <w14:textFill>
            <w14:solidFill>
              <w14:schemeClr w14:val="tx1"/>
            </w14:solidFill>
          </w14:textFill>
        </w:rPr>
        <w:t>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5802EE6E">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水功能区排水状况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932"/>
        <w:gridCol w:w="1423"/>
        <w:gridCol w:w="1350"/>
        <w:gridCol w:w="2108"/>
        <w:gridCol w:w="1152"/>
        <w:gridCol w:w="1102"/>
        <w:gridCol w:w="1492"/>
        <w:gridCol w:w="1565"/>
        <w:gridCol w:w="1378"/>
      </w:tblGrid>
      <w:tr w14:paraId="6536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663" w:type="dxa"/>
            <w:vAlign w:val="center"/>
          </w:tcPr>
          <w:p w14:paraId="2F7B01AC">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01" w:type="dxa"/>
            <w:vAlign w:val="center"/>
          </w:tcPr>
          <w:p w14:paraId="4E9C8D37">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400" w:type="dxa"/>
            <w:vAlign w:val="center"/>
          </w:tcPr>
          <w:p w14:paraId="4C13EA23">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28" w:type="dxa"/>
            <w:vAlign w:val="center"/>
          </w:tcPr>
          <w:p w14:paraId="242ED1CD">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排水地点</w:t>
            </w:r>
          </w:p>
        </w:tc>
        <w:tc>
          <w:tcPr>
            <w:tcW w:w="2074" w:type="dxa"/>
            <w:vAlign w:val="center"/>
          </w:tcPr>
          <w:p w14:paraId="1F2123B2">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与本项目排污口相对位置</w:t>
            </w:r>
          </w:p>
        </w:tc>
        <w:tc>
          <w:tcPr>
            <w:tcW w:w="1134" w:type="dxa"/>
            <w:vAlign w:val="center"/>
          </w:tcPr>
          <w:p w14:paraId="0E3CCF06">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排水方式</w:t>
            </w:r>
          </w:p>
        </w:tc>
        <w:tc>
          <w:tcPr>
            <w:tcW w:w="1084" w:type="dxa"/>
            <w:vAlign w:val="center"/>
          </w:tcPr>
          <w:p w14:paraId="4B8F66AA">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入河方式</w:t>
            </w:r>
          </w:p>
        </w:tc>
        <w:tc>
          <w:tcPr>
            <w:tcW w:w="1468" w:type="dxa"/>
            <w:vAlign w:val="center"/>
          </w:tcPr>
          <w:p w14:paraId="764F2039">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40" w:type="dxa"/>
            <w:vAlign w:val="center"/>
          </w:tcPr>
          <w:p w14:paraId="3584621B">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6" w:type="dxa"/>
            <w:vAlign w:val="center"/>
          </w:tcPr>
          <w:p w14:paraId="7AC5591B">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2A21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dxa"/>
            <w:vAlign w:val="center"/>
          </w:tcPr>
          <w:p w14:paraId="5D65DD1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01" w:type="dxa"/>
            <w:vAlign w:val="center"/>
          </w:tcPr>
          <w:p w14:paraId="38DB64E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1400" w:type="dxa"/>
            <w:vAlign w:val="center"/>
          </w:tcPr>
          <w:p w14:paraId="22FE165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3800</w:t>
            </w:r>
          </w:p>
        </w:tc>
        <w:tc>
          <w:tcPr>
            <w:tcW w:w="1328" w:type="dxa"/>
            <w:vAlign w:val="center"/>
          </w:tcPr>
          <w:p w14:paraId="467734F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郁江支流戴家河</w:t>
            </w:r>
          </w:p>
        </w:tc>
        <w:tc>
          <w:tcPr>
            <w:tcW w:w="2074" w:type="dxa"/>
            <w:vAlign w:val="center"/>
          </w:tcPr>
          <w:p w14:paraId="69D75653">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10km</w:t>
            </w:r>
          </w:p>
        </w:tc>
        <w:tc>
          <w:tcPr>
            <w:tcW w:w="1134" w:type="dxa"/>
            <w:vAlign w:val="center"/>
          </w:tcPr>
          <w:p w14:paraId="793273F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084" w:type="dxa"/>
            <w:vAlign w:val="center"/>
          </w:tcPr>
          <w:p w14:paraId="1570934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c>
          <w:tcPr>
            <w:tcW w:w="1468" w:type="dxa"/>
            <w:vAlign w:val="center"/>
          </w:tcPr>
          <w:p w14:paraId="3CE5C1FE">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.628</w:t>
            </w:r>
          </w:p>
        </w:tc>
        <w:tc>
          <w:tcPr>
            <w:tcW w:w="1540" w:type="dxa"/>
            <w:vAlign w:val="center"/>
          </w:tcPr>
          <w:p w14:paraId="797BE914">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.3504</w:t>
            </w:r>
          </w:p>
        </w:tc>
        <w:tc>
          <w:tcPr>
            <w:tcW w:w="1356" w:type="dxa"/>
            <w:vMerge w:val="restart"/>
            <w:vAlign w:val="center"/>
          </w:tcPr>
          <w:p w14:paraId="3DD4A5C5">
            <w:pPr>
              <w:pStyle w:val="5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 18918-2002）一级B标准</w:t>
            </w:r>
          </w:p>
        </w:tc>
      </w:tr>
      <w:tr w14:paraId="5D40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dxa"/>
            <w:vAlign w:val="center"/>
          </w:tcPr>
          <w:p w14:paraId="41717853">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01" w:type="dxa"/>
            <w:vAlign w:val="center"/>
          </w:tcPr>
          <w:p w14:paraId="7720C3C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400" w:type="dxa"/>
            <w:vAlign w:val="center"/>
          </w:tcPr>
          <w:p w14:paraId="75209CF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328" w:type="dxa"/>
            <w:vAlign w:val="center"/>
          </w:tcPr>
          <w:p w14:paraId="6A949E6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2074" w:type="dxa"/>
            <w:vAlign w:val="center"/>
          </w:tcPr>
          <w:p w14:paraId="7CDB52F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13km</w:t>
            </w:r>
          </w:p>
        </w:tc>
        <w:tc>
          <w:tcPr>
            <w:tcW w:w="1134" w:type="dxa"/>
            <w:vAlign w:val="center"/>
          </w:tcPr>
          <w:p w14:paraId="3C4951E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084" w:type="dxa"/>
            <w:vAlign w:val="center"/>
          </w:tcPr>
          <w:p w14:paraId="7F41A08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c>
          <w:tcPr>
            <w:tcW w:w="1468" w:type="dxa"/>
            <w:vAlign w:val="center"/>
          </w:tcPr>
          <w:p w14:paraId="49FEFFAE">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40" w:type="dxa"/>
            <w:vAlign w:val="center"/>
          </w:tcPr>
          <w:p w14:paraId="5707891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c>
          <w:tcPr>
            <w:tcW w:w="1356" w:type="dxa"/>
            <w:vMerge w:val="continue"/>
            <w:vAlign w:val="center"/>
          </w:tcPr>
          <w:p w14:paraId="010CEA66">
            <w:pPr>
              <w:pStyle w:val="59"/>
              <w:rPr>
                <w:color w:val="000000" w:themeColor="text1"/>
                <w14:textFill>
                  <w14:solidFill>
                    <w14:schemeClr w14:val="tx1"/>
                  </w14:solidFill>
                </w14:textFill>
              </w:rPr>
            </w:pPr>
          </w:p>
        </w:tc>
      </w:tr>
      <w:tr w14:paraId="3D33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dxa"/>
            <w:vAlign w:val="center"/>
          </w:tcPr>
          <w:p w14:paraId="24A51FC8">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01" w:type="dxa"/>
            <w:vAlign w:val="center"/>
          </w:tcPr>
          <w:p w14:paraId="551150A8">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400" w:type="dxa"/>
            <w:vAlign w:val="center"/>
          </w:tcPr>
          <w:p w14:paraId="161BB6C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328" w:type="dxa"/>
            <w:vAlign w:val="center"/>
          </w:tcPr>
          <w:p w14:paraId="4815C160">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郁江支流小河沟</w:t>
            </w:r>
          </w:p>
        </w:tc>
        <w:tc>
          <w:tcPr>
            <w:tcW w:w="2074" w:type="dxa"/>
            <w:vAlign w:val="center"/>
          </w:tcPr>
          <w:p w14:paraId="663172E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33km</w:t>
            </w:r>
          </w:p>
        </w:tc>
        <w:tc>
          <w:tcPr>
            <w:tcW w:w="1134" w:type="dxa"/>
            <w:vAlign w:val="center"/>
          </w:tcPr>
          <w:p w14:paraId="510152F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084" w:type="dxa"/>
            <w:vAlign w:val="center"/>
          </w:tcPr>
          <w:p w14:paraId="4542C27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c>
          <w:tcPr>
            <w:tcW w:w="1468" w:type="dxa"/>
            <w:vAlign w:val="center"/>
          </w:tcPr>
          <w:p w14:paraId="53CB66C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40" w:type="dxa"/>
            <w:vAlign w:val="center"/>
          </w:tcPr>
          <w:p w14:paraId="00FC928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.2336</w:t>
            </w:r>
          </w:p>
        </w:tc>
        <w:tc>
          <w:tcPr>
            <w:tcW w:w="1356" w:type="dxa"/>
            <w:vMerge w:val="continue"/>
            <w:vAlign w:val="center"/>
          </w:tcPr>
          <w:p w14:paraId="45730FA8">
            <w:pPr>
              <w:pStyle w:val="59"/>
              <w:rPr>
                <w:color w:val="000000" w:themeColor="text1"/>
                <w14:textFill>
                  <w14:solidFill>
                    <w14:schemeClr w14:val="tx1"/>
                  </w14:solidFill>
                </w14:textFill>
              </w:rPr>
            </w:pPr>
          </w:p>
        </w:tc>
      </w:tr>
      <w:tr w14:paraId="5E1E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dxa"/>
            <w:vAlign w:val="center"/>
          </w:tcPr>
          <w:p w14:paraId="262372F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01" w:type="dxa"/>
            <w:vAlign w:val="center"/>
          </w:tcPr>
          <w:p w14:paraId="49E1A1FF">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1400" w:type="dxa"/>
            <w:vAlign w:val="center"/>
          </w:tcPr>
          <w:p w14:paraId="069FC0B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328" w:type="dxa"/>
            <w:vAlign w:val="center"/>
          </w:tcPr>
          <w:p w14:paraId="3CFB3E2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2074" w:type="dxa"/>
            <w:vAlign w:val="center"/>
          </w:tcPr>
          <w:p w14:paraId="7B1D371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15km</w:t>
            </w:r>
          </w:p>
        </w:tc>
        <w:tc>
          <w:tcPr>
            <w:tcW w:w="1134" w:type="dxa"/>
            <w:vAlign w:val="center"/>
          </w:tcPr>
          <w:p w14:paraId="3DF7AAC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084" w:type="dxa"/>
            <w:vAlign w:val="center"/>
          </w:tcPr>
          <w:p w14:paraId="4A65D08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c>
          <w:tcPr>
            <w:tcW w:w="1468" w:type="dxa"/>
            <w:vAlign w:val="center"/>
          </w:tcPr>
          <w:p w14:paraId="67A4613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40" w:type="dxa"/>
            <w:vAlign w:val="center"/>
          </w:tcPr>
          <w:p w14:paraId="2AEA8793">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8.76</w:t>
            </w:r>
          </w:p>
        </w:tc>
        <w:tc>
          <w:tcPr>
            <w:tcW w:w="1356" w:type="dxa"/>
            <w:vMerge w:val="continue"/>
            <w:vAlign w:val="center"/>
          </w:tcPr>
          <w:p w14:paraId="4028BCE0">
            <w:pPr>
              <w:pStyle w:val="59"/>
              <w:rPr>
                <w:color w:val="000000" w:themeColor="text1"/>
                <w14:textFill>
                  <w14:solidFill>
                    <w14:schemeClr w14:val="tx1"/>
                  </w14:solidFill>
                </w14:textFill>
              </w:rPr>
            </w:pPr>
          </w:p>
        </w:tc>
      </w:tr>
      <w:tr w14:paraId="38F1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dxa"/>
            <w:vAlign w:val="center"/>
          </w:tcPr>
          <w:p w14:paraId="4A318F3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01" w:type="dxa"/>
            <w:vAlign w:val="center"/>
          </w:tcPr>
          <w:p w14:paraId="329011F2">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1400" w:type="dxa"/>
            <w:vAlign w:val="center"/>
          </w:tcPr>
          <w:p w14:paraId="22A7808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w:t>
            </w:r>
          </w:p>
        </w:tc>
        <w:tc>
          <w:tcPr>
            <w:tcW w:w="1328" w:type="dxa"/>
            <w:vAlign w:val="center"/>
          </w:tcPr>
          <w:p w14:paraId="3669CCB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2074" w:type="dxa"/>
            <w:vAlign w:val="center"/>
          </w:tcPr>
          <w:p w14:paraId="71F0995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28km</w:t>
            </w:r>
          </w:p>
        </w:tc>
        <w:tc>
          <w:tcPr>
            <w:tcW w:w="1134" w:type="dxa"/>
            <w:vAlign w:val="center"/>
          </w:tcPr>
          <w:p w14:paraId="31074DFB">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084" w:type="dxa"/>
            <w:vAlign w:val="center"/>
          </w:tcPr>
          <w:p w14:paraId="1AFD4D5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c>
          <w:tcPr>
            <w:tcW w:w="1468" w:type="dxa"/>
            <w:vAlign w:val="center"/>
          </w:tcPr>
          <w:p w14:paraId="408AC6F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40" w:type="dxa"/>
            <w:vAlign w:val="center"/>
          </w:tcPr>
          <w:p w14:paraId="1FF7F21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c>
          <w:tcPr>
            <w:tcW w:w="1356" w:type="dxa"/>
            <w:vAlign w:val="center"/>
          </w:tcPr>
          <w:p w14:paraId="0142B32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B50/848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一级标准</w:t>
            </w:r>
          </w:p>
        </w:tc>
      </w:tr>
      <w:tr w14:paraId="2D35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3" w:type="dxa"/>
            <w:vAlign w:val="center"/>
          </w:tcPr>
          <w:p w14:paraId="32E7911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01" w:type="dxa"/>
            <w:vAlign w:val="center"/>
          </w:tcPr>
          <w:p w14:paraId="3FBFC3D0">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1400" w:type="dxa"/>
            <w:vAlign w:val="center"/>
          </w:tcPr>
          <w:p w14:paraId="649F46B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12500</w:t>
            </w:r>
          </w:p>
        </w:tc>
        <w:tc>
          <w:tcPr>
            <w:tcW w:w="1328" w:type="dxa"/>
            <w:vAlign w:val="center"/>
          </w:tcPr>
          <w:p w14:paraId="3AFDA5FB">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w:t>
            </w:r>
          </w:p>
        </w:tc>
        <w:tc>
          <w:tcPr>
            <w:tcW w:w="2074" w:type="dxa"/>
            <w:vAlign w:val="center"/>
          </w:tcPr>
          <w:p w14:paraId="114F2A5F">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入河排污口下游</w:t>
            </w:r>
            <w:r>
              <w:rPr>
                <w:color w:val="000000" w:themeColor="text1"/>
                <w14:textFill>
                  <w14:solidFill>
                    <w14:schemeClr w14:val="tx1"/>
                  </w14:solidFill>
                </w14:textFill>
              </w:rPr>
              <w:t>35km</w:t>
            </w:r>
          </w:p>
        </w:tc>
        <w:tc>
          <w:tcPr>
            <w:tcW w:w="1134" w:type="dxa"/>
            <w:vAlign w:val="center"/>
          </w:tcPr>
          <w:p w14:paraId="1FAAA52E">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连续</w:t>
            </w:r>
          </w:p>
        </w:tc>
        <w:tc>
          <w:tcPr>
            <w:tcW w:w="1084" w:type="dxa"/>
            <w:vAlign w:val="center"/>
          </w:tcPr>
          <w:p w14:paraId="48584190">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管道</w:t>
            </w:r>
          </w:p>
        </w:tc>
        <w:tc>
          <w:tcPr>
            <w:tcW w:w="1468" w:type="dxa"/>
            <w:vAlign w:val="center"/>
          </w:tcPr>
          <w:p w14:paraId="0D72459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540" w:type="dxa"/>
            <w:vAlign w:val="center"/>
          </w:tcPr>
          <w:p w14:paraId="1982F98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356" w:type="dxa"/>
            <w:vAlign w:val="center"/>
          </w:tcPr>
          <w:p w14:paraId="7A7E89A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《城镇污水处理厂污染物排放标准》（GB 18918-2002）一级A标准</w:t>
            </w:r>
          </w:p>
        </w:tc>
      </w:tr>
    </w:tbl>
    <w:p w14:paraId="024B90BB">
      <w:pPr>
        <w:ind w:firstLine="480"/>
        <w:sectPr>
          <w:pgSz w:w="16838" w:h="11906" w:orient="landscape"/>
          <w:pgMar w:top="1800" w:right="1440" w:bottom="1800" w:left="1440" w:header="851" w:footer="992" w:gutter="0"/>
          <w:cols w:space="425" w:num="1"/>
          <w:docGrid w:type="lines" w:linePitch="326" w:charSpace="0"/>
        </w:sectPr>
      </w:pPr>
    </w:p>
    <w:p w14:paraId="2388177B">
      <w:pPr>
        <w:pStyle w:val="61"/>
        <w:spacing w:before="312"/>
      </w:pPr>
      <w:r>
        <w:t xml:space="preserve">4.2 </w:t>
      </w:r>
      <w:bookmarkEnd w:id="15"/>
      <w:r>
        <w:rPr>
          <w:rFonts w:hint="eastAsia"/>
        </w:rPr>
        <w:t>水环境状况调查</w:t>
      </w:r>
    </w:p>
    <w:p w14:paraId="0648DFF0">
      <w:pPr>
        <w:pStyle w:val="45"/>
      </w:pPr>
      <w:r>
        <w:rPr>
          <w:rFonts w:hint="eastAsia"/>
        </w:rPr>
        <w:t>4</w:t>
      </w:r>
      <w:r>
        <w:t xml:space="preserve">.2.1 </w:t>
      </w:r>
      <w:r>
        <w:rPr>
          <w:rFonts w:hint="eastAsia"/>
        </w:rPr>
        <w:t>水功能区划</w:t>
      </w:r>
    </w:p>
    <w:p w14:paraId="6B50A2BA">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水功能区是指根据流域或区域的水资源状况，并考虑水资源开发利用现状和经济社会发展对水量和水质的需求，在相应水域划定的具有特定功能，有利于水资源的合理开发利用和保护，能够发挥最佳效益的区域。</w:t>
      </w:r>
    </w:p>
    <w:p w14:paraId="5BE3C8F9">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水功能区划分标准》，水功能区分为水功能一级区和水功能二级区。一级功能区分为保护区、保留区、开发利用区和缓冲区四类。二级功能区分为饮用水源区、工业用水区、农业用水区、渔业用水区、景观娱乐用水区、过渡区、排污控制区。</w:t>
      </w:r>
    </w:p>
    <w:p w14:paraId="5E1D00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彭水县水功能区划修编报告》，彭水县划分的一级水功能区河流有：长溪河、诸佛江、中井河、木棕河、棣棠河、后灶河、太原河、跳蹬河、里头河、大湾河、银厂沟、大青河、沙坝河、龙洋河、白溪河、黄家坝河、冬瓜溪、灰溪河、干溪河、下潭溪、岔河、新田河、高谷河、何家河、水田溪、九曲河、靛水河。二级水功能区河流有：长溪河、诸佛江、中井河、木棕河、棣棠河、后灶河、太原河、龙洋河、黄家坝河、冬瓜溪、新田河、九曲河、靛水河。</w:t>
      </w:r>
    </w:p>
    <w:p w14:paraId="2F616DA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w:t>
      </w:r>
      <w:r>
        <w:rPr>
          <w:rFonts w:cs="Times New Roman"/>
          <w:color w:val="000000" w:themeColor="text1"/>
          <w14:textFill>
            <w14:solidFill>
              <w14:schemeClr w14:val="tx1"/>
            </w14:solidFill>
          </w14:textFill>
        </w:rPr>
        <w:t>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南侧冲沟，其一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p>
    <w:p w14:paraId="71FBADC1">
      <w:pPr>
        <w:pStyle w:val="45"/>
      </w:pPr>
      <w:r>
        <w:rPr>
          <w:rFonts w:hint="eastAsia"/>
        </w:rPr>
        <w:t>4</w:t>
      </w:r>
      <w:r>
        <w:t xml:space="preserve">.2.2 </w:t>
      </w:r>
      <w:r>
        <w:rPr>
          <w:rFonts w:hint="eastAsia"/>
        </w:rPr>
        <w:t>水环境质量现状</w:t>
      </w:r>
    </w:p>
    <w:p w14:paraId="1FCF6955">
      <w:pPr>
        <w:pStyle w:val="5"/>
        <w:rPr>
          <w:rFonts w:ascii="Times New Roman" w:hAnsi="Times New Roman" w:eastAsia="宋体" w:cs="Times New Roman"/>
          <w:szCs w:val="24"/>
        </w:rPr>
      </w:pPr>
      <w:r>
        <w:rPr>
          <w:rFonts w:ascii="Times New Roman" w:hAnsi="Times New Roman" w:eastAsia="宋体" w:cs="Times New Roman"/>
          <w:szCs w:val="24"/>
        </w:rPr>
        <w:t>4.2.2.1 例行监控断面环境质量现状</w:t>
      </w:r>
    </w:p>
    <w:p w14:paraId="303BBED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本排污口所在的郁江有两个例行监测断面，分别为郁江长顺乡断面（湖北入重庆断面，入河排污口上游</w:t>
      </w:r>
      <w:r>
        <w:rPr>
          <w:color w:val="000000" w:themeColor="text1"/>
          <w14:textFill>
            <w14:solidFill>
              <w14:schemeClr w14:val="tx1"/>
            </w14:solidFill>
          </w14:textFill>
        </w:rPr>
        <w:t>50.5km</w:t>
      </w:r>
      <w:r>
        <w:rPr>
          <w:rFonts w:hint="eastAsia"/>
          <w:color w:val="000000" w:themeColor="text1"/>
          <w14:textFill>
            <w14:solidFill>
              <w14:schemeClr w14:val="tx1"/>
            </w14:solidFill>
          </w14:textFill>
        </w:rPr>
        <w:t>）和郁江桥断面（入河排污口下游</w:t>
      </w:r>
      <w:r>
        <w:rPr>
          <w:color w:val="000000" w:themeColor="text1"/>
          <w14:textFill>
            <w14:solidFill>
              <w14:schemeClr w14:val="tx1"/>
            </w14:solidFill>
          </w14:textFill>
        </w:rPr>
        <w:t>41.5</w:t>
      </w:r>
      <w:r>
        <w:rPr>
          <w:rFonts w:hint="eastAsia"/>
          <w:color w:val="000000" w:themeColor="text1"/>
          <w14:textFill>
            <w14:solidFill>
              <w14:schemeClr w14:val="tx1"/>
            </w14:solidFill>
          </w14:textFill>
        </w:rPr>
        <w:t>km）。根据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月两个断面的例行监测数据，对郁江水环境质量情况进行分析。郁江例行监测断面近三年监测数据见表4.2-1。</w:t>
      </w:r>
    </w:p>
    <w:p w14:paraId="0DD00DF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郁江例行监测断面在2022年1月~202</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年</w:t>
      </w:r>
      <w:r>
        <w:rPr>
          <w:rFonts w:cs="Times New Roman"/>
          <w:b/>
          <w:color w:val="000000" w:themeColor="text1"/>
          <w:sz w:val="21"/>
          <w:szCs w:val="21"/>
          <w14:textFill>
            <w14:solidFill>
              <w14:schemeClr w14:val="tx1"/>
            </w14:solidFill>
          </w14:textFill>
        </w:rPr>
        <w:t>12</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2"/>
        <w:gridCol w:w="1019"/>
        <w:gridCol w:w="982"/>
        <w:gridCol w:w="910"/>
        <w:gridCol w:w="1019"/>
        <w:gridCol w:w="1164"/>
        <w:gridCol w:w="1098"/>
      </w:tblGrid>
      <w:tr w14:paraId="2F7E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27" w:type="pct"/>
            <w:shd w:val="clear" w:color="auto" w:fill="auto"/>
            <w:vAlign w:val="center"/>
          </w:tcPr>
          <w:p w14:paraId="3A6816D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40" w:type="pct"/>
            <w:shd w:val="clear" w:color="auto" w:fill="auto"/>
            <w:vAlign w:val="center"/>
          </w:tcPr>
          <w:p w14:paraId="2EB8D453">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4C33040B">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6E7FD23D">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13FB4B1B">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46969C67">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1454FD53">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4D721D38">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4" w:type="pct"/>
            <w:shd w:val="clear" w:color="auto" w:fill="auto"/>
            <w:vAlign w:val="center"/>
          </w:tcPr>
          <w:p w14:paraId="680BBF78">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74E6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27" w:type="pct"/>
            <w:vMerge w:val="restart"/>
            <w:shd w:val="clear" w:color="auto" w:fill="auto"/>
            <w:vAlign w:val="center"/>
          </w:tcPr>
          <w:p w14:paraId="2FD6A9F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郁江长顺乡断面</w:t>
            </w:r>
          </w:p>
        </w:tc>
        <w:tc>
          <w:tcPr>
            <w:tcW w:w="940" w:type="pct"/>
            <w:shd w:val="clear" w:color="auto" w:fill="auto"/>
            <w:vAlign w:val="center"/>
          </w:tcPr>
          <w:p w14:paraId="4B92287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0477FB7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7.6~8.4</w:t>
            </w:r>
          </w:p>
        </w:tc>
        <w:tc>
          <w:tcPr>
            <w:tcW w:w="576" w:type="pct"/>
            <w:shd w:val="clear" w:color="auto" w:fill="auto"/>
            <w:vAlign w:val="center"/>
          </w:tcPr>
          <w:p w14:paraId="72690F7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1.0</w:t>
            </w:r>
          </w:p>
        </w:tc>
        <w:tc>
          <w:tcPr>
            <w:tcW w:w="534" w:type="pct"/>
            <w:vAlign w:val="center"/>
          </w:tcPr>
          <w:p w14:paraId="691C5A5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14:paraId="0DE27CD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60E7EAA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0.12</w:t>
            </w:r>
          </w:p>
        </w:tc>
        <w:tc>
          <w:tcPr>
            <w:tcW w:w="644" w:type="pct"/>
            <w:shd w:val="clear" w:color="auto" w:fill="auto"/>
            <w:vAlign w:val="center"/>
          </w:tcPr>
          <w:p w14:paraId="3273AB4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7BB0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1562B5EC">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2A9B89C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0652D7A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8.5</w:t>
            </w:r>
          </w:p>
        </w:tc>
        <w:tc>
          <w:tcPr>
            <w:tcW w:w="576" w:type="pct"/>
            <w:shd w:val="clear" w:color="auto" w:fill="auto"/>
            <w:vAlign w:val="center"/>
          </w:tcPr>
          <w:p w14:paraId="06502D7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w:t>
            </w:r>
          </w:p>
        </w:tc>
        <w:tc>
          <w:tcPr>
            <w:tcW w:w="534" w:type="pct"/>
            <w:vAlign w:val="center"/>
          </w:tcPr>
          <w:p w14:paraId="7F78637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5663975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683" w:type="pct"/>
            <w:vAlign w:val="center"/>
          </w:tcPr>
          <w:p w14:paraId="4EC1E31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4" w:type="pct"/>
            <w:shd w:val="clear" w:color="auto" w:fill="auto"/>
            <w:vAlign w:val="center"/>
          </w:tcPr>
          <w:p w14:paraId="19220CA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7D2F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7" w:type="pct"/>
            <w:vMerge w:val="restart"/>
            <w:shd w:val="clear" w:color="auto" w:fill="auto"/>
            <w:vAlign w:val="center"/>
          </w:tcPr>
          <w:p w14:paraId="2A426E2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郁江桥断面</w:t>
            </w:r>
          </w:p>
        </w:tc>
        <w:tc>
          <w:tcPr>
            <w:tcW w:w="940" w:type="pct"/>
            <w:shd w:val="clear" w:color="auto" w:fill="auto"/>
            <w:vAlign w:val="center"/>
          </w:tcPr>
          <w:p w14:paraId="40ADDA7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6D83415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.7~8.4</w:t>
            </w:r>
          </w:p>
        </w:tc>
        <w:tc>
          <w:tcPr>
            <w:tcW w:w="576" w:type="pct"/>
            <w:shd w:val="clear" w:color="auto" w:fill="auto"/>
            <w:vAlign w:val="center"/>
          </w:tcPr>
          <w:p w14:paraId="6EA200C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.6~1.2</w:t>
            </w:r>
          </w:p>
        </w:tc>
        <w:tc>
          <w:tcPr>
            <w:tcW w:w="534" w:type="pct"/>
            <w:vAlign w:val="center"/>
          </w:tcPr>
          <w:p w14:paraId="038CC41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~10</w:t>
            </w:r>
          </w:p>
        </w:tc>
        <w:tc>
          <w:tcPr>
            <w:tcW w:w="598" w:type="pct"/>
            <w:vAlign w:val="center"/>
          </w:tcPr>
          <w:p w14:paraId="1ADDAC8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38039DA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.06~0.13</w:t>
            </w:r>
          </w:p>
        </w:tc>
        <w:tc>
          <w:tcPr>
            <w:tcW w:w="644" w:type="pct"/>
            <w:shd w:val="clear" w:color="auto" w:fill="auto"/>
            <w:vAlign w:val="center"/>
          </w:tcPr>
          <w:p w14:paraId="3B08C45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4ACD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11845073">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61378B0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3883705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.9~8.7</w:t>
            </w:r>
          </w:p>
        </w:tc>
        <w:tc>
          <w:tcPr>
            <w:tcW w:w="576" w:type="pct"/>
            <w:shd w:val="clear" w:color="auto" w:fill="auto"/>
            <w:vAlign w:val="center"/>
          </w:tcPr>
          <w:p w14:paraId="29FCB65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.8~1.0</w:t>
            </w:r>
          </w:p>
        </w:tc>
        <w:tc>
          <w:tcPr>
            <w:tcW w:w="534" w:type="pct"/>
            <w:vAlign w:val="center"/>
          </w:tcPr>
          <w:p w14:paraId="4C68E97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6AD9A46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599DAC7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.08~0.13</w:t>
            </w:r>
          </w:p>
        </w:tc>
        <w:tc>
          <w:tcPr>
            <w:tcW w:w="644" w:type="pct"/>
            <w:shd w:val="clear" w:color="auto" w:fill="auto"/>
            <w:vAlign w:val="center"/>
          </w:tcPr>
          <w:p w14:paraId="20E7E73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.01~0.06</w:t>
            </w:r>
          </w:p>
        </w:tc>
      </w:tr>
      <w:tr w14:paraId="16ED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7" w:type="pct"/>
            <w:gridSpan w:val="2"/>
            <w:shd w:val="clear" w:color="auto" w:fill="auto"/>
            <w:vAlign w:val="center"/>
          </w:tcPr>
          <w:p w14:paraId="736E6FFD">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《地表水环境质量标准》（GB3838-2002）Ⅱ类</w:t>
            </w:r>
          </w:p>
        </w:tc>
        <w:tc>
          <w:tcPr>
            <w:tcW w:w="598" w:type="pct"/>
            <w:shd w:val="clear" w:color="auto" w:fill="auto"/>
            <w:vAlign w:val="center"/>
          </w:tcPr>
          <w:p w14:paraId="380DA6A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14:paraId="122D6A3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34" w:type="pct"/>
            <w:vAlign w:val="center"/>
          </w:tcPr>
          <w:p w14:paraId="25A5A08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98" w:type="pct"/>
            <w:vAlign w:val="center"/>
          </w:tcPr>
          <w:p w14:paraId="7AA3C6D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83" w:type="pct"/>
            <w:vAlign w:val="center"/>
          </w:tcPr>
          <w:p w14:paraId="62288EE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p>
        </w:tc>
        <w:tc>
          <w:tcPr>
            <w:tcW w:w="644" w:type="pct"/>
            <w:shd w:val="clear" w:color="auto" w:fill="auto"/>
            <w:vAlign w:val="center"/>
          </w:tcPr>
          <w:p w14:paraId="38865FF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bl>
    <w:p w14:paraId="78A71C77">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郁江长顺乡断面和郁江桥断面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14:paraId="670E6300">
      <w:pPr>
        <w:pStyle w:val="5"/>
        <w:rPr>
          <w:rFonts w:ascii="Times New Roman" w:hAnsi="Times New Roman" w:eastAsia="宋体" w:cs="Times New Roman"/>
          <w:szCs w:val="24"/>
        </w:rPr>
      </w:pPr>
      <w:r>
        <w:rPr>
          <w:rFonts w:ascii="Times New Roman" w:hAnsi="Times New Roman" w:eastAsia="宋体" w:cs="Times New Roman"/>
          <w:szCs w:val="24"/>
        </w:rPr>
        <w:t xml:space="preserve">4.2.2.2 </w:t>
      </w:r>
      <w:r>
        <w:rPr>
          <w:rFonts w:hint="eastAsia" w:ascii="Times New Roman" w:hAnsi="Times New Roman" w:eastAsia="宋体" w:cs="Times New Roman"/>
          <w:szCs w:val="24"/>
        </w:rPr>
        <w:t>饮用水水源地环境质量现状</w:t>
      </w:r>
    </w:p>
    <w:p w14:paraId="532B09CF">
      <w:pPr>
        <w:ind w:firstLine="480"/>
        <w:rPr>
          <w:lang w:bidi="ar"/>
        </w:rPr>
      </w:pPr>
      <w:r>
        <w:rPr>
          <w:lang w:bidi="ar"/>
        </w:rPr>
        <w:t>本次论证引用彭水苗族土家族自治县生态环境局公布的2023年二季度集中式饮用水源地监测结果（网址：http://www.psx.gov.cn/zfbm_174/fzhggwyh_82908/zwgk_72016/fdzdgknr/jdjc/jdjcjg/202306/t20230609_12048073.html）对项目所在地表水的环境质量现状进行评价。</w:t>
      </w:r>
    </w:p>
    <w:p w14:paraId="1D0B75CC">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表4.2-4    郁江关口泵站取水口水质监测数据统计表   单位：mg/L</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409"/>
        <w:gridCol w:w="990"/>
        <w:gridCol w:w="1644"/>
        <w:gridCol w:w="1806"/>
        <w:gridCol w:w="829"/>
        <w:gridCol w:w="1178"/>
      </w:tblGrid>
      <w:tr w14:paraId="0261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8" w:type="pct"/>
            <w:shd w:val="clear" w:color="auto" w:fill="auto"/>
            <w:vAlign w:val="center"/>
          </w:tcPr>
          <w:p w14:paraId="0BA39298">
            <w:pPr>
              <w:pStyle w:val="124"/>
              <w:rPr>
                <w:rFonts w:ascii="Times New Roman" w:hAnsi="Times New Roman"/>
                <w:b/>
              </w:rPr>
            </w:pPr>
            <w:r>
              <w:rPr>
                <w:rFonts w:ascii="Times New Roman" w:hAnsi="Times New Roman"/>
                <w:b/>
              </w:rPr>
              <w:t>序号</w:t>
            </w:r>
          </w:p>
        </w:tc>
        <w:tc>
          <w:tcPr>
            <w:tcW w:w="827" w:type="pct"/>
            <w:shd w:val="clear" w:color="auto" w:fill="auto"/>
            <w:vAlign w:val="center"/>
          </w:tcPr>
          <w:p w14:paraId="203C593D">
            <w:pPr>
              <w:pStyle w:val="124"/>
              <w:rPr>
                <w:rFonts w:ascii="Times New Roman" w:hAnsi="Times New Roman"/>
                <w:b/>
              </w:rPr>
            </w:pPr>
            <w:r>
              <w:rPr>
                <w:rFonts w:ascii="Times New Roman" w:hAnsi="Times New Roman"/>
                <w:b/>
              </w:rPr>
              <w:t>监测项目</w:t>
            </w:r>
          </w:p>
        </w:tc>
        <w:tc>
          <w:tcPr>
            <w:tcW w:w="581" w:type="pct"/>
            <w:shd w:val="clear" w:color="auto" w:fill="auto"/>
            <w:vAlign w:val="center"/>
          </w:tcPr>
          <w:p w14:paraId="2B4A50DE">
            <w:pPr>
              <w:pStyle w:val="124"/>
              <w:rPr>
                <w:rFonts w:ascii="Times New Roman" w:hAnsi="Times New Roman"/>
                <w:b/>
              </w:rPr>
            </w:pPr>
            <w:r>
              <w:rPr>
                <w:rFonts w:ascii="Times New Roman" w:hAnsi="Times New Roman"/>
                <w:b/>
              </w:rPr>
              <w:t>单位</w:t>
            </w:r>
          </w:p>
        </w:tc>
        <w:tc>
          <w:tcPr>
            <w:tcW w:w="965" w:type="pct"/>
            <w:shd w:val="clear" w:color="auto" w:fill="auto"/>
            <w:vAlign w:val="center"/>
          </w:tcPr>
          <w:p w14:paraId="13ED27A2">
            <w:pPr>
              <w:pStyle w:val="124"/>
              <w:rPr>
                <w:rFonts w:ascii="Times New Roman" w:hAnsi="Times New Roman"/>
                <w:b/>
              </w:rPr>
            </w:pPr>
            <w:r>
              <w:rPr>
                <w:rFonts w:ascii="Times New Roman" w:hAnsi="Times New Roman"/>
                <w:b/>
              </w:rPr>
              <w:t>浓度范围</w:t>
            </w:r>
          </w:p>
        </w:tc>
        <w:tc>
          <w:tcPr>
            <w:tcW w:w="1060" w:type="pct"/>
            <w:shd w:val="clear" w:color="auto" w:fill="auto"/>
            <w:vAlign w:val="center"/>
          </w:tcPr>
          <w:p w14:paraId="123237A7">
            <w:pPr>
              <w:pStyle w:val="124"/>
              <w:rPr>
                <w:rFonts w:ascii="Times New Roman" w:hAnsi="Times New Roman"/>
                <w:b/>
              </w:rPr>
            </w:pPr>
            <w:r>
              <w:rPr>
                <w:rFonts w:hint="eastAsia" w:cs="宋体"/>
                <w:b/>
              </w:rPr>
              <w:t>Ⅱ</w:t>
            </w:r>
            <w:r>
              <w:rPr>
                <w:rFonts w:ascii="Times New Roman" w:hAnsi="Times New Roman"/>
                <w:b/>
              </w:rPr>
              <w:t>类标准限值</w:t>
            </w:r>
          </w:p>
        </w:tc>
        <w:tc>
          <w:tcPr>
            <w:tcW w:w="486" w:type="pct"/>
            <w:shd w:val="clear" w:color="auto" w:fill="auto"/>
            <w:vAlign w:val="center"/>
          </w:tcPr>
          <w:p w14:paraId="371A03C1">
            <w:pPr>
              <w:pStyle w:val="124"/>
              <w:rPr>
                <w:rFonts w:ascii="Times New Roman" w:hAnsi="Times New Roman"/>
                <w:b/>
              </w:rPr>
            </w:pPr>
            <w:r>
              <w:rPr>
                <w:rFonts w:ascii="Times New Roman" w:hAnsi="Times New Roman"/>
                <w:b/>
              </w:rPr>
              <w:t>超标率%</w:t>
            </w:r>
          </w:p>
        </w:tc>
        <w:tc>
          <w:tcPr>
            <w:tcW w:w="691" w:type="pct"/>
            <w:shd w:val="clear" w:color="auto" w:fill="auto"/>
            <w:vAlign w:val="center"/>
          </w:tcPr>
          <w:p w14:paraId="715BF2B7">
            <w:pPr>
              <w:pStyle w:val="124"/>
              <w:rPr>
                <w:rFonts w:ascii="Times New Roman" w:hAnsi="Times New Roman"/>
                <w:b/>
              </w:rPr>
            </w:pPr>
            <w:r>
              <w:rPr>
                <w:rFonts w:ascii="Times New Roman" w:hAnsi="Times New Roman"/>
                <w:b/>
              </w:rPr>
              <w:t>标准指数值</w:t>
            </w:r>
          </w:p>
        </w:tc>
      </w:tr>
      <w:tr w14:paraId="26C1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108D94A">
            <w:pPr>
              <w:pStyle w:val="124"/>
              <w:numPr>
                <w:ilvl w:val="0"/>
                <w:numId w:val="7"/>
              </w:numPr>
              <w:rPr>
                <w:rFonts w:ascii="Times New Roman" w:hAnsi="Times New Roman"/>
              </w:rPr>
            </w:pPr>
          </w:p>
        </w:tc>
        <w:tc>
          <w:tcPr>
            <w:tcW w:w="827" w:type="pct"/>
            <w:vAlign w:val="center"/>
          </w:tcPr>
          <w:p w14:paraId="1E7FF356">
            <w:pPr>
              <w:pStyle w:val="124"/>
              <w:rPr>
                <w:rFonts w:ascii="Times New Roman" w:hAnsi="Times New Roman"/>
              </w:rPr>
            </w:pPr>
            <w:r>
              <w:rPr>
                <w:rFonts w:ascii="Times New Roman" w:hAnsi="Times New Roman"/>
              </w:rPr>
              <w:t>pH</w:t>
            </w:r>
          </w:p>
        </w:tc>
        <w:tc>
          <w:tcPr>
            <w:tcW w:w="581" w:type="pct"/>
            <w:vAlign w:val="center"/>
          </w:tcPr>
          <w:p w14:paraId="2DAEA7C4">
            <w:pPr>
              <w:pStyle w:val="124"/>
              <w:rPr>
                <w:rFonts w:ascii="Times New Roman" w:hAnsi="Times New Roman"/>
              </w:rPr>
            </w:pPr>
            <w:r>
              <w:rPr>
                <w:rFonts w:ascii="Times New Roman" w:hAnsi="Times New Roman"/>
              </w:rPr>
              <w:t>无量纲</w:t>
            </w:r>
          </w:p>
        </w:tc>
        <w:tc>
          <w:tcPr>
            <w:tcW w:w="965" w:type="pct"/>
            <w:vAlign w:val="center"/>
          </w:tcPr>
          <w:p w14:paraId="2D2E0321">
            <w:pPr>
              <w:pStyle w:val="124"/>
              <w:rPr>
                <w:rFonts w:ascii="Times New Roman" w:hAnsi="Times New Roman"/>
              </w:rPr>
            </w:pPr>
            <w:r>
              <w:rPr>
                <w:rFonts w:ascii="Times New Roman" w:hAnsi="Times New Roman"/>
              </w:rPr>
              <w:t>8.1</w:t>
            </w:r>
          </w:p>
        </w:tc>
        <w:tc>
          <w:tcPr>
            <w:tcW w:w="1060" w:type="pct"/>
            <w:vAlign w:val="center"/>
          </w:tcPr>
          <w:p w14:paraId="1B0874D1">
            <w:pPr>
              <w:pStyle w:val="124"/>
              <w:rPr>
                <w:rFonts w:ascii="Times New Roman" w:hAnsi="Times New Roman"/>
              </w:rPr>
            </w:pPr>
            <w:r>
              <w:rPr>
                <w:rFonts w:ascii="Times New Roman" w:hAnsi="Times New Roman"/>
              </w:rPr>
              <w:t>6~9</w:t>
            </w:r>
          </w:p>
        </w:tc>
        <w:tc>
          <w:tcPr>
            <w:tcW w:w="486" w:type="pct"/>
            <w:vAlign w:val="center"/>
          </w:tcPr>
          <w:p w14:paraId="52DEBD9E">
            <w:pPr>
              <w:pStyle w:val="124"/>
              <w:rPr>
                <w:rFonts w:ascii="Times New Roman" w:hAnsi="Times New Roman"/>
              </w:rPr>
            </w:pPr>
            <w:r>
              <w:rPr>
                <w:rFonts w:ascii="Times New Roman" w:hAnsi="Times New Roman"/>
              </w:rPr>
              <w:t>0</w:t>
            </w:r>
          </w:p>
        </w:tc>
        <w:tc>
          <w:tcPr>
            <w:tcW w:w="691" w:type="pct"/>
            <w:vAlign w:val="center"/>
          </w:tcPr>
          <w:p w14:paraId="4677C7A2">
            <w:pPr>
              <w:pStyle w:val="124"/>
              <w:rPr>
                <w:rFonts w:ascii="Times New Roman" w:hAnsi="Times New Roman"/>
              </w:rPr>
            </w:pPr>
            <w:r>
              <w:rPr>
                <w:rFonts w:ascii="Times New Roman" w:hAnsi="Times New Roman"/>
              </w:rPr>
              <w:t>0.55</w:t>
            </w:r>
          </w:p>
        </w:tc>
      </w:tr>
      <w:tr w14:paraId="4C44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1EA7164B">
            <w:pPr>
              <w:pStyle w:val="124"/>
              <w:numPr>
                <w:ilvl w:val="0"/>
                <w:numId w:val="7"/>
              </w:numPr>
              <w:rPr>
                <w:rFonts w:ascii="Times New Roman" w:hAnsi="Times New Roman"/>
              </w:rPr>
            </w:pPr>
          </w:p>
        </w:tc>
        <w:tc>
          <w:tcPr>
            <w:tcW w:w="827" w:type="pct"/>
            <w:vAlign w:val="center"/>
          </w:tcPr>
          <w:p w14:paraId="4E828564">
            <w:pPr>
              <w:pStyle w:val="124"/>
              <w:rPr>
                <w:rFonts w:ascii="Times New Roman" w:hAnsi="Times New Roman"/>
              </w:rPr>
            </w:pPr>
            <w:r>
              <w:rPr>
                <w:rFonts w:ascii="Times New Roman" w:hAnsi="Times New Roman"/>
              </w:rPr>
              <w:t>溶解氧</w:t>
            </w:r>
          </w:p>
        </w:tc>
        <w:tc>
          <w:tcPr>
            <w:tcW w:w="581" w:type="pct"/>
            <w:vAlign w:val="center"/>
          </w:tcPr>
          <w:p w14:paraId="432D05CA">
            <w:pPr>
              <w:pStyle w:val="124"/>
              <w:rPr>
                <w:rFonts w:ascii="Times New Roman" w:hAnsi="Times New Roman"/>
              </w:rPr>
            </w:pPr>
            <w:r>
              <w:rPr>
                <w:rFonts w:ascii="Times New Roman" w:hAnsi="Times New Roman"/>
              </w:rPr>
              <w:t>mg/L</w:t>
            </w:r>
          </w:p>
        </w:tc>
        <w:tc>
          <w:tcPr>
            <w:tcW w:w="965" w:type="pct"/>
            <w:vAlign w:val="center"/>
          </w:tcPr>
          <w:p w14:paraId="69060146">
            <w:pPr>
              <w:pStyle w:val="124"/>
              <w:rPr>
                <w:rFonts w:ascii="Times New Roman" w:hAnsi="Times New Roman"/>
              </w:rPr>
            </w:pPr>
            <w:r>
              <w:rPr>
                <w:rFonts w:ascii="Times New Roman" w:hAnsi="Times New Roman"/>
              </w:rPr>
              <w:t>9.23</w:t>
            </w:r>
          </w:p>
        </w:tc>
        <w:tc>
          <w:tcPr>
            <w:tcW w:w="1060" w:type="pct"/>
            <w:vAlign w:val="center"/>
          </w:tcPr>
          <w:p w14:paraId="54E77309">
            <w:pPr>
              <w:pStyle w:val="124"/>
              <w:rPr>
                <w:rFonts w:ascii="Times New Roman" w:hAnsi="Times New Roman"/>
              </w:rPr>
            </w:pPr>
            <w:r>
              <w:rPr>
                <w:rFonts w:ascii="Times New Roman" w:hAnsi="Times New Roman"/>
              </w:rPr>
              <w:t>≥6</w:t>
            </w:r>
          </w:p>
        </w:tc>
        <w:tc>
          <w:tcPr>
            <w:tcW w:w="486" w:type="pct"/>
            <w:vAlign w:val="center"/>
          </w:tcPr>
          <w:p w14:paraId="1CD4A0BA">
            <w:pPr>
              <w:pStyle w:val="124"/>
              <w:rPr>
                <w:rFonts w:ascii="Times New Roman" w:hAnsi="Times New Roman"/>
              </w:rPr>
            </w:pPr>
            <w:r>
              <w:rPr>
                <w:rFonts w:ascii="Times New Roman" w:hAnsi="Times New Roman"/>
              </w:rPr>
              <w:t>0</w:t>
            </w:r>
          </w:p>
        </w:tc>
        <w:tc>
          <w:tcPr>
            <w:tcW w:w="691" w:type="pct"/>
            <w:vAlign w:val="center"/>
          </w:tcPr>
          <w:p w14:paraId="0B41FAC5">
            <w:pPr>
              <w:pStyle w:val="124"/>
              <w:rPr>
                <w:rFonts w:ascii="Times New Roman" w:hAnsi="Times New Roman"/>
              </w:rPr>
            </w:pPr>
            <w:r>
              <w:rPr>
                <w:rFonts w:ascii="Times New Roman" w:hAnsi="Times New Roman"/>
              </w:rPr>
              <w:t>0.65</w:t>
            </w:r>
          </w:p>
        </w:tc>
      </w:tr>
      <w:tr w14:paraId="6134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4517D884">
            <w:pPr>
              <w:pStyle w:val="124"/>
              <w:numPr>
                <w:ilvl w:val="0"/>
                <w:numId w:val="7"/>
              </w:numPr>
              <w:rPr>
                <w:rFonts w:ascii="Times New Roman" w:hAnsi="Times New Roman"/>
              </w:rPr>
            </w:pPr>
          </w:p>
        </w:tc>
        <w:tc>
          <w:tcPr>
            <w:tcW w:w="827" w:type="pct"/>
            <w:vAlign w:val="center"/>
          </w:tcPr>
          <w:p w14:paraId="7E90F6ED">
            <w:pPr>
              <w:pStyle w:val="124"/>
              <w:rPr>
                <w:rFonts w:ascii="Times New Roman" w:hAnsi="Times New Roman"/>
              </w:rPr>
            </w:pPr>
            <w:r>
              <w:rPr>
                <w:rFonts w:ascii="Times New Roman" w:hAnsi="Times New Roman"/>
              </w:rPr>
              <w:t>水温</w:t>
            </w:r>
          </w:p>
        </w:tc>
        <w:tc>
          <w:tcPr>
            <w:tcW w:w="581" w:type="pct"/>
            <w:vAlign w:val="center"/>
          </w:tcPr>
          <w:p w14:paraId="2B7C7199">
            <w:pPr>
              <w:pStyle w:val="124"/>
              <w:rPr>
                <w:rFonts w:ascii="Times New Roman" w:hAnsi="Times New Roman"/>
              </w:rPr>
            </w:pPr>
            <w:r>
              <w:rPr>
                <w:rFonts w:hint="eastAsia" w:cs="宋体"/>
              </w:rPr>
              <w:t>℃</w:t>
            </w:r>
          </w:p>
        </w:tc>
        <w:tc>
          <w:tcPr>
            <w:tcW w:w="965" w:type="pct"/>
            <w:vAlign w:val="center"/>
          </w:tcPr>
          <w:p w14:paraId="0D0ED5BA">
            <w:pPr>
              <w:pStyle w:val="124"/>
              <w:rPr>
                <w:rFonts w:ascii="Times New Roman" w:hAnsi="Times New Roman"/>
              </w:rPr>
            </w:pPr>
            <w:r>
              <w:rPr>
                <w:rFonts w:ascii="Times New Roman" w:hAnsi="Times New Roman"/>
              </w:rPr>
              <w:t>15.2</w:t>
            </w:r>
          </w:p>
        </w:tc>
        <w:tc>
          <w:tcPr>
            <w:tcW w:w="1060" w:type="pct"/>
            <w:vAlign w:val="center"/>
          </w:tcPr>
          <w:p w14:paraId="18F0CB4D">
            <w:pPr>
              <w:pStyle w:val="124"/>
              <w:rPr>
                <w:rFonts w:ascii="Times New Roman" w:hAnsi="Times New Roman"/>
              </w:rPr>
            </w:pPr>
            <w:r>
              <w:rPr>
                <w:rFonts w:ascii="Times New Roman" w:hAnsi="Times New Roman"/>
              </w:rPr>
              <w:t>/</w:t>
            </w:r>
          </w:p>
        </w:tc>
        <w:tc>
          <w:tcPr>
            <w:tcW w:w="486" w:type="pct"/>
            <w:vAlign w:val="center"/>
          </w:tcPr>
          <w:p w14:paraId="6EC72109">
            <w:pPr>
              <w:pStyle w:val="124"/>
              <w:rPr>
                <w:rFonts w:ascii="Times New Roman" w:hAnsi="Times New Roman"/>
              </w:rPr>
            </w:pPr>
            <w:r>
              <w:rPr>
                <w:rFonts w:ascii="Times New Roman" w:hAnsi="Times New Roman"/>
              </w:rPr>
              <w:t>/</w:t>
            </w:r>
          </w:p>
        </w:tc>
        <w:tc>
          <w:tcPr>
            <w:tcW w:w="691" w:type="pct"/>
            <w:vAlign w:val="center"/>
          </w:tcPr>
          <w:p w14:paraId="38C0A7AF">
            <w:pPr>
              <w:pStyle w:val="124"/>
              <w:rPr>
                <w:rFonts w:ascii="Times New Roman" w:hAnsi="Times New Roman"/>
              </w:rPr>
            </w:pPr>
            <w:r>
              <w:rPr>
                <w:rFonts w:ascii="Times New Roman" w:hAnsi="Times New Roman"/>
              </w:rPr>
              <w:t>/</w:t>
            </w:r>
          </w:p>
        </w:tc>
      </w:tr>
      <w:tr w14:paraId="3D8C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2D2140FA">
            <w:pPr>
              <w:pStyle w:val="124"/>
              <w:numPr>
                <w:ilvl w:val="0"/>
                <w:numId w:val="7"/>
              </w:numPr>
              <w:rPr>
                <w:rFonts w:ascii="Times New Roman" w:hAnsi="Times New Roman"/>
              </w:rPr>
            </w:pPr>
          </w:p>
        </w:tc>
        <w:tc>
          <w:tcPr>
            <w:tcW w:w="827" w:type="pct"/>
            <w:vAlign w:val="center"/>
          </w:tcPr>
          <w:p w14:paraId="3828857E">
            <w:pPr>
              <w:pStyle w:val="124"/>
              <w:rPr>
                <w:rFonts w:ascii="Times New Roman" w:hAnsi="Times New Roman"/>
              </w:rPr>
            </w:pPr>
            <w:r>
              <w:rPr>
                <w:rFonts w:ascii="Times New Roman" w:hAnsi="Times New Roman"/>
              </w:rPr>
              <w:t>COD</w:t>
            </w:r>
          </w:p>
        </w:tc>
        <w:tc>
          <w:tcPr>
            <w:tcW w:w="581" w:type="pct"/>
            <w:vAlign w:val="center"/>
          </w:tcPr>
          <w:p w14:paraId="3BD8514D">
            <w:pPr>
              <w:pStyle w:val="124"/>
              <w:rPr>
                <w:rFonts w:ascii="Times New Roman" w:hAnsi="Times New Roman"/>
              </w:rPr>
            </w:pPr>
            <w:r>
              <w:rPr>
                <w:rFonts w:ascii="Times New Roman" w:hAnsi="Times New Roman"/>
              </w:rPr>
              <w:t>mg/L</w:t>
            </w:r>
          </w:p>
        </w:tc>
        <w:tc>
          <w:tcPr>
            <w:tcW w:w="965" w:type="pct"/>
            <w:vAlign w:val="center"/>
          </w:tcPr>
          <w:p w14:paraId="416ADFDC">
            <w:pPr>
              <w:pStyle w:val="124"/>
              <w:rPr>
                <w:rFonts w:ascii="Times New Roman" w:hAnsi="Times New Roman"/>
              </w:rPr>
            </w:pPr>
            <w:r>
              <w:rPr>
                <w:rFonts w:ascii="Times New Roman" w:hAnsi="Times New Roman"/>
              </w:rPr>
              <w:t>11</w:t>
            </w:r>
          </w:p>
        </w:tc>
        <w:tc>
          <w:tcPr>
            <w:tcW w:w="1060" w:type="pct"/>
            <w:vAlign w:val="center"/>
          </w:tcPr>
          <w:p w14:paraId="284CCEAF">
            <w:pPr>
              <w:pStyle w:val="124"/>
              <w:rPr>
                <w:rFonts w:ascii="Times New Roman" w:hAnsi="Times New Roman"/>
              </w:rPr>
            </w:pPr>
            <w:r>
              <w:rPr>
                <w:rFonts w:ascii="Times New Roman" w:hAnsi="Times New Roman"/>
              </w:rPr>
              <w:t>≤15</w:t>
            </w:r>
          </w:p>
        </w:tc>
        <w:tc>
          <w:tcPr>
            <w:tcW w:w="486" w:type="pct"/>
            <w:vAlign w:val="center"/>
          </w:tcPr>
          <w:p w14:paraId="224F2783">
            <w:pPr>
              <w:pStyle w:val="124"/>
              <w:rPr>
                <w:rFonts w:ascii="Times New Roman" w:hAnsi="Times New Roman"/>
              </w:rPr>
            </w:pPr>
            <w:r>
              <w:rPr>
                <w:rFonts w:ascii="Times New Roman" w:hAnsi="Times New Roman"/>
              </w:rPr>
              <w:t>0</w:t>
            </w:r>
          </w:p>
        </w:tc>
        <w:tc>
          <w:tcPr>
            <w:tcW w:w="691" w:type="pct"/>
            <w:vAlign w:val="center"/>
          </w:tcPr>
          <w:p w14:paraId="65243A73">
            <w:pPr>
              <w:pStyle w:val="124"/>
              <w:rPr>
                <w:rFonts w:ascii="Times New Roman" w:hAnsi="Times New Roman"/>
              </w:rPr>
            </w:pPr>
            <w:r>
              <w:rPr>
                <w:rFonts w:ascii="Times New Roman" w:hAnsi="Times New Roman"/>
              </w:rPr>
              <w:t>0.73</w:t>
            </w:r>
          </w:p>
        </w:tc>
      </w:tr>
      <w:tr w14:paraId="2B1B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30ECE2D">
            <w:pPr>
              <w:pStyle w:val="124"/>
              <w:numPr>
                <w:ilvl w:val="0"/>
                <w:numId w:val="7"/>
              </w:numPr>
              <w:rPr>
                <w:rFonts w:ascii="Times New Roman" w:hAnsi="Times New Roman"/>
              </w:rPr>
            </w:pPr>
          </w:p>
        </w:tc>
        <w:tc>
          <w:tcPr>
            <w:tcW w:w="827" w:type="pct"/>
            <w:vAlign w:val="center"/>
          </w:tcPr>
          <w:p w14:paraId="1646D1A5">
            <w:pPr>
              <w:pStyle w:val="124"/>
              <w:rPr>
                <w:rFonts w:ascii="Times New Roman" w:hAnsi="Times New Roman"/>
              </w:rPr>
            </w:pPr>
            <w:r>
              <w:rPr>
                <w:rFonts w:ascii="Times New Roman" w:hAnsi="Times New Roman"/>
              </w:rPr>
              <w:t>LAS</w:t>
            </w:r>
          </w:p>
        </w:tc>
        <w:tc>
          <w:tcPr>
            <w:tcW w:w="581" w:type="pct"/>
            <w:vAlign w:val="center"/>
          </w:tcPr>
          <w:p w14:paraId="030C0648">
            <w:pPr>
              <w:pStyle w:val="124"/>
              <w:rPr>
                <w:rFonts w:ascii="Times New Roman" w:hAnsi="Times New Roman"/>
              </w:rPr>
            </w:pPr>
            <w:r>
              <w:rPr>
                <w:rFonts w:ascii="Times New Roman" w:hAnsi="Times New Roman"/>
              </w:rPr>
              <w:t>mg/L</w:t>
            </w:r>
          </w:p>
        </w:tc>
        <w:tc>
          <w:tcPr>
            <w:tcW w:w="965" w:type="pct"/>
            <w:vAlign w:val="center"/>
          </w:tcPr>
          <w:p w14:paraId="5D1E3380">
            <w:pPr>
              <w:pStyle w:val="124"/>
              <w:rPr>
                <w:rFonts w:ascii="Times New Roman" w:hAnsi="Times New Roman"/>
              </w:rPr>
            </w:pPr>
            <w:r>
              <w:rPr>
                <w:rFonts w:ascii="Times New Roman" w:hAnsi="Times New Roman"/>
              </w:rPr>
              <w:t>0.05L</w:t>
            </w:r>
          </w:p>
        </w:tc>
        <w:tc>
          <w:tcPr>
            <w:tcW w:w="1060" w:type="pct"/>
            <w:vAlign w:val="center"/>
          </w:tcPr>
          <w:p w14:paraId="5C9D8979">
            <w:pPr>
              <w:pStyle w:val="124"/>
              <w:rPr>
                <w:rFonts w:ascii="Times New Roman" w:hAnsi="Times New Roman"/>
              </w:rPr>
            </w:pPr>
            <w:r>
              <w:rPr>
                <w:rFonts w:ascii="Times New Roman" w:hAnsi="Times New Roman"/>
              </w:rPr>
              <w:t>≤0.2</w:t>
            </w:r>
          </w:p>
        </w:tc>
        <w:tc>
          <w:tcPr>
            <w:tcW w:w="486" w:type="pct"/>
            <w:vAlign w:val="center"/>
          </w:tcPr>
          <w:p w14:paraId="7226286D">
            <w:pPr>
              <w:pStyle w:val="124"/>
              <w:rPr>
                <w:rFonts w:ascii="Times New Roman" w:hAnsi="Times New Roman"/>
              </w:rPr>
            </w:pPr>
            <w:r>
              <w:rPr>
                <w:rFonts w:ascii="Times New Roman" w:hAnsi="Times New Roman"/>
              </w:rPr>
              <w:t>0</w:t>
            </w:r>
          </w:p>
        </w:tc>
        <w:tc>
          <w:tcPr>
            <w:tcW w:w="691" w:type="pct"/>
            <w:vAlign w:val="center"/>
          </w:tcPr>
          <w:p w14:paraId="576FF851">
            <w:pPr>
              <w:pStyle w:val="124"/>
              <w:rPr>
                <w:rFonts w:ascii="Times New Roman" w:hAnsi="Times New Roman"/>
              </w:rPr>
            </w:pPr>
            <w:r>
              <w:rPr>
                <w:rFonts w:ascii="Times New Roman" w:hAnsi="Times New Roman"/>
              </w:rPr>
              <w:t>/</w:t>
            </w:r>
          </w:p>
        </w:tc>
      </w:tr>
      <w:tr w14:paraId="4EE1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0A1B35E9">
            <w:pPr>
              <w:pStyle w:val="124"/>
              <w:numPr>
                <w:ilvl w:val="0"/>
                <w:numId w:val="7"/>
              </w:numPr>
              <w:rPr>
                <w:rFonts w:ascii="Times New Roman" w:hAnsi="Times New Roman"/>
              </w:rPr>
            </w:pPr>
          </w:p>
        </w:tc>
        <w:tc>
          <w:tcPr>
            <w:tcW w:w="827" w:type="pct"/>
            <w:vAlign w:val="center"/>
          </w:tcPr>
          <w:p w14:paraId="160CC67D">
            <w:pPr>
              <w:pStyle w:val="124"/>
              <w:rPr>
                <w:rFonts w:ascii="Times New Roman" w:hAnsi="Times New Roman"/>
              </w:rPr>
            </w:pPr>
            <w:r>
              <w:rPr>
                <w:rFonts w:ascii="Times New Roman" w:hAnsi="Times New Roman"/>
              </w:rPr>
              <w:t>挥发酚</w:t>
            </w:r>
          </w:p>
        </w:tc>
        <w:tc>
          <w:tcPr>
            <w:tcW w:w="581" w:type="pct"/>
            <w:vAlign w:val="center"/>
          </w:tcPr>
          <w:p w14:paraId="3A0A3637">
            <w:pPr>
              <w:pStyle w:val="124"/>
              <w:rPr>
                <w:rFonts w:ascii="Times New Roman" w:hAnsi="Times New Roman"/>
              </w:rPr>
            </w:pPr>
            <w:r>
              <w:rPr>
                <w:rFonts w:ascii="Times New Roman" w:hAnsi="Times New Roman"/>
              </w:rPr>
              <w:t>mg/L</w:t>
            </w:r>
          </w:p>
        </w:tc>
        <w:tc>
          <w:tcPr>
            <w:tcW w:w="965" w:type="pct"/>
            <w:vAlign w:val="center"/>
          </w:tcPr>
          <w:p w14:paraId="309D7015">
            <w:pPr>
              <w:pStyle w:val="124"/>
              <w:rPr>
                <w:rFonts w:ascii="Times New Roman" w:hAnsi="Times New Roman"/>
              </w:rPr>
            </w:pPr>
            <w:r>
              <w:rPr>
                <w:rFonts w:ascii="Times New Roman" w:hAnsi="Times New Roman"/>
              </w:rPr>
              <w:t>0.0003L</w:t>
            </w:r>
          </w:p>
        </w:tc>
        <w:tc>
          <w:tcPr>
            <w:tcW w:w="1060" w:type="pct"/>
            <w:vAlign w:val="center"/>
          </w:tcPr>
          <w:p w14:paraId="72043871">
            <w:pPr>
              <w:pStyle w:val="124"/>
              <w:rPr>
                <w:rFonts w:ascii="Times New Roman" w:hAnsi="Times New Roman"/>
              </w:rPr>
            </w:pPr>
            <w:r>
              <w:rPr>
                <w:rFonts w:ascii="Times New Roman" w:hAnsi="Times New Roman"/>
              </w:rPr>
              <w:t>≤0.002</w:t>
            </w:r>
          </w:p>
        </w:tc>
        <w:tc>
          <w:tcPr>
            <w:tcW w:w="486" w:type="pct"/>
            <w:vAlign w:val="center"/>
          </w:tcPr>
          <w:p w14:paraId="20AABF32">
            <w:pPr>
              <w:pStyle w:val="124"/>
              <w:rPr>
                <w:rFonts w:ascii="Times New Roman" w:hAnsi="Times New Roman"/>
              </w:rPr>
            </w:pPr>
            <w:r>
              <w:rPr>
                <w:rFonts w:ascii="Times New Roman" w:hAnsi="Times New Roman"/>
              </w:rPr>
              <w:t>0</w:t>
            </w:r>
          </w:p>
        </w:tc>
        <w:tc>
          <w:tcPr>
            <w:tcW w:w="691" w:type="pct"/>
            <w:vAlign w:val="center"/>
          </w:tcPr>
          <w:p w14:paraId="54579139">
            <w:pPr>
              <w:pStyle w:val="124"/>
              <w:rPr>
                <w:rFonts w:ascii="Times New Roman" w:hAnsi="Times New Roman"/>
              </w:rPr>
            </w:pPr>
            <w:r>
              <w:rPr>
                <w:rFonts w:ascii="Times New Roman" w:hAnsi="Times New Roman"/>
              </w:rPr>
              <w:t>/</w:t>
            </w:r>
          </w:p>
        </w:tc>
      </w:tr>
      <w:tr w14:paraId="76B5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0EA6530">
            <w:pPr>
              <w:pStyle w:val="124"/>
              <w:numPr>
                <w:ilvl w:val="0"/>
                <w:numId w:val="7"/>
              </w:numPr>
              <w:rPr>
                <w:rFonts w:ascii="Times New Roman" w:hAnsi="Times New Roman"/>
              </w:rPr>
            </w:pPr>
          </w:p>
        </w:tc>
        <w:tc>
          <w:tcPr>
            <w:tcW w:w="827" w:type="pct"/>
            <w:vAlign w:val="center"/>
          </w:tcPr>
          <w:p w14:paraId="0192B2F0">
            <w:pPr>
              <w:pStyle w:val="124"/>
              <w:rPr>
                <w:rFonts w:ascii="Times New Roman" w:hAnsi="Times New Roman"/>
              </w:rPr>
            </w:pPr>
            <w:r>
              <w:rPr>
                <w:rFonts w:ascii="Times New Roman" w:hAnsi="Times New Roman"/>
              </w:rPr>
              <w:t>高锰酸盐指数</w:t>
            </w:r>
          </w:p>
        </w:tc>
        <w:tc>
          <w:tcPr>
            <w:tcW w:w="581" w:type="pct"/>
            <w:vAlign w:val="center"/>
          </w:tcPr>
          <w:p w14:paraId="1CF1AC0F">
            <w:pPr>
              <w:pStyle w:val="124"/>
              <w:rPr>
                <w:rFonts w:ascii="Times New Roman" w:hAnsi="Times New Roman"/>
              </w:rPr>
            </w:pPr>
            <w:r>
              <w:rPr>
                <w:rFonts w:ascii="Times New Roman" w:hAnsi="Times New Roman"/>
              </w:rPr>
              <w:t>mg/L</w:t>
            </w:r>
          </w:p>
        </w:tc>
        <w:tc>
          <w:tcPr>
            <w:tcW w:w="965" w:type="pct"/>
            <w:vAlign w:val="center"/>
          </w:tcPr>
          <w:p w14:paraId="75209DE7">
            <w:pPr>
              <w:pStyle w:val="124"/>
              <w:rPr>
                <w:rFonts w:ascii="Times New Roman" w:hAnsi="Times New Roman"/>
              </w:rPr>
            </w:pPr>
            <w:r>
              <w:rPr>
                <w:rFonts w:ascii="Times New Roman" w:hAnsi="Times New Roman"/>
              </w:rPr>
              <w:t>0.8</w:t>
            </w:r>
          </w:p>
        </w:tc>
        <w:tc>
          <w:tcPr>
            <w:tcW w:w="1060" w:type="pct"/>
            <w:vAlign w:val="center"/>
          </w:tcPr>
          <w:p w14:paraId="3F5DE24F">
            <w:pPr>
              <w:pStyle w:val="124"/>
              <w:rPr>
                <w:rFonts w:ascii="Times New Roman" w:hAnsi="Times New Roman"/>
              </w:rPr>
            </w:pPr>
            <w:r>
              <w:rPr>
                <w:rFonts w:ascii="Times New Roman" w:hAnsi="Times New Roman"/>
              </w:rPr>
              <w:t>≤4</w:t>
            </w:r>
          </w:p>
        </w:tc>
        <w:tc>
          <w:tcPr>
            <w:tcW w:w="486" w:type="pct"/>
            <w:vAlign w:val="center"/>
          </w:tcPr>
          <w:p w14:paraId="0D0F2778">
            <w:pPr>
              <w:pStyle w:val="124"/>
              <w:rPr>
                <w:rFonts w:ascii="Times New Roman" w:hAnsi="Times New Roman"/>
              </w:rPr>
            </w:pPr>
            <w:r>
              <w:rPr>
                <w:rFonts w:ascii="Times New Roman" w:hAnsi="Times New Roman"/>
              </w:rPr>
              <w:t>0</w:t>
            </w:r>
          </w:p>
        </w:tc>
        <w:tc>
          <w:tcPr>
            <w:tcW w:w="691" w:type="pct"/>
            <w:vAlign w:val="center"/>
          </w:tcPr>
          <w:p w14:paraId="326CDCA3">
            <w:pPr>
              <w:pStyle w:val="124"/>
              <w:rPr>
                <w:rFonts w:ascii="Times New Roman" w:hAnsi="Times New Roman"/>
              </w:rPr>
            </w:pPr>
            <w:r>
              <w:rPr>
                <w:rFonts w:ascii="Times New Roman" w:hAnsi="Times New Roman"/>
              </w:rPr>
              <w:t>0.2</w:t>
            </w:r>
          </w:p>
        </w:tc>
      </w:tr>
      <w:tr w14:paraId="5831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FB9358E">
            <w:pPr>
              <w:pStyle w:val="124"/>
              <w:numPr>
                <w:ilvl w:val="0"/>
                <w:numId w:val="7"/>
              </w:numPr>
              <w:rPr>
                <w:rFonts w:ascii="Times New Roman" w:hAnsi="Times New Roman"/>
              </w:rPr>
            </w:pPr>
          </w:p>
        </w:tc>
        <w:tc>
          <w:tcPr>
            <w:tcW w:w="827" w:type="pct"/>
            <w:vAlign w:val="center"/>
          </w:tcPr>
          <w:p w14:paraId="2818E30E">
            <w:pPr>
              <w:pStyle w:val="124"/>
              <w:rPr>
                <w:rFonts w:ascii="Times New Roman" w:hAnsi="Times New Roman"/>
              </w:rPr>
            </w:pPr>
            <w:r>
              <w:rPr>
                <w:rFonts w:ascii="Times New Roman" w:hAnsi="Times New Roman"/>
              </w:rPr>
              <w:t>硫化物</w:t>
            </w:r>
          </w:p>
        </w:tc>
        <w:tc>
          <w:tcPr>
            <w:tcW w:w="581" w:type="pct"/>
            <w:vAlign w:val="center"/>
          </w:tcPr>
          <w:p w14:paraId="4F11BDCB">
            <w:pPr>
              <w:pStyle w:val="124"/>
              <w:rPr>
                <w:rFonts w:ascii="Times New Roman" w:hAnsi="Times New Roman"/>
              </w:rPr>
            </w:pPr>
            <w:r>
              <w:rPr>
                <w:rFonts w:ascii="Times New Roman" w:hAnsi="Times New Roman"/>
              </w:rPr>
              <w:t>mg/L</w:t>
            </w:r>
          </w:p>
        </w:tc>
        <w:tc>
          <w:tcPr>
            <w:tcW w:w="965" w:type="pct"/>
            <w:vAlign w:val="center"/>
          </w:tcPr>
          <w:p w14:paraId="5DABC3EC">
            <w:pPr>
              <w:pStyle w:val="124"/>
              <w:rPr>
                <w:rFonts w:ascii="Times New Roman" w:hAnsi="Times New Roman"/>
              </w:rPr>
            </w:pPr>
            <w:r>
              <w:rPr>
                <w:rFonts w:ascii="Times New Roman" w:hAnsi="Times New Roman"/>
              </w:rPr>
              <w:t>0.005L</w:t>
            </w:r>
          </w:p>
        </w:tc>
        <w:tc>
          <w:tcPr>
            <w:tcW w:w="1060" w:type="pct"/>
            <w:vAlign w:val="center"/>
          </w:tcPr>
          <w:p w14:paraId="1B6E7580">
            <w:pPr>
              <w:pStyle w:val="124"/>
              <w:rPr>
                <w:rFonts w:ascii="Times New Roman" w:hAnsi="Times New Roman"/>
              </w:rPr>
            </w:pPr>
            <w:r>
              <w:rPr>
                <w:rFonts w:ascii="Times New Roman" w:hAnsi="Times New Roman"/>
              </w:rPr>
              <w:t>≤0.1</w:t>
            </w:r>
          </w:p>
        </w:tc>
        <w:tc>
          <w:tcPr>
            <w:tcW w:w="486" w:type="pct"/>
            <w:vAlign w:val="center"/>
          </w:tcPr>
          <w:p w14:paraId="2263A731">
            <w:pPr>
              <w:pStyle w:val="124"/>
              <w:rPr>
                <w:rFonts w:ascii="Times New Roman" w:hAnsi="Times New Roman"/>
              </w:rPr>
            </w:pPr>
            <w:r>
              <w:rPr>
                <w:rFonts w:ascii="Times New Roman" w:hAnsi="Times New Roman"/>
              </w:rPr>
              <w:t>0</w:t>
            </w:r>
          </w:p>
        </w:tc>
        <w:tc>
          <w:tcPr>
            <w:tcW w:w="691" w:type="pct"/>
            <w:vAlign w:val="center"/>
          </w:tcPr>
          <w:p w14:paraId="24E668F6">
            <w:pPr>
              <w:pStyle w:val="124"/>
              <w:rPr>
                <w:rFonts w:ascii="Times New Roman" w:hAnsi="Times New Roman"/>
              </w:rPr>
            </w:pPr>
            <w:r>
              <w:rPr>
                <w:rFonts w:ascii="Times New Roman" w:hAnsi="Times New Roman"/>
              </w:rPr>
              <w:t>/</w:t>
            </w:r>
          </w:p>
        </w:tc>
      </w:tr>
      <w:tr w14:paraId="3030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0C5FC6F5">
            <w:pPr>
              <w:pStyle w:val="124"/>
              <w:numPr>
                <w:ilvl w:val="0"/>
                <w:numId w:val="7"/>
              </w:numPr>
              <w:rPr>
                <w:rFonts w:ascii="Times New Roman" w:hAnsi="Times New Roman"/>
              </w:rPr>
            </w:pPr>
          </w:p>
        </w:tc>
        <w:tc>
          <w:tcPr>
            <w:tcW w:w="827" w:type="pct"/>
            <w:vAlign w:val="center"/>
          </w:tcPr>
          <w:p w14:paraId="0E62CD9A">
            <w:pPr>
              <w:pStyle w:val="124"/>
              <w:rPr>
                <w:rFonts w:ascii="Times New Roman" w:hAnsi="Times New Roman"/>
              </w:rPr>
            </w:pPr>
            <w:r>
              <w:rPr>
                <w:rFonts w:ascii="Times New Roman" w:hAnsi="Times New Roman"/>
              </w:rPr>
              <w:t>BOD</w:t>
            </w:r>
            <w:r>
              <w:rPr>
                <w:rFonts w:ascii="Times New Roman" w:hAnsi="Times New Roman"/>
                <w:vertAlign w:val="subscript"/>
              </w:rPr>
              <w:t>5</w:t>
            </w:r>
          </w:p>
        </w:tc>
        <w:tc>
          <w:tcPr>
            <w:tcW w:w="581" w:type="pct"/>
            <w:vAlign w:val="center"/>
          </w:tcPr>
          <w:p w14:paraId="64E6C562">
            <w:pPr>
              <w:pStyle w:val="124"/>
              <w:rPr>
                <w:rFonts w:ascii="Times New Roman" w:hAnsi="Times New Roman"/>
              </w:rPr>
            </w:pPr>
            <w:r>
              <w:rPr>
                <w:rFonts w:ascii="Times New Roman" w:hAnsi="Times New Roman"/>
              </w:rPr>
              <w:t>mg/L</w:t>
            </w:r>
          </w:p>
        </w:tc>
        <w:tc>
          <w:tcPr>
            <w:tcW w:w="965" w:type="pct"/>
            <w:vAlign w:val="center"/>
          </w:tcPr>
          <w:p w14:paraId="1AF2D69F">
            <w:pPr>
              <w:pStyle w:val="124"/>
              <w:rPr>
                <w:rFonts w:ascii="Times New Roman" w:hAnsi="Times New Roman"/>
              </w:rPr>
            </w:pPr>
            <w:r>
              <w:rPr>
                <w:rFonts w:ascii="Times New Roman" w:hAnsi="Times New Roman"/>
              </w:rPr>
              <w:t>0.5L</w:t>
            </w:r>
          </w:p>
        </w:tc>
        <w:tc>
          <w:tcPr>
            <w:tcW w:w="1060" w:type="pct"/>
            <w:vAlign w:val="center"/>
          </w:tcPr>
          <w:p w14:paraId="6DE943AB">
            <w:pPr>
              <w:pStyle w:val="124"/>
              <w:rPr>
                <w:rFonts w:ascii="Times New Roman" w:hAnsi="Times New Roman"/>
              </w:rPr>
            </w:pPr>
            <w:r>
              <w:rPr>
                <w:rFonts w:ascii="Times New Roman" w:hAnsi="Times New Roman"/>
              </w:rPr>
              <w:t>≤3.0</w:t>
            </w:r>
          </w:p>
        </w:tc>
        <w:tc>
          <w:tcPr>
            <w:tcW w:w="486" w:type="pct"/>
            <w:vAlign w:val="center"/>
          </w:tcPr>
          <w:p w14:paraId="137C53BD">
            <w:pPr>
              <w:pStyle w:val="124"/>
              <w:rPr>
                <w:rFonts w:ascii="Times New Roman" w:hAnsi="Times New Roman"/>
              </w:rPr>
            </w:pPr>
            <w:r>
              <w:rPr>
                <w:rFonts w:ascii="Times New Roman" w:hAnsi="Times New Roman"/>
              </w:rPr>
              <w:t>0</w:t>
            </w:r>
          </w:p>
        </w:tc>
        <w:tc>
          <w:tcPr>
            <w:tcW w:w="691" w:type="pct"/>
            <w:vAlign w:val="center"/>
          </w:tcPr>
          <w:p w14:paraId="50F8AEFA">
            <w:pPr>
              <w:pStyle w:val="124"/>
              <w:rPr>
                <w:rFonts w:ascii="Times New Roman" w:hAnsi="Times New Roman"/>
              </w:rPr>
            </w:pPr>
            <w:r>
              <w:rPr>
                <w:rFonts w:ascii="Times New Roman" w:hAnsi="Times New Roman"/>
              </w:rPr>
              <w:t>/</w:t>
            </w:r>
          </w:p>
        </w:tc>
      </w:tr>
      <w:tr w14:paraId="359D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767D4385">
            <w:pPr>
              <w:pStyle w:val="124"/>
              <w:numPr>
                <w:ilvl w:val="0"/>
                <w:numId w:val="7"/>
              </w:numPr>
              <w:rPr>
                <w:rFonts w:ascii="Times New Roman" w:hAnsi="Times New Roman"/>
              </w:rPr>
            </w:pPr>
          </w:p>
        </w:tc>
        <w:tc>
          <w:tcPr>
            <w:tcW w:w="827" w:type="pct"/>
            <w:vAlign w:val="center"/>
          </w:tcPr>
          <w:p w14:paraId="00BE15C8">
            <w:pPr>
              <w:pStyle w:val="124"/>
              <w:rPr>
                <w:rFonts w:ascii="Times New Roman" w:hAnsi="Times New Roman"/>
              </w:rPr>
            </w:pPr>
            <w:r>
              <w:rPr>
                <w:rFonts w:ascii="Times New Roman" w:hAnsi="Times New Roman"/>
              </w:rPr>
              <w:t>石油类</w:t>
            </w:r>
          </w:p>
        </w:tc>
        <w:tc>
          <w:tcPr>
            <w:tcW w:w="581" w:type="pct"/>
            <w:vAlign w:val="center"/>
          </w:tcPr>
          <w:p w14:paraId="554B885D">
            <w:pPr>
              <w:pStyle w:val="124"/>
              <w:rPr>
                <w:rFonts w:ascii="Times New Roman" w:hAnsi="Times New Roman"/>
              </w:rPr>
            </w:pPr>
            <w:r>
              <w:rPr>
                <w:rFonts w:ascii="Times New Roman" w:hAnsi="Times New Roman"/>
              </w:rPr>
              <w:t>mg/L</w:t>
            </w:r>
          </w:p>
        </w:tc>
        <w:tc>
          <w:tcPr>
            <w:tcW w:w="965" w:type="pct"/>
            <w:vAlign w:val="center"/>
          </w:tcPr>
          <w:p w14:paraId="50F240B6">
            <w:pPr>
              <w:pStyle w:val="124"/>
              <w:rPr>
                <w:rFonts w:ascii="Times New Roman" w:hAnsi="Times New Roman"/>
              </w:rPr>
            </w:pPr>
            <w:r>
              <w:rPr>
                <w:rFonts w:ascii="Times New Roman" w:hAnsi="Times New Roman"/>
              </w:rPr>
              <w:t>0.01L</w:t>
            </w:r>
          </w:p>
        </w:tc>
        <w:tc>
          <w:tcPr>
            <w:tcW w:w="1060" w:type="pct"/>
            <w:vAlign w:val="center"/>
          </w:tcPr>
          <w:p w14:paraId="42D613AB">
            <w:pPr>
              <w:pStyle w:val="124"/>
              <w:rPr>
                <w:rFonts w:ascii="Times New Roman" w:hAnsi="Times New Roman"/>
              </w:rPr>
            </w:pPr>
            <w:r>
              <w:rPr>
                <w:rFonts w:ascii="Times New Roman" w:hAnsi="Times New Roman"/>
              </w:rPr>
              <w:t>≤0.05</w:t>
            </w:r>
          </w:p>
        </w:tc>
        <w:tc>
          <w:tcPr>
            <w:tcW w:w="486" w:type="pct"/>
            <w:vAlign w:val="center"/>
          </w:tcPr>
          <w:p w14:paraId="608E22DF">
            <w:pPr>
              <w:pStyle w:val="124"/>
              <w:rPr>
                <w:rFonts w:ascii="Times New Roman" w:hAnsi="Times New Roman"/>
              </w:rPr>
            </w:pPr>
            <w:r>
              <w:rPr>
                <w:rFonts w:ascii="Times New Roman" w:hAnsi="Times New Roman"/>
              </w:rPr>
              <w:t>0</w:t>
            </w:r>
          </w:p>
        </w:tc>
        <w:tc>
          <w:tcPr>
            <w:tcW w:w="691" w:type="pct"/>
            <w:vAlign w:val="center"/>
          </w:tcPr>
          <w:p w14:paraId="75BEC9FE">
            <w:pPr>
              <w:pStyle w:val="124"/>
              <w:rPr>
                <w:rFonts w:ascii="Times New Roman" w:hAnsi="Times New Roman"/>
              </w:rPr>
            </w:pPr>
            <w:r>
              <w:rPr>
                <w:rFonts w:ascii="Times New Roman" w:hAnsi="Times New Roman"/>
              </w:rPr>
              <w:t>/</w:t>
            </w:r>
          </w:p>
        </w:tc>
      </w:tr>
      <w:tr w14:paraId="4E5F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7A44C839">
            <w:pPr>
              <w:pStyle w:val="124"/>
              <w:numPr>
                <w:ilvl w:val="0"/>
                <w:numId w:val="7"/>
              </w:numPr>
              <w:rPr>
                <w:rFonts w:ascii="Times New Roman" w:hAnsi="Times New Roman"/>
              </w:rPr>
            </w:pPr>
          </w:p>
        </w:tc>
        <w:tc>
          <w:tcPr>
            <w:tcW w:w="827" w:type="pct"/>
            <w:vAlign w:val="center"/>
          </w:tcPr>
          <w:p w14:paraId="3C71EF2E">
            <w:pPr>
              <w:pStyle w:val="124"/>
              <w:rPr>
                <w:rFonts w:ascii="Times New Roman" w:hAnsi="Times New Roman"/>
              </w:rPr>
            </w:pPr>
            <w:r>
              <w:rPr>
                <w:rFonts w:ascii="Times New Roman" w:hAnsi="Times New Roman"/>
              </w:rPr>
              <w:t>粪大肠菌群</w:t>
            </w:r>
          </w:p>
        </w:tc>
        <w:tc>
          <w:tcPr>
            <w:tcW w:w="581" w:type="pct"/>
            <w:vAlign w:val="center"/>
          </w:tcPr>
          <w:p w14:paraId="12340870">
            <w:pPr>
              <w:pStyle w:val="124"/>
              <w:rPr>
                <w:rFonts w:ascii="Times New Roman" w:hAnsi="Times New Roman"/>
              </w:rPr>
            </w:pPr>
            <w:r>
              <w:rPr>
                <w:rFonts w:ascii="Times New Roman" w:hAnsi="Times New Roman"/>
              </w:rPr>
              <w:t>个/L</w:t>
            </w:r>
          </w:p>
        </w:tc>
        <w:tc>
          <w:tcPr>
            <w:tcW w:w="965" w:type="pct"/>
            <w:vAlign w:val="center"/>
          </w:tcPr>
          <w:p w14:paraId="235AE810">
            <w:pPr>
              <w:pStyle w:val="124"/>
              <w:rPr>
                <w:rFonts w:ascii="Times New Roman" w:hAnsi="Times New Roman"/>
              </w:rPr>
            </w:pPr>
            <w:r>
              <w:rPr>
                <w:rFonts w:ascii="Times New Roman" w:hAnsi="Times New Roman"/>
              </w:rPr>
              <w:t>1700</w:t>
            </w:r>
          </w:p>
        </w:tc>
        <w:tc>
          <w:tcPr>
            <w:tcW w:w="1060" w:type="pct"/>
            <w:vAlign w:val="center"/>
          </w:tcPr>
          <w:p w14:paraId="3B49523D">
            <w:pPr>
              <w:pStyle w:val="124"/>
              <w:rPr>
                <w:rFonts w:ascii="Times New Roman" w:hAnsi="Times New Roman"/>
              </w:rPr>
            </w:pPr>
            <w:r>
              <w:rPr>
                <w:rFonts w:ascii="Times New Roman" w:hAnsi="Times New Roman"/>
              </w:rPr>
              <w:t>≤2000</w:t>
            </w:r>
          </w:p>
        </w:tc>
        <w:tc>
          <w:tcPr>
            <w:tcW w:w="486" w:type="pct"/>
            <w:vAlign w:val="center"/>
          </w:tcPr>
          <w:p w14:paraId="153766F5">
            <w:pPr>
              <w:pStyle w:val="124"/>
              <w:rPr>
                <w:rFonts w:ascii="Times New Roman" w:hAnsi="Times New Roman"/>
              </w:rPr>
            </w:pPr>
            <w:r>
              <w:rPr>
                <w:rFonts w:ascii="Times New Roman" w:hAnsi="Times New Roman"/>
              </w:rPr>
              <w:t>0</w:t>
            </w:r>
          </w:p>
        </w:tc>
        <w:tc>
          <w:tcPr>
            <w:tcW w:w="691" w:type="pct"/>
            <w:vAlign w:val="center"/>
          </w:tcPr>
          <w:p w14:paraId="752B108B">
            <w:pPr>
              <w:pStyle w:val="124"/>
              <w:rPr>
                <w:rFonts w:ascii="Times New Roman" w:hAnsi="Times New Roman"/>
              </w:rPr>
            </w:pPr>
            <w:r>
              <w:rPr>
                <w:rFonts w:ascii="Times New Roman" w:hAnsi="Times New Roman"/>
              </w:rPr>
              <w:t>0.85</w:t>
            </w:r>
          </w:p>
        </w:tc>
      </w:tr>
      <w:tr w14:paraId="2FC9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3917C1F0">
            <w:pPr>
              <w:pStyle w:val="124"/>
              <w:numPr>
                <w:ilvl w:val="0"/>
                <w:numId w:val="7"/>
              </w:numPr>
              <w:rPr>
                <w:rFonts w:ascii="Times New Roman" w:hAnsi="Times New Roman"/>
              </w:rPr>
            </w:pPr>
          </w:p>
        </w:tc>
        <w:tc>
          <w:tcPr>
            <w:tcW w:w="827" w:type="pct"/>
            <w:vAlign w:val="center"/>
          </w:tcPr>
          <w:p w14:paraId="0BD9E981">
            <w:pPr>
              <w:pStyle w:val="124"/>
              <w:rPr>
                <w:rFonts w:ascii="Times New Roman" w:hAnsi="Times New Roman"/>
              </w:rPr>
            </w:pPr>
            <w:r>
              <w:rPr>
                <w:rFonts w:ascii="Times New Roman" w:hAnsi="Times New Roman"/>
              </w:rPr>
              <w:t>六价铬</w:t>
            </w:r>
          </w:p>
        </w:tc>
        <w:tc>
          <w:tcPr>
            <w:tcW w:w="581" w:type="pct"/>
            <w:vAlign w:val="center"/>
          </w:tcPr>
          <w:p w14:paraId="2C93ED09">
            <w:pPr>
              <w:pStyle w:val="124"/>
              <w:rPr>
                <w:rFonts w:ascii="Times New Roman" w:hAnsi="Times New Roman"/>
              </w:rPr>
            </w:pPr>
            <w:r>
              <w:rPr>
                <w:rFonts w:ascii="Times New Roman" w:hAnsi="Times New Roman"/>
              </w:rPr>
              <w:t>mg/L</w:t>
            </w:r>
          </w:p>
        </w:tc>
        <w:tc>
          <w:tcPr>
            <w:tcW w:w="965" w:type="pct"/>
            <w:vAlign w:val="center"/>
          </w:tcPr>
          <w:p w14:paraId="1F356788">
            <w:pPr>
              <w:pStyle w:val="124"/>
              <w:rPr>
                <w:rFonts w:ascii="Times New Roman" w:hAnsi="Times New Roman"/>
              </w:rPr>
            </w:pPr>
            <w:r>
              <w:rPr>
                <w:rFonts w:ascii="Times New Roman" w:hAnsi="Times New Roman"/>
              </w:rPr>
              <w:t>0.004L</w:t>
            </w:r>
          </w:p>
        </w:tc>
        <w:tc>
          <w:tcPr>
            <w:tcW w:w="1060" w:type="pct"/>
            <w:vAlign w:val="center"/>
          </w:tcPr>
          <w:p w14:paraId="306F9AC2">
            <w:pPr>
              <w:pStyle w:val="124"/>
              <w:rPr>
                <w:rFonts w:ascii="Times New Roman" w:hAnsi="Times New Roman"/>
              </w:rPr>
            </w:pPr>
            <w:r>
              <w:rPr>
                <w:rFonts w:ascii="Times New Roman" w:hAnsi="Times New Roman"/>
              </w:rPr>
              <w:t>≤0.05</w:t>
            </w:r>
          </w:p>
        </w:tc>
        <w:tc>
          <w:tcPr>
            <w:tcW w:w="486" w:type="pct"/>
            <w:vAlign w:val="center"/>
          </w:tcPr>
          <w:p w14:paraId="5FCBD2FB">
            <w:pPr>
              <w:pStyle w:val="124"/>
              <w:rPr>
                <w:rFonts w:ascii="Times New Roman" w:hAnsi="Times New Roman"/>
              </w:rPr>
            </w:pPr>
            <w:r>
              <w:rPr>
                <w:rFonts w:ascii="Times New Roman" w:hAnsi="Times New Roman"/>
              </w:rPr>
              <w:t>0</w:t>
            </w:r>
          </w:p>
        </w:tc>
        <w:tc>
          <w:tcPr>
            <w:tcW w:w="691" w:type="pct"/>
            <w:vAlign w:val="center"/>
          </w:tcPr>
          <w:p w14:paraId="3E22706F">
            <w:pPr>
              <w:pStyle w:val="124"/>
              <w:rPr>
                <w:rFonts w:ascii="Times New Roman" w:hAnsi="Times New Roman"/>
              </w:rPr>
            </w:pPr>
            <w:r>
              <w:rPr>
                <w:rFonts w:ascii="Times New Roman" w:hAnsi="Times New Roman"/>
              </w:rPr>
              <w:t>/</w:t>
            </w:r>
          </w:p>
        </w:tc>
      </w:tr>
      <w:tr w14:paraId="4631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72DAAE95">
            <w:pPr>
              <w:pStyle w:val="124"/>
              <w:numPr>
                <w:ilvl w:val="0"/>
                <w:numId w:val="7"/>
              </w:numPr>
              <w:rPr>
                <w:rFonts w:ascii="Times New Roman" w:hAnsi="Times New Roman"/>
              </w:rPr>
            </w:pPr>
          </w:p>
        </w:tc>
        <w:tc>
          <w:tcPr>
            <w:tcW w:w="827" w:type="pct"/>
            <w:vAlign w:val="center"/>
          </w:tcPr>
          <w:p w14:paraId="709B3B3B">
            <w:pPr>
              <w:pStyle w:val="124"/>
              <w:rPr>
                <w:rFonts w:ascii="Times New Roman" w:hAnsi="Times New Roman"/>
              </w:rPr>
            </w:pPr>
            <w:r>
              <w:rPr>
                <w:rFonts w:ascii="Times New Roman" w:hAnsi="Times New Roman"/>
              </w:rPr>
              <w:t>总磷</w:t>
            </w:r>
          </w:p>
        </w:tc>
        <w:tc>
          <w:tcPr>
            <w:tcW w:w="581" w:type="pct"/>
            <w:vAlign w:val="center"/>
          </w:tcPr>
          <w:p w14:paraId="6B7170C5">
            <w:pPr>
              <w:pStyle w:val="124"/>
              <w:rPr>
                <w:rFonts w:ascii="Times New Roman" w:hAnsi="Times New Roman"/>
              </w:rPr>
            </w:pPr>
            <w:r>
              <w:rPr>
                <w:rFonts w:ascii="Times New Roman" w:hAnsi="Times New Roman"/>
              </w:rPr>
              <w:t>mg/L</w:t>
            </w:r>
          </w:p>
        </w:tc>
        <w:tc>
          <w:tcPr>
            <w:tcW w:w="965" w:type="pct"/>
            <w:vAlign w:val="center"/>
          </w:tcPr>
          <w:p w14:paraId="224E1428">
            <w:pPr>
              <w:pStyle w:val="124"/>
              <w:rPr>
                <w:rFonts w:ascii="Times New Roman" w:hAnsi="Times New Roman"/>
              </w:rPr>
            </w:pPr>
            <w:r>
              <w:rPr>
                <w:rFonts w:ascii="Times New Roman" w:hAnsi="Times New Roman"/>
              </w:rPr>
              <w:t>0.01</w:t>
            </w:r>
          </w:p>
        </w:tc>
        <w:tc>
          <w:tcPr>
            <w:tcW w:w="1060" w:type="pct"/>
            <w:vAlign w:val="center"/>
          </w:tcPr>
          <w:p w14:paraId="450B8E8B">
            <w:pPr>
              <w:pStyle w:val="124"/>
              <w:rPr>
                <w:rFonts w:ascii="Times New Roman" w:hAnsi="Times New Roman"/>
              </w:rPr>
            </w:pPr>
            <w:r>
              <w:rPr>
                <w:rFonts w:ascii="Times New Roman" w:hAnsi="Times New Roman"/>
              </w:rPr>
              <w:t>≤0.1</w:t>
            </w:r>
          </w:p>
        </w:tc>
        <w:tc>
          <w:tcPr>
            <w:tcW w:w="486" w:type="pct"/>
            <w:vAlign w:val="center"/>
          </w:tcPr>
          <w:p w14:paraId="6B711ACA">
            <w:pPr>
              <w:pStyle w:val="124"/>
              <w:rPr>
                <w:rFonts w:ascii="Times New Roman" w:hAnsi="Times New Roman"/>
              </w:rPr>
            </w:pPr>
            <w:r>
              <w:rPr>
                <w:rFonts w:ascii="Times New Roman" w:hAnsi="Times New Roman"/>
              </w:rPr>
              <w:t>0</w:t>
            </w:r>
          </w:p>
        </w:tc>
        <w:tc>
          <w:tcPr>
            <w:tcW w:w="691" w:type="pct"/>
            <w:vAlign w:val="center"/>
          </w:tcPr>
          <w:p w14:paraId="0BD64674">
            <w:pPr>
              <w:pStyle w:val="124"/>
              <w:rPr>
                <w:rFonts w:ascii="Times New Roman" w:hAnsi="Times New Roman"/>
              </w:rPr>
            </w:pPr>
            <w:r>
              <w:rPr>
                <w:rFonts w:ascii="Times New Roman" w:hAnsi="Times New Roman"/>
              </w:rPr>
              <w:t>0.1</w:t>
            </w:r>
          </w:p>
        </w:tc>
      </w:tr>
      <w:tr w14:paraId="3A86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17B947D8">
            <w:pPr>
              <w:pStyle w:val="124"/>
              <w:numPr>
                <w:ilvl w:val="0"/>
                <w:numId w:val="7"/>
              </w:numPr>
              <w:rPr>
                <w:rFonts w:ascii="Times New Roman" w:hAnsi="Times New Roman"/>
              </w:rPr>
            </w:pPr>
          </w:p>
        </w:tc>
        <w:tc>
          <w:tcPr>
            <w:tcW w:w="827" w:type="pct"/>
            <w:vAlign w:val="center"/>
          </w:tcPr>
          <w:p w14:paraId="153C2DB1">
            <w:pPr>
              <w:pStyle w:val="124"/>
              <w:rPr>
                <w:rFonts w:ascii="Times New Roman" w:hAnsi="Times New Roman"/>
              </w:rPr>
            </w:pPr>
            <w:r>
              <w:rPr>
                <w:rFonts w:ascii="Times New Roman" w:hAnsi="Times New Roman"/>
              </w:rPr>
              <w:t>氨氮</w:t>
            </w:r>
          </w:p>
        </w:tc>
        <w:tc>
          <w:tcPr>
            <w:tcW w:w="581" w:type="pct"/>
            <w:vAlign w:val="center"/>
          </w:tcPr>
          <w:p w14:paraId="0DCAE031">
            <w:pPr>
              <w:pStyle w:val="124"/>
              <w:rPr>
                <w:rFonts w:ascii="Times New Roman" w:hAnsi="Times New Roman"/>
              </w:rPr>
            </w:pPr>
            <w:r>
              <w:rPr>
                <w:rFonts w:ascii="Times New Roman" w:hAnsi="Times New Roman"/>
              </w:rPr>
              <w:t>mg/L</w:t>
            </w:r>
          </w:p>
        </w:tc>
        <w:tc>
          <w:tcPr>
            <w:tcW w:w="965" w:type="pct"/>
            <w:vAlign w:val="center"/>
          </w:tcPr>
          <w:p w14:paraId="45AE9BF1">
            <w:pPr>
              <w:pStyle w:val="124"/>
              <w:rPr>
                <w:rFonts w:ascii="Times New Roman" w:hAnsi="Times New Roman"/>
              </w:rPr>
            </w:pPr>
            <w:r>
              <w:rPr>
                <w:rFonts w:ascii="Times New Roman" w:hAnsi="Times New Roman"/>
              </w:rPr>
              <w:t>0.08</w:t>
            </w:r>
          </w:p>
        </w:tc>
        <w:tc>
          <w:tcPr>
            <w:tcW w:w="1060" w:type="pct"/>
            <w:vAlign w:val="center"/>
          </w:tcPr>
          <w:p w14:paraId="1F5C581A">
            <w:pPr>
              <w:pStyle w:val="124"/>
              <w:rPr>
                <w:rFonts w:ascii="Times New Roman" w:hAnsi="Times New Roman"/>
              </w:rPr>
            </w:pPr>
            <w:r>
              <w:rPr>
                <w:rFonts w:ascii="Times New Roman" w:hAnsi="Times New Roman"/>
              </w:rPr>
              <w:t>≤0.5</w:t>
            </w:r>
          </w:p>
        </w:tc>
        <w:tc>
          <w:tcPr>
            <w:tcW w:w="486" w:type="pct"/>
            <w:vAlign w:val="center"/>
          </w:tcPr>
          <w:p w14:paraId="51BC28A4">
            <w:pPr>
              <w:pStyle w:val="124"/>
              <w:rPr>
                <w:rFonts w:ascii="Times New Roman" w:hAnsi="Times New Roman"/>
              </w:rPr>
            </w:pPr>
            <w:r>
              <w:rPr>
                <w:rFonts w:ascii="Times New Roman" w:hAnsi="Times New Roman"/>
              </w:rPr>
              <w:t>0</w:t>
            </w:r>
          </w:p>
        </w:tc>
        <w:tc>
          <w:tcPr>
            <w:tcW w:w="691" w:type="pct"/>
            <w:vAlign w:val="center"/>
          </w:tcPr>
          <w:p w14:paraId="6F04F61C">
            <w:pPr>
              <w:pStyle w:val="124"/>
              <w:rPr>
                <w:rFonts w:ascii="Times New Roman" w:hAnsi="Times New Roman"/>
              </w:rPr>
            </w:pPr>
            <w:r>
              <w:rPr>
                <w:rFonts w:ascii="Times New Roman" w:hAnsi="Times New Roman"/>
              </w:rPr>
              <w:t>0.16</w:t>
            </w:r>
          </w:p>
        </w:tc>
      </w:tr>
      <w:tr w14:paraId="630A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3D9F27CC">
            <w:pPr>
              <w:pStyle w:val="124"/>
              <w:numPr>
                <w:ilvl w:val="0"/>
                <w:numId w:val="7"/>
              </w:numPr>
              <w:rPr>
                <w:rFonts w:ascii="Times New Roman" w:hAnsi="Times New Roman"/>
              </w:rPr>
            </w:pPr>
          </w:p>
        </w:tc>
        <w:tc>
          <w:tcPr>
            <w:tcW w:w="827" w:type="pct"/>
            <w:vAlign w:val="center"/>
          </w:tcPr>
          <w:p w14:paraId="0E9DC4EE">
            <w:pPr>
              <w:pStyle w:val="124"/>
              <w:rPr>
                <w:rFonts w:ascii="Times New Roman" w:hAnsi="Times New Roman"/>
              </w:rPr>
            </w:pPr>
            <w:r>
              <w:rPr>
                <w:rFonts w:ascii="Times New Roman" w:hAnsi="Times New Roman"/>
              </w:rPr>
              <w:t>氰化物</w:t>
            </w:r>
          </w:p>
        </w:tc>
        <w:tc>
          <w:tcPr>
            <w:tcW w:w="581" w:type="pct"/>
            <w:vAlign w:val="center"/>
          </w:tcPr>
          <w:p w14:paraId="2A58D1FA">
            <w:pPr>
              <w:pStyle w:val="124"/>
              <w:rPr>
                <w:rFonts w:ascii="Times New Roman" w:hAnsi="Times New Roman"/>
              </w:rPr>
            </w:pPr>
            <w:r>
              <w:rPr>
                <w:rFonts w:ascii="Times New Roman" w:hAnsi="Times New Roman"/>
              </w:rPr>
              <w:t>mg/L</w:t>
            </w:r>
          </w:p>
        </w:tc>
        <w:tc>
          <w:tcPr>
            <w:tcW w:w="965" w:type="pct"/>
            <w:vAlign w:val="center"/>
          </w:tcPr>
          <w:p w14:paraId="4EF01CB0">
            <w:pPr>
              <w:pStyle w:val="124"/>
              <w:rPr>
                <w:rFonts w:ascii="Times New Roman" w:hAnsi="Times New Roman"/>
              </w:rPr>
            </w:pPr>
            <w:r>
              <w:rPr>
                <w:rFonts w:ascii="Times New Roman" w:hAnsi="Times New Roman"/>
              </w:rPr>
              <w:t>0.004L</w:t>
            </w:r>
          </w:p>
        </w:tc>
        <w:tc>
          <w:tcPr>
            <w:tcW w:w="1060" w:type="pct"/>
            <w:vAlign w:val="center"/>
          </w:tcPr>
          <w:p w14:paraId="674BD341">
            <w:pPr>
              <w:pStyle w:val="124"/>
              <w:rPr>
                <w:rFonts w:ascii="Times New Roman" w:hAnsi="Times New Roman"/>
              </w:rPr>
            </w:pPr>
            <w:r>
              <w:rPr>
                <w:rFonts w:ascii="Times New Roman" w:hAnsi="Times New Roman"/>
              </w:rPr>
              <w:t>≤0.05</w:t>
            </w:r>
          </w:p>
        </w:tc>
        <w:tc>
          <w:tcPr>
            <w:tcW w:w="486" w:type="pct"/>
            <w:vAlign w:val="center"/>
          </w:tcPr>
          <w:p w14:paraId="7521A2AA">
            <w:pPr>
              <w:pStyle w:val="124"/>
              <w:rPr>
                <w:rFonts w:ascii="Times New Roman" w:hAnsi="Times New Roman"/>
              </w:rPr>
            </w:pPr>
            <w:r>
              <w:rPr>
                <w:rFonts w:ascii="Times New Roman" w:hAnsi="Times New Roman"/>
              </w:rPr>
              <w:t>0</w:t>
            </w:r>
          </w:p>
        </w:tc>
        <w:tc>
          <w:tcPr>
            <w:tcW w:w="691" w:type="pct"/>
            <w:vAlign w:val="center"/>
          </w:tcPr>
          <w:p w14:paraId="5E2DBD6E">
            <w:pPr>
              <w:pStyle w:val="124"/>
              <w:rPr>
                <w:rFonts w:ascii="Times New Roman" w:hAnsi="Times New Roman"/>
              </w:rPr>
            </w:pPr>
            <w:r>
              <w:rPr>
                <w:rFonts w:ascii="Times New Roman" w:hAnsi="Times New Roman"/>
              </w:rPr>
              <w:t>/</w:t>
            </w:r>
          </w:p>
        </w:tc>
      </w:tr>
      <w:tr w14:paraId="65CE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7F89EFAE">
            <w:pPr>
              <w:pStyle w:val="124"/>
              <w:numPr>
                <w:ilvl w:val="0"/>
                <w:numId w:val="7"/>
              </w:numPr>
              <w:rPr>
                <w:rFonts w:ascii="Times New Roman" w:hAnsi="Times New Roman"/>
              </w:rPr>
            </w:pPr>
          </w:p>
        </w:tc>
        <w:tc>
          <w:tcPr>
            <w:tcW w:w="827" w:type="pct"/>
            <w:vAlign w:val="center"/>
          </w:tcPr>
          <w:p w14:paraId="368DD26B">
            <w:pPr>
              <w:pStyle w:val="124"/>
              <w:rPr>
                <w:rFonts w:ascii="Times New Roman" w:hAnsi="Times New Roman"/>
              </w:rPr>
            </w:pPr>
            <w:r>
              <w:rPr>
                <w:rFonts w:ascii="Times New Roman" w:hAnsi="Times New Roman"/>
              </w:rPr>
              <w:t>氟化物</w:t>
            </w:r>
          </w:p>
        </w:tc>
        <w:tc>
          <w:tcPr>
            <w:tcW w:w="581" w:type="pct"/>
            <w:vAlign w:val="center"/>
          </w:tcPr>
          <w:p w14:paraId="56E00AC2">
            <w:pPr>
              <w:pStyle w:val="124"/>
              <w:rPr>
                <w:rFonts w:ascii="Times New Roman" w:hAnsi="Times New Roman"/>
              </w:rPr>
            </w:pPr>
            <w:r>
              <w:rPr>
                <w:rFonts w:ascii="Times New Roman" w:hAnsi="Times New Roman"/>
              </w:rPr>
              <w:t>mg/L</w:t>
            </w:r>
          </w:p>
        </w:tc>
        <w:tc>
          <w:tcPr>
            <w:tcW w:w="965" w:type="pct"/>
            <w:vAlign w:val="center"/>
          </w:tcPr>
          <w:p w14:paraId="4FE5BF58">
            <w:pPr>
              <w:pStyle w:val="124"/>
              <w:rPr>
                <w:rFonts w:ascii="Times New Roman" w:hAnsi="Times New Roman"/>
              </w:rPr>
            </w:pPr>
            <w:r>
              <w:rPr>
                <w:rFonts w:ascii="Times New Roman" w:hAnsi="Times New Roman"/>
              </w:rPr>
              <w:t>0.129</w:t>
            </w:r>
          </w:p>
        </w:tc>
        <w:tc>
          <w:tcPr>
            <w:tcW w:w="1060" w:type="pct"/>
            <w:vAlign w:val="center"/>
          </w:tcPr>
          <w:p w14:paraId="76167E55">
            <w:pPr>
              <w:pStyle w:val="124"/>
              <w:rPr>
                <w:rFonts w:ascii="Times New Roman" w:hAnsi="Times New Roman"/>
              </w:rPr>
            </w:pPr>
            <w:r>
              <w:rPr>
                <w:rFonts w:ascii="Times New Roman" w:hAnsi="Times New Roman"/>
              </w:rPr>
              <w:t>≤1.0</w:t>
            </w:r>
          </w:p>
        </w:tc>
        <w:tc>
          <w:tcPr>
            <w:tcW w:w="486" w:type="pct"/>
            <w:vAlign w:val="center"/>
          </w:tcPr>
          <w:p w14:paraId="43F596D9">
            <w:pPr>
              <w:pStyle w:val="124"/>
              <w:rPr>
                <w:rFonts w:ascii="Times New Roman" w:hAnsi="Times New Roman"/>
              </w:rPr>
            </w:pPr>
            <w:r>
              <w:rPr>
                <w:rFonts w:ascii="Times New Roman" w:hAnsi="Times New Roman"/>
              </w:rPr>
              <w:t>0</w:t>
            </w:r>
          </w:p>
        </w:tc>
        <w:tc>
          <w:tcPr>
            <w:tcW w:w="691" w:type="pct"/>
            <w:vAlign w:val="center"/>
          </w:tcPr>
          <w:p w14:paraId="322CB9BC">
            <w:pPr>
              <w:pStyle w:val="124"/>
              <w:rPr>
                <w:rFonts w:ascii="Times New Roman" w:hAnsi="Times New Roman"/>
              </w:rPr>
            </w:pPr>
            <w:r>
              <w:rPr>
                <w:rFonts w:ascii="Times New Roman" w:hAnsi="Times New Roman"/>
              </w:rPr>
              <w:t>0.129</w:t>
            </w:r>
          </w:p>
        </w:tc>
      </w:tr>
      <w:tr w14:paraId="4FF7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3D26A075">
            <w:pPr>
              <w:pStyle w:val="124"/>
              <w:numPr>
                <w:ilvl w:val="0"/>
                <w:numId w:val="7"/>
              </w:numPr>
              <w:rPr>
                <w:rFonts w:ascii="Times New Roman" w:hAnsi="Times New Roman"/>
              </w:rPr>
            </w:pPr>
          </w:p>
        </w:tc>
        <w:tc>
          <w:tcPr>
            <w:tcW w:w="827" w:type="pct"/>
            <w:vAlign w:val="center"/>
          </w:tcPr>
          <w:p w14:paraId="3B832524">
            <w:pPr>
              <w:pStyle w:val="124"/>
              <w:rPr>
                <w:rFonts w:ascii="Times New Roman" w:hAnsi="Times New Roman"/>
              </w:rPr>
            </w:pPr>
            <w:r>
              <w:rPr>
                <w:rFonts w:ascii="Times New Roman" w:hAnsi="Times New Roman"/>
              </w:rPr>
              <w:t>氯化物</w:t>
            </w:r>
          </w:p>
        </w:tc>
        <w:tc>
          <w:tcPr>
            <w:tcW w:w="581" w:type="pct"/>
            <w:vAlign w:val="center"/>
          </w:tcPr>
          <w:p w14:paraId="070B7059">
            <w:pPr>
              <w:pStyle w:val="124"/>
              <w:rPr>
                <w:rFonts w:ascii="Times New Roman" w:hAnsi="Times New Roman"/>
              </w:rPr>
            </w:pPr>
            <w:r>
              <w:rPr>
                <w:rFonts w:ascii="Times New Roman" w:hAnsi="Times New Roman"/>
              </w:rPr>
              <w:t>mg/L</w:t>
            </w:r>
          </w:p>
        </w:tc>
        <w:tc>
          <w:tcPr>
            <w:tcW w:w="965" w:type="pct"/>
            <w:vAlign w:val="center"/>
          </w:tcPr>
          <w:p w14:paraId="0000CC13">
            <w:pPr>
              <w:pStyle w:val="124"/>
              <w:rPr>
                <w:rFonts w:ascii="Times New Roman" w:hAnsi="Times New Roman"/>
              </w:rPr>
            </w:pPr>
            <w:r>
              <w:rPr>
                <w:rFonts w:ascii="Times New Roman" w:hAnsi="Times New Roman"/>
              </w:rPr>
              <w:t>5.96</w:t>
            </w:r>
          </w:p>
        </w:tc>
        <w:tc>
          <w:tcPr>
            <w:tcW w:w="1060" w:type="pct"/>
            <w:vAlign w:val="center"/>
          </w:tcPr>
          <w:p w14:paraId="13C962BC">
            <w:pPr>
              <w:pStyle w:val="124"/>
              <w:rPr>
                <w:rFonts w:ascii="Times New Roman" w:hAnsi="Times New Roman"/>
              </w:rPr>
            </w:pPr>
            <w:r>
              <w:rPr>
                <w:rFonts w:ascii="Times New Roman" w:hAnsi="Times New Roman"/>
              </w:rPr>
              <w:t>≤250</w:t>
            </w:r>
          </w:p>
        </w:tc>
        <w:tc>
          <w:tcPr>
            <w:tcW w:w="486" w:type="pct"/>
            <w:vAlign w:val="center"/>
          </w:tcPr>
          <w:p w14:paraId="1A7D6296">
            <w:pPr>
              <w:pStyle w:val="124"/>
              <w:rPr>
                <w:rFonts w:ascii="Times New Roman" w:hAnsi="Times New Roman"/>
              </w:rPr>
            </w:pPr>
            <w:r>
              <w:rPr>
                <w:rFonts w:ascii="Times New Roman" w:hAnsi="Times New Roman"/>
              </w:rPr>
              <w:t>0</w:t>
            </w:r>
          </w:p>
        </w:tc>
        <w:tc>
          <w:tcPr>
            <w:tcW w:w="691" w:type="pct"/>
            <w:vAlign w:val="center"/>
          </w:tcPr>
          <w:p w14:paraId="1E75AC69">
            <w:pPr>
              <w:pStyle w:val="124"/>
              <w:rPr>
                <w:rFonts w:ascii="Times New Roman" w:hAnsi="Times New Roman"/>
              </w:rPr>
            </w:pPr>
            <w:r>
              <w:rPr>
                <w:rFonts w:ascii="Times New Roman" w:hAnsi="Times New Roman"/>
              </w:rPr>
              <w:t>0.023</w:t>
            </w:r>
          </w:p>
        </w:tc>
      </w:tr>
      <w:tr w14:paraId="4449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05C19636">
            <w:pPr>
              <w:pStyle w:val="124"/>
              <w:numPr>
                <w:ilvl w:val="0"/>
                <w:numId w:val="7"/>
              </w:numPr>
              <w:rPr>
                <w:rFonts w:ascii="Times New Roman" w:hAnsi="Times New Roman"/>
              </w:rPr>
            </w:pPr>
          </w:p>
        </w:tc>
        <w:tc>
          <w:tcPr>
            <w:tcW w:w="827" w:type="pct"/>
            <w:vAlign w:val="center"/>
          </w:tcPr>
          <w:p w14:paraId="07976F17">
            <w:pPr>
              <w:pStyle w:val="124"/>
              <w:rPr>
                <w:rFonts w:ascii="Times New Roman" w:hAnsi="Times New Roman"/>
              </w:rPr>
            </w:pPr>
            <w:r>
              <w:rPr>
                <w:rFonts w:ascii="Times New Roman" w:hAnsi="Times New Roman"/>
              </w:rPr>
              <w:t>硫酸盐</w:t>
            </w:r>
          </w:p>
        </w:tc>
        <w:tc>
          <w:tcPr>
            <w:tcW w:w="581" w:type="pct"/>
            <w:vAlign w:val="center"/>
          </w:tcPr>
          <w:p w14:paraId="51A4F443">
            <w:pPr>
              <w:pStyle w:val="124"/>
              <w:rPr>
                <w:rFonts w:ascii="Times New Roman" w:hAnsi="Times New Roman"/>
              </w:rPr>
            </w:pPr>
            <w:r>
              <w:rPr>
                <w:rFonts w:ascii="Times New Roman" w:hAnsi="Times New Roman"/>
              </w:rPr>
              <w:t>mg/L</w:t>
            </w:r>
          </w:p>
        </w:tc>
        <w:tc>
          <w:tcPr>
            <w:tcW w:w="965" w:type="pct"/>
            <w:vAlign w:val="center"/>
          </w:tcPr>
          <w:p w14:paraId="407C07DA">
            <w:pPr>
              <w:pStyle w:val="124"/>
              <w:rPr>
                <w:rFonts w:ascii="Times New Roman" w:hAnsi="Times New Roman"/>
              </w:rPr>
            </w:pPr>
            <w:r>
              <w:rPr>
                <w:rFonts w:ascii="Times New Roman" w:hAnsi="Times New Roman"/>
              </w:rPr>
              <w:t>37.4</w:t>
            </w:r>
          </w:p>
        </w:tc>
        <w:tc>
          <w:tcPr>
            <w:tcW w:w="1060" w:type="pct"/>
            <w:vAlign w:val="center"/>
          </w:tcPr>
          <w:p w14:paraId="306DF3CE">
            <w:pPr>
              <w:pStyle w:val="124"/>
              <w:rPr>
                <w:rFonts w:ascii="Times New Roman" w:hAnsi="Times New Roman"/>
              </w:rPr>
            </w:pPr>
            <w:r>
              <w:rPr>
                <w:rFonts w:ascii="Times New Roman" w:hAnsi="Times New Roman"/>
              </w:rPr>
              <w:t>≤250</w:t>
            </w:r>
          </w:p>
        </w:tc>
        <w:tc>
          <w:tcPr>
            <w:tcW w:w="486" w:type="pct"/>
            <w:vAlign w:val="center"/>
          </w:tcPr>
          <w:p w14:paraId="595F4F58">
            <w:pPr>
              <w:pStyle w:val="124"/>
              <w:rPr>
                <w:rFonts w:ascii="Times New Roman" w:hAnsi="Times New Roman"/>
              </w:rPr>
            </w:pPr>
            <w:r>
              <w:rPr>
                <w:rFonts w:ascii="Times New Roman" w:hAnsi="Times New Roman"/>
              </w:rPr>
              <w:t>0</w:t>
            </w:r>
          </w:p>
        </w:tc>
        <w:tc>
          <w:tcPr>
            <w:tcW w:w="691" w:type="pct"/>
            <w:vAlign w:val="center"/>
          </w:tcPr>
          <w:p w14:paraId="15F82501">
            <w:pPr>
              <w:pStyle w:val="124"/>
              <w:rPr>
                <w:rFonts w:ascii="Times New Roman" w:hAnsi="Times New Roman"/>
              </w:rPr>
            </w:pPr>
            <w:r>
              <w:rPr>
                <w:rFonts w:ascii="Times New Roman" w:hAnsi="Times New Roman"/>
              </w:rPr>
              <w:t>0.15</w:t>
            </w:r>
          </w:p>
        </w:tc>
      </w:tr>
      <w:tr w14:paraId="7698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6818A806">
            <w:pPr>
              <w:pStyle w:val="124"/>
              <w:numPr>
                <w:ilvl w:val="0"/>
                <w:numId w:val="7"/>
              </w:numPr>
              <w:rPr>
                <w:rFonts w:ascii="Times New Roman" w:hAnsi="Times New Roman"/>
              </w:rPr>
            </w:pPr>
          </w:p>
        </w:tc>
        <w:tc>
          <w:tcPr>
            <w:tcW w:w="827" w:type="pct"/>
            <w:vAlign w:val="center"/>
          </w:tcPr>
          <w:p w14:paraId="2A9FBD54">
            <w:pPr>
              <w:pStyle w:val="124"/>
              <w:rPr>
                <w:rFonts w:ascii="Times New Roman" w:hAnsi="Times New Roman"/>
              </w:rPr>
            </w:pPr>
            <w:r>
              <w:rPr>
                <w:rFonts w:ascii="Times New Roman" w:hAnsi="Times New Roman"/>
              </w:rPr>
              <w:t>硝酸盐氮</w:t>
            </w:r>
          </w:p>
        </w:tc>
        <w:tc>
          <w:tcPr>
            <w:tcW w:w="581" w:type="pct"/>
            <w:vAlign w:val="center"/>
          </w:tcPr>
          <w:p w14:paraId="5520989C">
            <w:pPr>
              <w:pStyle w:val="124"/>
              <w:rPr>
                <w:rFonts w:ascii="Times New Roman" w:hAnsi="Times New Roman"/>
              </w:rPr>
            </w:pPr>
            <w:r>
              <w:rPr>
                <w:rFonts w:ascii="Times New Roman" w:hAnsi="Times New Roman"/>
              </w:rPr>
              <w:t>mg/L</w:t>
            </w:r>
          </w:p>
        </w:tc>
        <w:tc>
          <w:tcPr>
            <w:tcW w:w="965" w:type="pct"/>
            <w:vAlign w:val="center"/>
          </w:tcPr>
          <w:p w14:paraId="47A019F9">
            <w:pPr>
              <w:pStyle w:val="124"/>
              <w:rPr>
                <w:rFonts w:ascii="Times New Roman" w:hAnsi="Times New Roman"/>
              </w:rPr>
            </w:pPr>
            <w:r>
              <w:rPr>
                <w:rFonts w:ascii="Times New Roman" w:hAnsi="Times New Roman"/>
              </w:rPr>
              <w:t>1.58</w:t>
            </w:r>
          </w:p>
        </w:tc>
        <w:tc>
          <w:tcPr>
            <w:tcW w:w="1060" w:type="pct"/>
            <w:vAlign w:val="center"/>
          </w:tcPr>
          <w:p w14:paraId="64827B1F">
            <w:pPr>
              <w:pStyle w:val="124"/>
              <w:rPr>
                <w:rFonts w:ascii="Times New Roman" w:hAnsi="Times New Roman"/>
              </w:rPr>
            </w:pPr>
            <w:r>
              <w:rPr>
                <w:rFonts w:ascii="Times New Roman" w:hAnsi="Times New Roman"/>
              </w:rPr>
              <w:t>≤10</w:t>
            </w:r>
          </w:p>
        </w:tc>
        <w:tc>
          <w:tcPr>
            <w:tcW w:w="486" w:type="pct"/>
            <w:vAlign w:val="center"/>
          </w:tcPr>
          <w:p w14:paraId="5E338A2F">
            <w:pPr>
              <w:pStyle w:val="124"/>
              <w:rPr>
                <w:rFonts w:ascii="Times New Roman" w:hAnsi="Times New Roman"/>
              </w:rPr>
            </w:pPr>
            <w:r>
              <w:rPr>
                <w:rFonts w:ascii="Times New Roman" w:hAnsi="Times New Roman"/>
              </w:rPr>
              <w:t>0</w:t>
            </w:r>
          </w:p>
        </w:tc>
        <w:tc>
          <w:tcPr>
            <w:tcW w:w="691" w:type="pct"/>
            <w:vAlign w:val="center"/>
          </w:tcPr>
          <w:p w14:paraId="7CFCEB7E">
            <w:pPr>
              <w:pStyle w:val="124"/>
              <w:rPr>
                <w:rFonts w:ascii="Times New Roman" w:hAnsi="Times New Roman"/>
              </w:rPr>
            </w:pPr>
            <w:r>
              <w:rPr>
                <w:rFonts w:ascii="Times New Roman" w:hAnsi="Times New Roman"/>
              </w:rPr>
              <w:t>0.158</w:t>
            </w:r>
          </w:p>
        </w:tc>
      </w:tr>
      <w:tr w14:paraId="7736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33567E37">
            <w:pPr>
              <w:pStyle w:val="124"/>
              <w:numPr>
                <w:ilvl w:val="0"/>
                <w:numId w:val="7"/>
              </w:numPr>
              <w:rPr>
                <w:rFonts w:ascii="Times New Roman" w:hAnsi="Times New Roman"/>
              </w:rPr>
            </w:pPr>
          </w:p>
        </w:tc>
        <w:tc>
          <w:tcPr>
            <w:tcW w:w="827" w:type="pct"/>
            <w:vAlign w:val="center"/>
          </w:tcPr>
          <w:p w14:paraId="0C4660E8">
            <w:pPr>
              <w:pStyle w:val="124"/>
              <w:rPr>
                <w:rFonts w:ascii="Times New Roman" w:hAnsi="Times New Roman"/>
              </w:rPr>
            </w:pPr>
            <w:r>
              <w:rPr>
                <w:rFonts w:ascii="Times New Roman" w:hAnsi="Times New Roman"/>
              </w:rPr>
              <w:t>砷</w:t>
            </w:r>
          </w:p>
        </w:tc>
        <w:tc>
          <w:tcPr>
            <w:tcW w:w="581" w:type="pct"/>
            <w:vAlign w:val="center"/>
          </w:tcPr>
          <w:p w14:paraId="4720963A">
            <w:pPr>
              <w:pStyle w:val="124"/>
              <w:rPr>
                <w:rFonts w:ascii="Times New Roman" w:hAnsi="Times New Roman"/>
              </w:rPr>
            </w:pPr>
            <w:r>
              <w:rPr>
                <w:rFonts w:ascii="Times New Roman" w:hAnsi="Times New Roman"/>
              </w:rPr>
              <w:t>mg/L</w:t>
            </w:r>
          </w:p>
        </w:tc>
        <w:tc>
          <w:tcPr>
            <w:tcW w:w="965" w:type="pct"/>
            <w:vAlign w:val="center"/>
          </w:tcPr>
          <w:p w14:paraId="7B3A9044">
            <w:pPr>
              <w:pStyle w:val="124"/>
              <w:rPr>
                <w:rFonts w:ascii="Times New Roman" w:hAnsi="Times New Roman"/>
              </w:rPr>
            </w:pPr>
            <w:r>
              <w:rPr>
                <w:rFonts w:ascii="Times New Roman" w:hAnsi="Times New Roman"/>
              </w:rPr>
              <w:t>0.0003L</w:t>
            </w:r>
          </w:p>
        </w:tc>
        <w:tc>
          <w:tcPr>
            <w:tcW w:w="1060" w:type="pct"/>
            <w:vAlign w:val="center"/>
          </w:tcPr>
          <w:p w14:paraId="0B01680E">
            <w:pPr>
              <w:pStyle w:val="124"/>
              <w:rPr>
                <w:rFonts w:ascii="Times New Roman" w:hAnsi="Times New Roman"/>
              </w:rPr>
            </w:pPr>
            <w:r>
              <w:rPr>
                <w:rFonts w:ascii="Times New Roman" w:hAnsi="Times New Roman"/>
              </w:rPr>
              <w:t>≤0.05</w:t>
            </w:r>
          </w:p>
        </w:tc>
        <w:tc>
          <w:tcPr>
            <w:tcW w:w="486" w:type="pct"/>
            <w:vAlign w:val="center"/>
          </w:tcPr>
          <w:p w14:paraId="5667AC26">
            <w:pPr>
              <w:pStyle w:val="124"/>
              <w:rPr>
                <w:rFonts w:ascii="Times New Roman" w:hAnsi="Times New Roman"/>
              </w:rPr>
            </w:pPr>
            <w:r>
              <w:rPr>
                <w:rFonts w:ascii="Times New Roman" w:hAnsi="Times New Roman"/>
              </w:rPr>
              <w:t>0</w:t>
            </w:r>
          </w:p>
        </w:tc>
        <w:tc>
          <w:tcPr>
            <w:tcW w:w="691" w:type="pct"/>
            <w:vAlign w:val="center"/>
          </w:tcPr>
          <w:p w14:paraId="310347EE">
            <w:pPr>
              <w:pStyle w:val="124"/>
              <w:rPr>
                <w:rFonts w:ascii="Times New Roman" w:hAnsi="Times New Roman"/>
              </w:rPr>
            </w:pPr>
            <w:r>
              <w:rPr>
                <w:rFonts w:ascii="Times New Roman" w:hAnsi="Times New Roman"/>
              </w:rPr>
              <w:t>/</w:t>
            </w:r>
          </w:p>
        </w:tc>
      </w:tr>
      <w:tr w14:paraId="7122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279D4D73">
            <w:pPr>
              <w:pStyle w:val="124"/>
              <w:numPr>
                <w:ilvl w:val="0"/>
                <w:numId w:val="7"/>
              </w:numPr>
              <w:rPr>
                <w:rFonts w:ascii="Times New Roman" w:hAnsi="Times New Roman"/>
              </w:rPr>
            </w:pPr>
          </w:p>
        </w:tc>
        <w:tc>
          <w:tcPr>
            <w:tcW w:w="827" w:type="pct"/>
            <w:vAlign w:val="center"/>
          </w:tcPr>
          <w:p w14:paraId="55E03956">
            <w:pPr>
              <w:pStyle w:val="124"/>
              <w:rPr>
                <w:rFonts w:ascii="Times New Roman" w:hAnsi="Times New Roman"/>
              </w:rPr>
            </w:pPr>
            <w:r>
              <w:rPr>
                <w:rFonts w:ascii="Times New Roman" w:hAnsi="Times New Roman"/>
              </w:rPr>
              <w:t>硒</w:t>
            </w:r>
          </w:p>
        </w:tc>
        <w:tc>
          <w:tcPr>
            <w:tcW w:w="581" w:type="pct"/>
            <w:vAlign w:val="center"/>
          </w:tcPr>
          <w:p w14:paraId="5F7A9B15">
            <w:pPr>
              <w:pStyle w:val="124"/>
              <w:rPr>
                <w:rFonts w:ascii="Times New Roman" w:hAnsi="Times New Roman"/>
              </w:rPr>
            </w:pPr>
            <w:r>
              <w:rPr>
                <w:rFonts w:ascii="Times New Roman" w:hAnsi="Times New Roman"/>
              </w:rPr>
              <w:t>mg/L</w:t>
            </w:r>
          </w:p>
        </w:tc>
        <w:tc>
          <w:tcPr>
            <w:tcW w:w="965" w:type="pct"/>
            <w:vAlign w:val="center"/>
          </w:tcPr>
          <w:p w14:paraId="2531EA52">
            <w:pPr>
              <w:pStyle w:val="124"/>
              <w:rPr>
                <w:rFonts w:ascii="Times New Roman" w:hAnsi="Times New Roman"/>
              </w:rPr>
            </w:pPr>
            <w:r>
              <w:rPr>
                <w:rFonts w:ascii="Times New Roman" w:hAnsi="Times New Roman"/>
              </w:rPr>
              <w:t>0.0004L</w:t>
            </w:r>
          </w:p>
        </w:tc>
        <w:tc>
          <w:tcPr>
            <w:tcW w:w="1060" w:type="pct"/>
            <w:vAlign w:val="center"/>
          </w:tcPr>
          <w:p w14:paraId="58F810A4">
            <w:pPr>
              <w:pStyle w:val="124"/>
              <w:rPr>
                <w:rFonts w:ascii="Times New Roman" w:hAnsi="Times New Roman"/>
              </w:rPr>
            </w:pPr>
            <w:r>
              <w:rPr>
                <w:rFonts w:ascii="Times New Roman" w:hAnsi="Times New Roman"/>
              </w:rPr>
              <w:t>≤0.01</w:t>
            </w:r>
          </w:p>
        </w:tc>
        <w:tc>
          <w:tcPr>
            <w:tcW w:w="486" w:type="pct"/>
            <w:vAlign w:val="center"/>
          </w:tcPr>
          <w:p w14:paraId="6AF18F9D">
            <w:pPr>
              <w:pStyle w:val="124"/>
              <w:rPr>
                <w:rFonts w:ascii="Times New Roman" w:hAnsi="Times New Roman"/>
              </w:rPr>
            </w:pPr>
            <w:r>
              <w:rPr>
                <w:rFonts w:ascii="Times New Roman" w:hAnsi="Times New Roman"/>
              </w:rPr>
              <w:t>0</w:t>
            </w:r>
          </w:p>
        </w:tc>
        <w:tc>
          <w:tcPr>
            <w:tcW w:w="691" w:type="pct"/>
            <w:vAlign w:val="center"/>
          </w:tcPr>
          <w:p w14:paraId="3FBB4260">
            <w:pPr>
              <w:pStyle w:val="124"/>
              <w:rPr>
                <w:rFonts w:ascii="Times New Roman" w:hAnsi="Times New Roman"/>
              </w:rPr>
            </w:pPr>
            <w:r>
              <w:rPr>
                <w:rFonts w:ascii="Times New Roman" w:hAnsi="Times New Roman"/>
              </w:rPr>
              <w:t>/</w:t>
            </w:r>
          </w:p>
        </w:tc>
      </w:tr>
      <w:tr w14:paraId="678D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7DB8DC53">
            <w:pPr>
              <w:pStyle w:val="124"/>
              <w:numPr>
                <w:ilvl w:val="0"/>
                <w:numId w:val="7"/>
              </w:numPr>
              <w:rPr>
                <w:rFonts w:ascii="Times New Roman" w:hAnsi="Times New Roman"/>
              </w:rPr>
            </w:pPr>
          </w:p>
        </w:tc>
        <w:tc>
          <w:tcPr>
            <w:tcW w:w="827" w:type="pct"/>
            <w:vAlign w:val="center"/>
          </w:tcPr>
          <w:p w14:paraId="64D33431">
            <w:pPr>
              <w:pStyle w:val="124"/>
              <w:rPr>
                <w:rFonts w:ascii="Times New Roman" w:hAnsi="Times New Roman"/>
              </w:rPr>
            </w:pPr>
            <w:r>
              <w:rPr>
                <w:rFonts w:ascii="Times New Roman" w:hAnsi="Times New Roman"/>
              </w:rPr>
              <w:t>汞</w:t>
            </w:r>
          </w:p>
        </w:tc>
        <w:tc>
          <w:tcPr>
            <w:tcW w:w="581" w:type="pct"/>
            <w:vAlign w:val="center"/>
          </w:tcPr>
          <w:p w14:paraId="5124303A">
            <w:pPr>
              <w:pStyle w:val="124"/>
              <w:rPr>
                <w:rFonts w:ascii="Times New Roman" w:hAnsi="Times New Roman"/>
              </w:rPr>
            </w:pPr>
            <w:r>
              <w:rPr>
                <w:rFonts w:ascii="Times New Roman" w:hAnsi="Times New Roman"/>
              </w:rPr>
              <w:t>mg/L</w:t>
            </w:r>
          </w:p>
        </w:tc>
        <w:tc>
          <w:tcPr>
            <w:tcW w:w="965" w:type="pct"/>
            <w:vAlign w:val="center"/>
          </w:tcPr>
          <w:p w14:paraId="0F5535F4">
            <w:pPr>
              <w:pStyle w:val="124"/>
              <w:rPr>
                <w:rFonts w:ascii="Times New Roman" w:hAnsi="Times New Roman"/>
              </w:rPr>
            </w:pPr>
            <w:r>
              <w:rPr>
                <w:rFonts w:ascii="Times New Roman" w:hAnsi="Times New Roman"/>
              </w:rPr>
              <w:t>0.00004L</w:t>
            </w:r>
          </w:p>
        </w:tc>
        <w:tc>
          <w:tcPr>
            <w:tcW w:w="1060" w:type="pct"/>
            <w:vAlign w:val="center"/>
          </w:tcPr>
          <w:p w14:paraId="4DB19FE0">
            <w:pPr>
              <w:pStyle w:val="124"/>
              <w:rPr>
                <w:rFonts w:ascii="Times New Roman" w:hAnsi="Times New Roman"/>
              </w:rPr>
            </w:pPr>
            <w:r>
              <w:rPr>
                <w:rFonts w:ascii="Times New Roman" w:hAnsi="Times New Roman"/>
              </w:rPr>
              <w:t>≤0.00005</w:t>
            </w:r>
          </w:p>
        </w:tc>
        <w:tc>
          <w:tcPr>
            <w:tcW w:w="486" w:type="pct"/>
            <w:vAlign w:val="center"/>
          </w:tcPr>
          <w:p w14:paraId="0A41F5A7">
            <w:pPr>
              <w:pStyle w:val="124"/>
              <w:rPr>
                <w:rFonts w:ascii="Times New Roman" w:hAnsi="Times New Roman"/>
              </w:rPr>
            </w:pPr>
            <w:r>
              <w:rPr>
                <w:rFonts w:ascii="Times New Roman" w:hAnsi="Times New Roman"/>
              </w:rPr>
              <w:t>0</w:t>
            </w:r>
          </w:p>
        </w:tc>
        <w:tc>
          <w:tcPr>
            <w:tcW w:w="691" w:type="pct"/>
            <w:vAlign w:val="center"/>
          </w:tcPr>
          <w:p w14:paraId="2A1D72DC">
            <w:pPr>
              <w:pStyle w:val="124"/>
              <w:rPr>
                <w:rFonts w:ascii="Times New Roman" w:hAnsi="Times New Roman"/>
              </w:rPr>
            </w:pPr>
            <w:r>
              <w:rPr>
                <w:rFonts w:ascii="Times New Roman" w:hAnsi="Times New Roman"/>
              </w:rPr>
              <w:t>/</w:t>
            </w:r>
          </w:p>
        </w:tc>
      </w:tr>
      <w:tr w14:paraId="2AF6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4378D218">
            <w:pPr>
              <w:pStyle w:val="124"/>
              <w:numPr>
                <w:ilvl w:val="0"/>
                <w:numId w:val="7"/>
              </w:numPr>
              <w:rPr>
                <w:rFonts w:ascii="Times New Roman" w:hAnsi="Times New Roman"/>
              </w:rPr>
            </w:pPr>
          </w:p>
        </w:tc>
        <w:tc>
          <w:tcPr>
            <w:tcW w:w="827" w:type="pct"/>
            <w:vAlign w:val="center"/>
          </w:tcPr>
          <w:p w14:paraId="55396AEF">
            <w:pPr>
              <w:pStyle w:val="124"/>
              <w:rPr>
                <w:rFonts w:ascii="Times New Roman" w:hAnsi="Times New Roman"/>
              </w:rPr>
            </w:pPr>
            <w:r>
              <w:rPr>
                <w:rFonts w:ascii="Times New Roman" w:hAnsi="Times New Roman"/>
              </w:rPr>
              <w:t>铜</w:t>
            </w:r>
          </w:p>
        </w:tc>
        <w:tc>
          <w:tcPr>
            <w:tcW w:w="581" w:type="pct"/>
            <w:vAlign w:val="center"/>
          </w:tcPr>
          <w:p w14:paraId="6555D577">
            <w:pPr>
              <w:pStyle w:val="124"/>
              <w:rPr>
                <w:rFonts w:ascii="Times New Roman" w:hAnsi="Times New Roman"/>
              </w:rPr>
            </w:pPr>
            <w:r>
              <w:rPr>
                <w:rFonts w:ascii="Times New Roman" w:hAnsi="Times New Roman"/>
              </w:rPr>
              <w:t>mg/L</w:t>
            </w:r>
          </w:p>
        </w:tc>
        <w:tc>
          <w:tcPr>
            <w:tcW w:w="965" w:type="pct"/>
            <w:vAlign w:val="center"/>
          </w:tcPr>
          <w:p w14:paraId="112FCC55">
            <w:pPr>
              <w:pStyle w:val="124"/>
              <w:rPr>
                <w:rFonts w:ascii="Times New Roman" w:hAnsi="Times New Roman"/>
              </w:rPr>
            </w:pPr>
            <w:r>
              <w:rPr>
                <w:rFonts w:ascii="Times New Roman" w:hAnsi="Times New Roman"/>
              </w:rPr>
              <w:t>0.006L</w:t>
            </w:r>
          </w:p>
        </w:tc>
        <w:tc>
          <w:tcPr>
            <w:tcW w:w="1060" w:type="pct"/>
            <w:vAlign w:val="center"/>
          </w:tcPr>
          <w:p w14:paraId="45D041E4">
            <w:pPr>
              <w:pStyle w:val="124"/>
              <w:rPr>
                <w:rFonts w:ascii="Times New Roman" w:hAnsi="Times New Roman"/>
              </w:rPr>
            </w:pPr>
            <w:r>
              <w:rPr>
                <w:rFonts w:ascii="Times New Roman" w:hAnsi="Times New Roman"/>
              </w:rPr>
              <w:t>≤1.0</w:t>
            </w:r>
          </w:p>
        </w:tc>
        <w:tc>
          <w:tcPr>
            <w:tcW w:w="486" w:type="pct"/>
            <w:vAlign w:val="center"/>
          </w:tcPr>
          <w:p w14:paraId="06403178">
            <w:pPr>
              <w:pStyle w:val="124"/>
              <w:rPr>
                <w:rFonts w:ascii="Times New Roman" w:hAnsi="Times New Roman"/>
              </w:rPr>
            </w:pPr>
            <w:r>
              <w:rPr>
                <w:rFonts w:ascii="Times New Roman" w:hAnsi="Times New Roman"/>
              </w:rPr>
              <w:t>0</w:t>
            </w:r>
          </w:p>
        </w:tc>
        <w:tc>
          <w:tcPr>
            <w:tcW w:w="691" w:type="pct"/>
            <w:vAlign w:val="center"/>
          </w:tcPr>
          <w:p w14:paraId="44D9C391">
            <w:pPr>
              <w:pStyle w:val="124"/>
              <w:rPr>
                <w:rFonts w:ascii="Times New Roman" w:hAnsi="Times New Roman"/>
              </w:rPr>
            </w:pPr>
            <w:r>
              <w:rPr>
                <w:rFonts w:ascii="Times New Roman" w:hAnsi="Times New Roman"/>
              </w:rPr>
              <w:t>/</w:t>
            </w:r>
          </w:p>
        </w:tc>
      </w:tr>
      <w:tr w14:paraId="2597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F709F18">
            <w:pPr>
              <w:pStyle w:val="124"/>
              <w:numPr>
                <w:ilvl w:val="0"/>
                <w:numId w:val="7"/>
              </w:numPr>
              <w:rPr>
                <w:rFonts w:ascii="Times New Roman" w:hAnsi="Times New Roman"/>
              </w:rPr>
            </w:pPr>
          </w:p>
        </w:tc>
        <w:tc>
          <w:tcPr>
            <w:tcW w:w="827" w:type="pct"/>
            <w:vAlign w:val="center"/>
          </w:tcPr>
          <w:p w14:paraId="19F59606">
            <w:pPr>
              <w:pStyle w:val="124"/>
              <w:rPr>
                <w:rFonts w:ascii="Times New Roman" w:hAnsi="Times New Roman"/>
              </w:rPr>
            </w:pPr>
            <w:r>
              <w:rPr>
                <w:rFonts w:ascii="Times New Roman" w:hAnsi="Times New Roman"/>
              </w:rPr>
              <w:t>铅</w:t>
            </w:r>
          </w:p>
        </w:tc>
        <w:tc>
          <w:tcPr>
            <w:tcW w:w="581" w:type="pct"/>
            <w:vAlign w:val="center"/>
          </w:tcPr>
          <w:p w14:paraId="020FD77B">
            <w:pPr>
              <w:pStyle w:val="124"/>
              <w:rPr>
                <w:rFonts w:ascii="Times New Roman" w:hAnsi="Times New Roman"/>
              </w:rPr>
            </w:pPr>
            <w:r>
              <w:rPr>
                <w:rFonts w:ascii="Times New Roman" w:hAnsi="Times New Roman"/>
              </w:rPr>
              <w:t>mg/L</w:t>
            </w:r>
          </w:p>
        </w:tc>
        <w:tc>
          <w:tcPr>
            <w:tcW w:w="965" w:type="pct"/>
            <w:vAlign w:val="center"/>
          </w:tcPr>
          <w:p w14:paraId="4E1ADE7D">
            <w:pPr>
              <w:pStyle w:val="124"/>
              <w:rPr>
                <w:rFonts w:ascii="Times New Roman" w:hAnsi="Times New Roman"/>
              </w:rPr>
            </w:pPr>
            <w:r>
              <w:rPr>
                <w:rFonts w:ascii="Times New Roman" w:hAnsi="Times New Roman"/>
              </w:rPr>
              <w:t>0.002L</w:t>
            </w:r>
          </w:p>
        </w:tc>
        <w:tc>
          <w:tcPr>
            <w:tcW w:w="1060" w:type="pct"/>
            <w:vAlign w:val="center"/>
          </w:tcPr>
          <w:p w14:paraId="2BFA0A67">
            <w:pPr>
              <w:pStyle w:val="124"/>
              <w:rPr>
                <w:rFonts w:ascii="Times New Roman" w:hAnsi="Times New Roman"/>
              </w:rPr>
            </w:pPr>
            <w:r>
              <w:rPr>
                <w:rFonts w:ascii="Times New Roman" w:hAnsi="Times New Roman"/>
              </w:rPr>
              <w:t>≤0.01</w:t>
            </w:r>
          </w:p>
        </w:tc>
        <w:tc>
          <w:tcPr>
            <w:tcW w:w="486" w:type="pct"/>
            <w:vAlign w:val="center"/>
          </w:tcPr>
          <w:p w14:paraId="48962A9F">
            <w:pPr>
              <w:pStyle w:val="124"/>
              <w:rPr>
                <w:rFonts w:ascii="Times New Roman" w:hAnsi="Times New Roman"/>
              </w:rPr>
            </w:pPr>
            <w:r>
              <w:rPr>
                <w:rFonts w:ascii="Times New Roman" w:hAnsi="Times New Roman"/>
              </w:rPr>
              <w:t>0</w:t>
            </w:r>
          </w:p>
        </w:tc>
        <w:tc>
          <w:tcPr>
            <w:tcW w:w="691" w:type="pct"/>
            <w:vAlign w:val="center"/>
          </w:tcPr>
          <w:p w14:paraId="63B78FB4">
            <w:pPr>
              <w:pStyle w:val="124"/>
              <w:rPr>
                <w:rFonts w:ascii="Times New Roman" w:hAnsi="Times New Roman"/>
              </w:rPr>
            </w:pPr>
            <w:r>
              <w:rPr>
                <w:rFonts w:ascii="Times New Roman" w:hAnsi="Times New Roman"/>
              </w:rPr>
              <w:t>/</w:t>
            </w:r>
          </w:p>
        </w:tc>
      </w:tr>
      <w:tr w14:paraId="31F4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7FB442F">
            <w:pPr>
              <w:pStyle w:val="124"/>
              <w:numPr>
                <w:ilvl w:val="0"/>
                <w:numId w:val="7"/>
              </w:numPr>
              <w:rPr>
                <w:rFonts w:ascii="Times New Roman" w:hAnsi="Times New Roman"/>
              </w:rPr>
            </w:pPr>
          </w:p>
        </w:tc>
        <w:tc>
          <w:tcPr>
            <w:tcW w:w="827" w:type="pct"/>
            <w:vAlign w:val="center"/>
          </w:tcPr>
          <w:p w14:paraId="726F916E">
            <w:pPr>
              <w:pStyle w:val="124"/>
              <w:rPr>
                <w:rFonts w:ascii="Times New Roman" w:hAnsi="Times New Roman"/>
              </w:rPr>
            </w:pPr>
            <w:r>
              <w:rPr>
                <w:rFonts w:ascii="Times New Roman" w:hAnsi="Times New Roman"/>
              </w:rPr>
              <w:t>镉</w:t>
            </w:r>
          </w:p>
        </w:tc>
        <w:tc>
          <w:tcPr>
            <w:tcW w:w="581" w:type="pct"/>
            <w:vAlign w:val="center"/>
          </w:tcPr>
          <w:p w14:paraId="32224BFF">
            <w:pPr>
              <w:pStyle w:val="124"/>
              <w:rPr>
                <w:rFonts w:ascii="Times New Roman" w:hAnsi="Times New Roman"/>
              </w:rPr>
            </w:pPr>
            <w:r>
              <w:rPr>
                <w:rFonts w:ascii="Times New Roman" w:hAnsi="Times New Roman"/>
              </w:rPr>
              <w:t>mg/L</w:t>
            </w:r>
          </w:p>
        </w:tc>
        <w:tc>
          <w:tcPr>
            <w:tcW w:w="965" w:type="pct"/>
            <w:vAlign w:val="center"/>
          </w:tcPr>
          <w:p w14:paraId="5C8A9AF4">
            <w:pPr>
              <w:pStyle w:val="124"/>
              <w:rPr>
                <w:rFonts w:ascii="Times New Roman" w:hAnsi="Times New Roman"/>
              </w:rPr>
            </w:pPr>
            <w:r>
              <w:rPr>
                <w:rFonts w:ascii="Times New Roman" w:hAnsi="Times New Roman"/>
              </w:rPr>
              <w:t>0.0001L</w:t>
            </w:r>
          </w:p>
        </w:tc>
        <w:tc>
          <w:tcPr>
            <w:tcW w:w="1060" w:type="pct"/>
            <w:vAlign w:val="center"/>
          </w:tcPr>
          <w:p w14:paraId="1C96BF24">
            <w:pPr>
              <w:pStyle w:val="124"/>
              <w:rPr>
                <w:rFonts w:ascii="Times New Roman" w:hAnsi="Times New Roman"/>
              </w:rPr>
            </w:pPr>
            <w:r>
              <w:rPr>
                <w:rFonts w:ascii="Times New Roman" w:hAnsi="Times New Roman"/>
              </w:rPr>
              <w:t>≤0.005</w:t>
            </w:r>
          </w:p>
        </w:tc>
        <w:tc>
          <w:tcPr>
            <w:tcW w:w="486" w:type="pct"/>
            <w:vAlign w:val="center"/>
          </w:tcPr>
          <w:p w14:paraId="2E1332B3">
            <w:pPr>
              <w:pStyle w:val="124"/>
              <w:rPr>
                <w:rFonts w:ascii="Times New Roman" w:hAnsi="Times New Roman"/>
              </w:rPr>
            </w:pPr>
            <w:r>
              <w:rPr>
                <w:rFonts w:ascii="Times New Roman" w:hAnsi="Times New Roman"/>
              </w:rPr>
              <w:t>0</w:t>
            </w:r>
          </w:p>
        </w:tc>
        <w:tc>
          <w:tcPr>
            <w:tcW w:w="691" w:type="pct"/>
            <w:vAlign w:val="center"/>
          </w:tcPr>
          <w:p w14:paraId="2198DECB">
            <w:pPr>
              <w:pStyle w:val="124"/>
              <w:rPr>
                <w:rFonts w:ascii="Times New Roman" w:hAnsi="Times New Roman"/>
              </w:rPr>
            </w:pPr>
            <w:r>
              <w:rPr>
                <w:rFonts w:ascii="Times New Roman" w:hAnsi="Times New Roman"/>
              </w:rPr>
              <w:t>/</w:t>
            </w:r>
          </w:p>
        </w:tc>
      </w:tr>
      <w:tr w14:paraId="33C8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6B29FCA7">
            <w:pPr>
              <w:pStyle w:val="124"/>
              <w:numPr>
                <w:ilvl w:val="0"/>
                <w:numId w:val="7"/>
              </w:numPr>
              <w:rPr>
                <w:rFonts w:ascii="Times New Roman" w:hAnsi="Times New Roman"/>
              </w:rPr>
            </w:pPr>
          </w:p>
        </w:tc>
        <w:tc>
          <w:tcPr>
            <w:tcW w:w="827" w:type="pct"/>
            <w:vAlign w:val="center"/>
          </w:tcPr>
          <w:p w14:paraId="1CDDB691">
            <w:pPr>
              <w:pStyle w:val="124"/>
              <w:rPr>
                <w:rFonts w:ascii="Times New Roman" w:hAnsi="Times New Roman"/>
              </w:rPr>
            </w:pPr>
            <w:r>
              <w:rPr>
                <w:rFonts w:ascii="Times New Roman" w:hAnsi="Times New Roman"/>
              </w:rPr>
              <w:t>锌</w:t>
            </w:r>
          </w:p>
        </w:tc>
        <w:tc>
          <w:tcPr>
            <w:tcW w:w="581" w:type="pct"/>
            <w:vAlign w:val="center"/>
          </w:tcPr>
          <w:p w14:paraId="3748E99C">
            <w:pPr>
              <w:pStyle w:val="124"/>
              <w:rPr>
                <w:rFonts w:ascii="Times New Roman" w:hAnsi="Times New Roman"/>
              </w:rPr>
            </w:pPr>
            <w:r>
              <w:rPr>
                <w:rFonts w:ascii="Times New Roman" w:hAnsi="Times New Roman"/>
              </w:rPr>
              <w:t>mg/L</w:t>
            </w:r>
          </w:p>
        </w:tc>
        <w:tc>
          <w:tcPr>
            <w:tcW w:w="965" w:type="pct"/>
            <w:vAlign w:val="center"/>
          </w:tcPr>
          <w:p w14:paraId="17D3C97F">
            <w:pPr>
              <w:pStyle w:val="124"/>
              <w:rPr>
                <w:rFonts w:ascii="Times New Roman" w:hAnsi="Times New Roman"/>
              </w:rPr>
            </w:pPr>
            <w:r>
              <w:rPr>
                <w:rFonts w:ascii="Times New Roman" w:hAnsi="Times New Roman"/>
              </w:rPr>
              <w:t>0.02L</w:t>
            </w:r>
          </w:p>
        </w:tc>
        <w:tc>
          <w:tcPr>
            <w:tcW w:w="1060" w:type="pct"/>
            <w:vAlign w:val="center"/>
          </w:tcPr>
          <w:p w14:paraId="21D98B0C">
            <w:pPr>
              <w:pStyle w:val="124"/>
              <w:rPr>
                <w:rFonts w:ascii="Times New Roman" w:hAnsi="Times New Roman"/>
              </w:rPr>
            </w:pPr>
            <w:r>
              <w:rPr>
                <w:rFonts w:ascii="Times New Roman" w:hAnsi="Times New Roman"/>
              </w:rPr>
              <w:t>≤1.0</w:t>
            </w:r>
          </w:p>
        </w:tc>
        <w:tc>
          <w:tcPr>
            <w:tcW w:w="486" w:type="pct"/>
            <w:vAlign w:val="center"/>
          </w:tcPr>
          <w:p w14:paraId="7957880E">
            <w:pPr>
              <w:pStyle w:val="124"/>
              <w:rPr>
                <w:rFonts w:ascii="Times New Roman" w:hAnsi="Times New Roman"/>
              </w:rPr>
            </w:pPr>
            <w:r>
              <w:rPr>
                <w:rFonts w:ascii="Times New Roman" w:hAnsi="Times New Roman"/>
              </w:rPr>
              <w:t>0</w:t>
            </w:r>
          </w:p>
        </w:tc>
        <w:tc>
          <w:tcPr>
            <w:tcW w:w="691" w:type="pct"/>
            <w:vAlign w:val="center"/>
          </w:tcPr>
          <w:p w14:paraId="407A54DC">
            <w:pPr>
              <w:pStyle w:val="124"/>
              <w:rPr>
                <w:rFonts w:ascii="Times New Roman" w:hAnsi="Times New Roman"/>
              </w:rPr>
            </w:pPr>
            <w:r>
              <w:rPr>
                <w:rFonts w:ascii="Times New Roman" w:hAnsi="Times New Roman"/>
              </w:rPr>
              <w:t>/</w:t>
            </w:r>
          </w:p>
        </w:tc>
      </w:tr>
      <w:tr w14:paraId="4C30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20ABE7B2">
            <w:pPr>
              <w:pStyle w:val="124"/>
              <w:numPr>
                <w:ilvl w:val="0"/>
                <w:numId w:val="7"/>
              </w:numPr>
              <w:rPr>
                <w:rFonts w:ascii="Times New Roman" w:hAnsi="Times New Roman"/>
              </w:rPr>
            </w:pPr>
          </w:p>
        </w:tc>
        <w:tc>
          <w:tcPr>
            <w:tcW w:w="827" w:type="pct"/>
            <w:vAlign w:val="center"/>
          </w:tcPr>
          <w:p w14:paraId="363D795C">
            <w:pPr>
              <w:pStyle w:val="124"/>
              <w:rPr>
                <w:rFonts w:ascii="Times New Roman" w:hAnsi="Times New Roman"/>
              </w:rPr>
            </w:pPr>
            <w:r>
              <w:rPr>
                <w:rFonts w:ascii="Times New Roman" w:hAnsi="Times New Roman"/>
              </w:rPr>
              <w:t>铁</w:t>
            </w:r>
          </w:p>
        </w:tc>
        <w:tc>
          <w:tcPr>
            <w:tcW w:w="581" w:type="pct"/>
            <w:vAlign w:val="center"/>
          </w:tcPr>
          <w:p w14:paraId="79A6ED12">
            <w:pPr>
              <w:pStyle w:val="124"/>
              <w:rPr>
                <w:rFonts w:ascii="Times New Roman" w:hAnsi="Times New Roman"/>
              </w:rPr>
            </w:pPr>
            <w:r>
              <w:rPr>
                <w:rFonts w:ascii="Times New Roman" w:hAnsi="Times New Roman"/>
              </w:rPr>
              <w:t>mg/L</w:t>
            </w:r>
          </w:p>
        </w:tc>
        <w:tc>
          <w:tcPr>
            <w:tcW w:w="965" w:type="pct"/>
            <w:vAlign w:val="center"/>
          </w:tcPr>
          <w:p w14:paraId="68967476">
            <w:pPr>
              <w:pStyle w:val="124"/>
              <w:rPr>
                <w:rFonts w:ascii="Times New Roman" w:hAnsi="Times New Roman"/>
              </w:rPr>
            </w:pPr>
            <w:r>
              <w:rPr>
                <w:rFonts w:ascii="Times New Roman" w:hAnsi="Times New Roman"/>
              </w:rPr>
              <w:t>0.03L</w:t>
            </w:r>
          </w:p>
        </w:tc>
        <w:tc>
          <w:tcPr>
            <w:tcW w:w="1060" w:type="pct"/>
            <w:vAlign w:val="center"/>
          </w:tcPr>
          <w:p w14:paraId="26FB6A9C">
            <w:pPr>
              <w:pStyle w:val="124"/>
              <w:rPr>
                <w:rFonts w:ascii="Times New Roman" w:hAnsi="Times New Roman"/>
              </w:rPr>
            </w:pPr>
            <w:r>
              <w:rPr>
                <w:rFonts w:ascii="Times New Roman" w:hAnsi="Times New Roman"/>
              </w:rPr>
              <w:t>≤0.3</w:t>
            </w:r>
          </w:p>
        </w:tc>
        <w:tc>
          <w:tcPr>
            <w:tcW w:w="486" w:type="pct"/>
            <w:vAlign w:val="center"/>
          </w:tcPr>
          <w:p w14:paraId="00206C75">
            <w:pPr>
              <w:pStyle w:val="124"/>
              <w:rPr>
                <w:rFonts w:ascii="Times New Roman" w:hAnsi="Times New Roman"/>
              </w:rPr>
            </w:pPr>
            <w:r>
              <w:rPr>
                <w:rFonts w:ascii="Times New Roman" w:hAnsi="Times New Roman"/>
              </w:rPr>
              <w:t>0</w:t>
            </w:r>
          </w:p>
        </w:tc>
        <w:tc>
          <w:tcPr>
            <w:tcW w:w="691" w:type="pct"/>
            <w:vAlign w:val="center"/>
          </w:tcPr>
          <w:p w14:paraId="0AEB4939">
            <w:pPr>
              <w:pStyle w:val="124"/>
              <w:rPr>
                <w:rFonts w:ascii="Times New Roman" w:hAnsi="Times New Roman"/>
              </w:rPr>
            </w:pPr>
            <w:r>
              <w:rPr>
                <w:rFonts w:ascii="Times New Roman" w:hAnsi="Times New Roman"/>
              </w:rPr>
              <w:t>/</w:t>
            </w:r>
          </w:p>
        </w:tc>
      </w:tr>
      <w:tr w14:paraId="7865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4D2D6E5">
            <w:pPr>
              <w:pStyle w:val="124"/>
              <w:numPr>
                <w:ilvl w:val="0"/>
                <w:numId w:val="7"/>
              </w:numPr>
              <w:rPr>
                <w:rFonts w:ascii="Times New Roman" w:hAnsi="Times New Roman"/>
              </w:rPr>
            </w:pPr>
          </w:p>
        </w:tc>
        <w:tc>
          <w:tcPr>
            <w:tcW w:w="827" w:type="pct"/>
            <w:vAlign w:val="center"/>
          </w:tcPr>
          <w:p w14:paraId="70A9D260">
            <w:pPr>
              <w:pStyle w:val="124"/>
              <w:rPr>
                <w:rFonts w:ascii="Times New Roman" w:hAnsi="Times New Roman"/>
              </w:rPr>
            </w:pPr>
            <w:r>
              <w:rPr>
                <w:rFonts w:ascii="Times New Roman" w:hAnsi="Times New Roman"/>
              </w:rPr>
              <w:t>锰</w:t>
            </w:r>
          </w:p>
        </w:tc>
        <w:tc>
          <w:tcPr>
            <w:tcW w:w="581" w:type="pct"/>
            <w:vAlign w:val="center"/>
          </w:tcPr>
          <w:p w14:paraId="2DE4B914">
            <w:pPr>
              <w:pStyle w:val="124"/>
              <w:rPr>
                <w:rFonts w:ascii="Times New Roman" w:hAnsi="Times New Roman"/>
              </w:rPr>
            </w:pPr>
            <w:r>
              <w:rPr>
                <w:rFonts w:ascii="Times New Roman" w:hAnsi="Times New Roman"/>
              </w:rPr>
              <w:t>mg/L</w:t>
            </w:r>
          </w:p>
        </w:tc>
        <w:tc>
          <w:tcPr>
            <w:tcW w:w="965" w:type="pct"/>
            <w:vAlign w:val="center"/>
          </w:tcPr>
          <w:p w14:paraId="581F2F12">
            <w:pPr>
              <w:pStyle w:val="124"/>
              <w:rPr>
                <w:rFonts w:ascii="Times New Roman" w:hAnsi="Times New Roman"/>
              </w:rPr>
            </w:pPr>
            <w:r>
              <w:rPr>
                <w:rFonts w:ascii="Times New Roman" w:hAnsi="Times New Roman"/>
              </w:rPr>
              <w:t>0.01L</w:t>
            </w:r>
          </w:p>
        </w:tc>
        <w:tc>
          <w:tcPr>
            <w:tcW w:w="1060" w:type="pct"/>
            <w:vAlign w:val="center"/>
          </w:tcPr>
          <w:p w14:paraId="69BFB6E9">
            <w:pPr>
              <w:pStyle w:val="124"/>
              <w:rPr>
                <w:rFonts w:ascii="Times New Roman" w:hAnsi="Times New Roman"/>
              </w:rPr>
            </w:pPr>
            <w:r>
              <w:rPr>
                <w:rFonts w:ascii="Times New Roman" w:hAnsi="Times New Roman"/>
              </w:rPr>
              <w:t>≤0.1</w:t>
            </w:r>
          </w:p>
        </w:tc>
        <w:tc>
          <w:tcPr>
            <w:tcW w:w="486" w:type="pct"/>
            <w:vAlign w:val="center"/>
          </w:tcPr>
          <w:p w14:paraId="39DB5930">
            <w:pPr>
              <w:pStyle w:val="124"/>
              <w:rPr>
                <w:rFonts w:ascii="Times New Roman" w:hAnsi="Times New Roman"/>
              </w:rPr>
            </w:pPr>
            <w:r>
              <w:rPr>
                <w:rFonts w:ascii="Times New Roman" w:hAnsi="Times New Roman"/>
              </w:rPr>
              <w:t>0</w:t>
            </w:r>
          </w:p>
        </w:tc>
        <w:tc>
          <w:tcPr>
            <w:tcW w:w="691" w:type="pct"/>
            <w:vAlign w:val="center"/>
          </w:tcPr>
          <w:p w14:paraId="7EF4DA5F">
            <w:pPr>
              <w:pStyle w:val="124"/>
              <w:rPr>
                <w:rFonts w:ascii="Times New Roman" w:hAnsi="Times New Roman"/>
              </w:rPr>
            </w:pPr>
            <w:r>
              <w:rPr>
                <w:rFonts w:ascii="Times New Roman" w:hAnsi="Times New Roman"/>
              </w:rPr>
              <w:t>/</w:t>
            </w:r>
          </w:p>
        </w:tc>
      </w:tr>
    </w:tbl>
    <w:p w14:paraId="4395A86B">
      <w:pPr>
        <w:spacing w:before="156" w:beforeLines="50"/>
        <w:ind w:firstLine="480"/>
        <w:rPr>
          <w:color w:val="FF0000"/>
        </w:rPr>
      </w:pPr>
      <w:r>
        <w:rPr>
          <w:color w:val="FF0000"/>
          <w:lang w:bidi="ar"/>
        </w:rPr>
        <w:t>由上表可知，</w:t>
      </w:r>
      <w:r>
        <w:rPr>
          <w:rFonts w:hint="eastAsia"/>
          <w:color w:val="FF0000"/>
          <w:lang w:bidi="ar"/>
        </w:rPr>
        <w:t>本项目所在水功能区的</w:t>
      </w:r>
      <w:r>
        <w:rPr>
          <w:color w:val="FF0000"/>
          <w:lang w:bidi="ar"/>
        </w:rPr>
        <w:t>郁江关口泵站取水口各监测指标标准指数均小于1，满足《地表水环境质量标准》（GB3838-2002）</w:t>
      </w:r>
      <w:r>
        <w:rPr>
          <w:rFonts w:hint="eastAsia" w:ascii="宋体" w:hAnsi="宋体" w:cs="宋体"/>
          <w:color w:val="FF0000"/>
          <w:lang w:bidi="ar"/>
        </w:rPr>
        <w:t>Ⅱ</w:t>
      </w:r>
      <w:r>
        <w:rPr>
          <w:color w:val="FF0000"/>
          <w:lang w:bidi="ar"/>
        </w:rPr>
        <w:t>类标准要求</w:t>
      </w:r>
      <w:r>
        <w:rPr>
          <w:rFonts w:hint="eastAsia"/>
          <w:color w:val="FF0000"/>
          <w:lang w:bidi="ar"/>
        </w:rPr>
        <w:t>。</w:t>
      </w:r>
    </w:p>
    <w:p w14:paraId="3BC2623B">
      <w:pPr>
        <w:pStyle w:val="61"/>
        <w:spacing w:before="312"/>
      </w:pPr>
      <w:bookmarkStart w:id="16" w:name="_Toc184805673"/>
      <w:r>
        <w:t xml:space="preserve">4.3 </w:t>
      </w:r>
      <w:r>
        <w:rPr>
          <w:rFonts w:hint="eastAsia"/>
        </w:rPr>
        <w:t>水生态状况调查</w:t>
      </w:r>
    </w:p>
    <w:p w14:paraId="66347F17">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和资料查阅，郁江干流内整体水生生物生长情况较好，生态系统较为丰富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河湖水生生物概况</w:t>
      </w:r>
      <w:r>
        <w:rPr>
          <w:rFonts w:hint="eastAsia"/>
          <w:color w:val="000000" w:themeColor="text1"/>
          <w14:textFill>
            <w14:solidFill>
              <w14:schemeClr w14:val="tx1"/>
            </w14:solidFill>
          </w14:textFill>
        </w:rPr>
        <w:t>如下：</w:t>
      </w:r>
    </w:p>
    <w:p w14:paraId="78320A0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①浮游植物</w:t>
      </w:r>
    </w:p>
    <w:p w14:paraId="3C5E628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布于彭水江段的浮游植物共有7门，44属，110种（含变种和变型）。其中蓝藻门4属、10种，占调查藻类种类总数的9.09%；硅藻门19属、67种，占种类总数的60.91%；绿藻门12属、20种、占种类总数的18.18%；金藻门3属、4种，占种类总数的3.63%；隐藻门、甲藻门均为2属、2种，各占种类总数的1.81%；裸藻门2属、5种，占种类总数的4.57%。从种类组成看，硅藻门是最重要的类群，这与大多数江河水域的状况是一致的。</w:t>
      </w:r>
    </w:p>
    <w:p w14:paraId="304CCA7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②浮游动物</w:t>
      </w:r>
    </w:p>
    <w:p w14:paraId="3719641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历年调查发现共有浮游动物43属、79种。其中原生动物有15属、28种，占总种数的35.44%；轮虫动物12属、23种，占总种数的29.11%；枝角类8属、13种，占总种数的16.46%；桡足类8属、15种，占总种数的18.99 %。</w:t>
      </w:r>
    </w:p>
    <w:p w14:paraId="364D2A1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③水生维管植物</w:t>
      </w:r>
    </w:p>
    <w:p w14:paraId="4011557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干流河岸带植被茂密，流域内共有水生植物27种，隶属于14科17属。水生维管植物主要以湿生、挺水植物的木贼科、灯心草科、水鳖科植物居多，漂浮植物主要分布在流域的山间溪流、水田、水塘以及河流蜿蜒区。其中沉水植物包括苦草、水筛、无尾水筛、菹草；浮叶植物包括异叶眼子菜和眼子菜；漂浮植物包括凤眼莲、槐叶萍、满江红、鸭舌草；挺水植物包括长苞香蒲、翅茎灯心草、灯心草、香蒲、小慈姑、野慈姑、野灯心草；湿生植物种类较多，包括笔管草、光头稗、节节草、柳叶菜、散生问荆、水蓼、碎米莎草、问荆、异型莎草、园叶节节菜。</w:t>
      </w:r>
    </w:p>
    <w:p w14:paraId="79239CC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④鱼类</w:t>
      </w:r>
    </w:p>
    <w:p w14:paraId="71E01724">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据调查，流域内野生鱼类种类较为丰富，珍稀特有物种也较为丰富，鱼类共有65种，隶属于6目13科50属，其中长江上游特有鱼类有27种；国家重点保护鱼类有达氏鲟、胭脂鱼，重庆市保护鱼类有长薄鳅、红唇薄鳅、鯮、鳤、鲈鲤、岩原鲤、中华金沙鳅、四川华吸鳅、峨嵋后平鳅等9种，其他水生野生动物还有国家二级保护动物大鲵、中华鳖等。彭水县主要养殖淡水鱼类有草鱼、鲢、鳙、鲤、鲫、团头鲂、黄鳝、泥鳅、湘云鲫、南方大口鲶、黄颡鱼等。</w:t>
      </w:r>
    </w:p>
    <w:p w14:paraId="578747D1">
      <w:pPr>
        <w:ind w:firstLine="480"/>
        <w:rPr>
          <w:color w:val="FF0000"/>
        </w:rPr>
      </w:pPr>
      <w:r>
        <w:rPr>
          <w:rFonts w:hint="eastAsia"/>
          <w:color w:val="FF0000"/>
        </w:rPr>
        <w:t>根据现场踏勘和查阅资料，本项目入河排污口汇入的郁江二级水功能区为“郁江保家镇景观娱乐、饮用水源区”，水功能区水资源开发利用程度较高，主导功能为景观娱乐用水，划为景观娱乐、饮用水源区。论证范围河段沿线现状以城镇居住区、林草地为主，未设有重要湿地、国家级水产种质资源保护区及其他相关水生生物保护区等敏感区域，不涉及国家或地方政府设定的鱼类产卵场及索饵场、越冬场和洄游通道，未发现濒危野生动植物。</w:t>
      </w:r>
    </w:p>
    <w:p w14:paraId="3EAA8A1D">
      <w:pPr>
        <w:pStyle w:val="61"/>
        <w:spacing w:before="312"/>
      </w:pPr>
      <w:r>
        <w:rPr>
          <w:rFonts w:hint="eastAsia"/>
        </w:rPr>
        <w:t>4</w:t>
      </w:r>
      <w:r>
        <w:t>.4 水环境放射性状况调查分析</w:t>
      </w:r>
    </w:p>
    <w:p w14:paraId="1D1718E0">
      <w:pPr>
        <w:ind w:firstLine="480"/>
        <w:rPr>
          <w:color w:val="FF0000"/>
        </w:rPr>
      </w:pPr>
      <w:r>
        <w:rPr>
          <w:rFonts w:hint="eastAsia"/>
          <w:color w:val="FF0000"/>
        </w:rPr>
        <w:t>本项目污水处理厂主要服务于彭水苗族土家族自治县芦塘乡中心场镇片区，进水全部为生活污水，</w:t>
      </w:r>
      <w:r>
        <w:rPr>
          <w:rFonts w:cs="Times New Roman"/>
          <w:color w:val="FF0000"/>
        </w:rPr>
        <w:t>主要污染物为COD、BOD</w:t>
      </w:r>
      <w:r>
        <w:rPr>
          <w:rFonts w:cs="Times New Roman"/>
          <w:color w:val="FF0000"/>
          <w:vertAlign w:val="subscript"/>
        </w:rPr>
        <w:t>5</w:t>
      </w:r>
      <w:r>
        <w:rPr>
          <w:rFonts w:cs="Times New Roman"/>
          <w:color w:val="FF0000"/>
        </w:rPr>
        <w:t>、SS、氨氮、TP、TN，不涉及放射性物质</w:t>
      </w:r>
      <w:r>
        <w:rPr>
          <w:rFonts w:hint="eastAsia" w:cs="Times New Roman"/>
          <w:color w:val="FF0000"/>
        </w:rPr>
        <w:t>。</w:t>
      </w:r>
    </w:p>
    <w:p w14:paraId="281CB213">
      <w:pPr>
        <w:pStyle w:val="61"/>
        <w:spacing w:before="312"/>
      </w:pPr>
      <w:r>
        <w:rPr>
          <w:rFonts w:hint="eastAsia"/>
        </w:rPr>
        <w:t>4</w:t>
      </w:r>
      <w:r>
        <w:t xml:space="preserve">.5 </w:t>
      </w:r>
      <w:r>
        <w:rPr>
          <w:rFonts w:hint="eastAsia"/>
        </w:rPr>
        <w:t>生态环境分区管理要求调查分析</w:t>
      </w:r>
    </w:p>
    <w:p w14:paraId="377C474A">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686A744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14:paraId="7E2C44DB">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5BE91E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芦塘乡（板栗村）污水处理厂项目所在区域乌江水质能满足《地表水环境质量标准》（GB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64A2A2F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468A1DD7">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670D4F6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5CE743E4">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777A19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0BBDBDB3">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23A9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06FE12A0">
            <w:pPr>
              <w:pStyle w:val="123"/>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78D8ACA7">
            <w:pPr>
              <w:pStyle w:val="123"/>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33BED818">
            <w:pPr>
              <w:pStyle w:val="123"/>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3103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5652AFD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2A810B0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624B97F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0179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B91D8B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3242C2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509D673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461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9D4AB7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7207ED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45FE0A3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1DC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BF11CD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7DCBF9D">
            <w:pPr>
              <w:pStyle w:val="10"/>
              <w:numPr>
                <w:ilvl w:val="0"/>
                <w:numId w:val="8"/>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1643A7D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404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53DA23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C34F4A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610ECD3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624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E9EA46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8A8FD4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5934169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518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7752F7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0B2116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73F641F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DDC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270F4DD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6CF2718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396C62E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14:paraId="174F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701F3C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12020A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680BF30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633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F45E61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738178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5D6301E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BBF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9CF1BC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8F9AC3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3D2524A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51D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D40B7C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DC32AF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6CE99FE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2C4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E4CD1C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8AD866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33AA077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418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7D1DCB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CC0730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7556957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5B5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53BCDC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B43F72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3892345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70A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7AEEEAF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7573743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w:t>
            </w:r>
            <w:r>
              <w:rPr>
                <w:rFonts w:hint="eastAsia" w:ascii="Times New Roman" w:hAnsi="Times New Roman" w:eastAsia="宋体" w:cs="Times New Roman"/>
                <w:bCs/>
                <w:color w:val="000000" w:themeColor="text1"/>
                <w:kern w:val="0"/>
                <w:szCs w:val="21"/>
                <w14:textFill>
                  <w14:solidFill>
                    <w14:schemeClr w14:val="tx1"/>
                  </w14:solidFill>
                </w14:textFill>
              </w:rPr>
              <w:t>事件</w:t>
            </w:r>
            <w:r>
              <w:rPr>
                <w:rFonts w:ascii="Times New Roman" w:hAnsi="Times New Roman" w:eastAsia="宋体" w:cs="Times New Roman"/>
                <w:bCs/>
                <w:color w:val="000000" w:themeColor="text1"/>
                <w:kern w:val="0"/>
                <w:szCs w:val="21"/>
                <w14:textFill>
                  <w14:solidFill>
                    <w14:schemeClr w14:val="tx1"/>
                  </w14:solidFill>
                </w14:textFill>
              </w:rPr>
              <w:t>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6BB386B0">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0B3E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2182B7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FA36F9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2DB08A2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10C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307D59F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320EA05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4864D15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71C5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197742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2B631D2">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5FFF215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AE6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4AEBA89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057EF33">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0FABBD8C">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6626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2321D2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E202A96">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66AD2DF6">
            <w:pPr>
              <w:spacing w:line="240" w:lineRule="auto"/>
              <w:ind w:firstLine="0" w:firstLineChars="0"/>
              <w:rPr>
                <w:rFonts w:cs="Times New Roman"/>
                <w:bCs/>
                <w:color w:val="000000" w:themeColor="text1"/>
                <w:sz w:val="21"/>
                <w:szCs w:val="21"/>
                <w14:textFill>
                  <w14:solidFill>
                    <w14:schemeClr w14:val="tx1"/>
                  </w14:solidFill>
                </w14:textFill>
              </w:rPr>
            </w:pPr>
          </w:p>
        </w:tc>
      </w:tr>
      <w:tr w14:paraId="6555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4F5D1E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BE4B208">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0A292D29">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17284EB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3E7A7DD3">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61BA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44B28385">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2F07830E">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315A7D7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667F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4D3A6DF2">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3EE5E1CA">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201D7D5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200A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237D27B8">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93EAB5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0D56E19D">
            <w:pPr>
              <w:spacing w:line="240" w:lineRule="auto"/>
              <w:ind w:firstLine="0" w:firstLineChars="0"/>
              <w:jc w:val="center"/>
              <w:rPr>
                <w:color w:val="000000" w:themeColor="text1"/>
                <w:sz w:val="21"/>
                <w:szCs w:val="21"/>
                <w14:textFill>
                  <w14:solidFill>
                    <w14:schemeClr w14:val="tx1"/>
                  </w14:solidFill>
                </w14:textFill>
              </w:rPr>
            </w:pPr>
          </w:p>
        </w:tc>
      </w:tr>
      <w:tr w14:paraId="4618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5BC6C2C">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50B569E5">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14:paraId="38BBAA0C">
            <w:pPr>
              <w:spacing w:line="240" w:lineRule="auto"/>
              <w:ind w:firstLine="0" w:firstLineChars="0"/>
              <w:jc w:val="center"/>
              <w:rPr>
                <w:color w:val="000000" w:themeColor="text1"/>
                <w:sz w:val="21"/>
                <w:szCs w:val="21"/>
                <w14:textFill>
                  <w14:solidFill>
                    <w14:schemeClr w14:val="tx1"/>
                  </w14:solidFill>
                </w14:textFill>
              </w:rPr>
            </w:pPr>
          </w:p>
        </w:tc>
      </w:tr>
      <w:tr w14:paraId="22B5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8A8B01D">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6CBCD4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57C276B2">
            <w:pPr>
              <w:spacing w:line="240" w:lineRule="auto"/>
              <w:ind w:firstLine="0" w:firstLineChars="0"/>
              <w:jc w:val="center"/>
              <w:rPr>
                <w:color w:val="000000" w:themeColor="text1"/>
                <w:sz w:val="21"/>
                <w:szCs w:val="21"/>
                <w14:textFill>
                  <w14:solidFill>
                    <w14:schemeClr w14:val="tx1"/>
                  </w14:solidFill>
                </w14:textFill>
              </w:rPr>
            </w:pPr>
          </w:p>
        </w:tc>
      </w:tr>
      <w:tr w14:paraId="34E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CD3E929">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B97AE5D">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41FDB390">
            <w:pPr>
              <w:spacing w:line="240" w:lineRule="auto"/>
              <w:ind w:firstLine="0" w:firstLineChars="0"/>
              <w:jc w:val="center"/>
              <w:rPr>
                <w:color w:val="000000" w:themeColor="text1"/>
                <w:sz w:val="21"/>
                <w:szCs w:val="21"/>
                <w14:textFill>
                  <w14:solidFill>
                    <w14:schemeClr w14:val="tx1"/>
                  </w14:solidFill>
                </w14:textFill>
              </w:rPr>
            </w:pPr>
          </w:p>
        </w:tc>
      </w:tr>
      <w:tr w14:paraId="6346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40821DBD">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1F7283F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2BDB649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2100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015F0C9">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6D4A9DED">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3C145773">
            <w:pPr>
              <w:spacing w:line="240" w:lineRule="auto"/>
              <w:ind w:firstLine="420"/>
              <w:jc w:val="center"/>
              <w:rPr>
                <w:color w:val="000000" w:themeColor="text1"/>
                <w:sz w:val="21"/>
                <w:szCs w:val="21"/>
                <w14:textFill>
                  <w14:solidFill>
                    <w14:schemeClr w14:val="tx1"/>
                  </w14:solidFill>
                </w14:textFill>
              </w:rPr>
            </w:pPr>
          </w:p>
        </w:tc>
      </w:tr>
      <w:tr w14:paraId="5470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90AC9FA">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68AB2EA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2C11B2E7">
            <w:pPr>
              <w:spacing w:line="240" w:lineRule="auto"/>
              <w:ind w:firstLine="420"/>
              <w:jc w:val="center"/>
              <w:rPr>
                <w:color w:val="000000" w:themeColor="text1"/>
                <w:sz w:val="21"/>
                <w:szCs w:val="21"/>
                <w14:textFill>
                  <w14:solidFill>
                    <w14:schemeClr w14:val="tx1"/>
                  </w14:solidFill>
                </w14:textFill>
              </w:rPr>
            </w:pPr>
          </w:p>
        </w:tc>
      </w:tr>
      <w:tr w14:paraId="37AA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35209E3">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4D84BAE4">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61D7E83D">
            <w:pPr>
              <w:spacing w:line="240" w:lineRule="auto"/>
              <w:ind w:firstLine="0" w:firstLineChars="0"/>
              <w:jc w:val="center"/>
              <w:rPr>
                <w:color w:val="000000" w:themeColor="text1"/>
                <w:sz w:val="21"/>
                <w:szCs w:val="21"/>
                <w14:textFill>
                  <w14:solidFill>
                    <w14:schemeClr w14:val="tx1"/>
                  </w14:solidFill>
                </w14:textFill>
              </w:rPr>
            </w:pPr>
          </w:p>
        </w:tc>
      </w:tr>
      <w:tr w14:paraId="3E47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340EA198">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3564CA4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33F9FE8E">
            <w:pPr>
              <w:spacing w:line="240" w:lineRule="auto"/>
              <w:ind w:firstLine="0" w:firstLineChars="0"/>
              <w:jc w:val="center"/>
              <w:rPr>
                <w:color w:val="000000" w:themeColor="text1"/>
                <w:sz w:val="21"/>
                <w:szCs w:val="21"/>
                <w14:textFill>
                  <w14:solidFill>
                    <w14:schemeClr w14:val="tx1"/>
                  </w14:solidFill>
                </w14:textFill>
              </w:rPr>
            </w:pPr>
          </w:p>
        </w:tc>
      </w:tr>
      <w:tr w14:paraId="7F7F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5738CD18">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79E1C26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3FFD2E5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175C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6F77576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1DE5F7AB">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7441A87E">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537C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07C6A5B9">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07341D8">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6A0ECC1E">
            <w:pPr>
              <w:spacing w:line="240" w:lineRule="auto"/>
              <w:ind w:firstLine="0" w:firstLineChars="0"/>
              <w:jc w:val="center"/>
              <w:rPr>
                <w:color w:val="000000" w:themeColor="text1"/>
                <w:sz w:val="21"/>
                <w:szCs w:val="21"/>
                <w14:textFill>
                  <w14:solidFill>
                    <w14:schemeClr w14:val="tx1"/>
                  </w14:solidFill>
                </w14:textFill>
              </w:rPr>
            </w:pPr>
          </w:p>
        </w:tc>
      </w:tr>
      <w:tr w14:paraId="5544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C65C5D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D7B66E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4AEC52BE">
            <w:pPr>
              <w:spacing w:line="240" w:lineRule="auto"/>
              <w:ind w:firstLine="0" w:firstLineChars="0"/>
              <w:jc w:val="center"/>
              <w:rPr>
                <w:color w:val="000000" w:themeColor="text1"/>
                <w:sz w:val="21"/>
                <w:szCs w:val="21"/>
                <w14:textFill>
                  <w14:solidFill>
                    <w14:schemeClr w14:val="tx1"/>
                  </w14:solidFill>
                </w14:textFill>
              </w:rPr>
            </w:pPr>
          </w:p>
        </w:tc>
      </w:tr>
    </w:tbl>
    <w:p w14:paraId="010D7E1E">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5A963B14">
      <w:pPr>
        <w:ind w:firstLine="480"/>
        <w:rPr>
          <w:rFonts w:cs="Times New Roman"/>
          <w:b/>
          <w:color w:val="000000" w:themeColor="text1"/>
          <w:sz w:val="21"/>
          <w:szCs w:val="2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p>
    <w:p w14:paraId="5463791F">
      <w:pPr>
        <w:pStyle w:val="61"/>
        <w:spacing w:before="312"/>
      </w:pPr>
      <w:r>
        <w:rPr>
          <w:rFonts w:hint="eastAsia"/>
        </w:rPr>
        <w:t>水功能区纳污能力及限制排放总量</w:t>
      </w:r>
      <w:bookmarkEnd w:id="16"/>
    </w:p>
    <w:p w14:paraId="14B1FA21">
      <w:pPr>
        <w:ind w:firstLine="480"/>
        <w:rPr>
          <w:color w:val="000000" w:themeColor="text1"/>
          <w14:textFill>
            <w14:solidFill>
              <w14:schemeClr w14:val="tx1"/>
            </w14:solidFill>
          </w14:textFill>
        </w:rPr>
      </w:pPr>
      <w:r>
        <w:rPr>
          <w:color w:val="000000" w:themeColor="text1"/>
          <w14:textFill>
            <w14:solidFill>
              <w14:schemeClr w14:val="tx1"/>
            </w14:solidFill>
          </w14:textFill>
        </w:rPr>
        <w:t>根据水功能区的纳污能力和实际污染物入河量，综合考虑水功能区水质状况、当地技术经济条件和经济社会发展水平，在确定的时间内，允许污染物进入水功能区的最大数量，称为限制排污总量。限制排污总量是分阶段实施水功能区水质管理的依据。不同的水功能区限制排污总量按不同的方法分别确定，同一水功能区不同水平年限制排污总量可以不同。</w:t>
      </w:r>
    </w:p>
    <w:p w14:paraId="67F3B8A2">
      <w:pPr>
        <w:ind w:firstLine="480"/>
        <w:rPr>
          <w:color w:val="000000" w:themeColor="text1"/>
          <w14:textFill>
            <w14:solidFill>
              <w14:schemeClr w14:val="tx1"/>
            </w14:solidFill>
          </w14:textFill>
        </w:rPr>
      </w:pPr>
      <w:r>
        <w:rPr>
          <w:color w:val="000000" w:themeColor="text1"/>
          <w14:textFill>
            <w14:solidFill>
              <w14:schemeClr w14:val="tx1"/>
            </w14:solidFill>
          </w14:textFill>
        </w:rPr>
        <w:t>重要江河湖泊水功能区限制排污总量，应在核定水域纳污能力的基础上，结合《全国水资源综合规划》和各流域综合规划修编成果、区域经济技术水平、河流水资源配置等因素，严格控制入河排污总量，综合确定重要江河湖泊水功能区分阶段限制排污总量方案。</w:t>
      </w:r>
    </w:p>
    <w:p w14:paraId="5C1AB204">
      <w:pPr>
        <w:ind w:firstLine="480"/>
        <w:rPr>
          <w:color w:val="000000" w:themeColor="text1"/>
          <w14:textFill>
            <w14:solidFill>
              <w14:schemeClr w14:val="tx1"/>
            </w14:solidFill>
          </w14:textFill>
        </w:rPr>
      </w:pPr>
      <w:r>
        <w:rPr>
          <w:color w:val="000000" w:themeColor="text1"/>
          <w14:textFill>
            <w14:solidFill>
              <w14:schemeClr w14:val="tx1"/>
            </w14:solidFill>
          </w14:textFill>
        </w:rPr>
        <w:t>水功能区纳污能力主要用于控制水环境质量，它是制定水资源保护规划和经济发展规划的依据。排入水功能区污染物量应受其纳污能力的控制，如果超出纳污能力必须采取削减污染源排污总量、增加污水处理等措施，减少污染物入河量。</w:t>
      </w:r>
    </w:p>
    <w:p w14:paraId="13EA536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污水处理厂排污口位于郁江右岸，污水处理厂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和纳污能力</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4884717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5827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3D005AB4">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235DBAF2">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7F2710F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33CFA49A">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5CC0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0917C899">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16624108">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3EA816D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378FDB34">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288B530C">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05E4BE3C">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3E83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368E49A4">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51CDF879">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0CC27D1D">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69BB55B3">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16E5142E">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2493.90</w:t>
            </w:r>
          </w:p>
        </w:tc>
        <w:tc>
          <w:tcPr>
            <w:tcW w:w="1214" w:type="dxa"/>
            <w:shd w:val="clear" w:color="auto" w:fill="auto"/>
            <w:vAlign w:val="center"/>
          </w:tcPr>
          <w:p w14:paraId="3683D310">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67.85</w:t>
            </w:r>
          </w:p>
        </w:tc>
      </w:tr>
    </w:tbl>
    <w:p w14:paraId="5220EDDB">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37C057A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1361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17D91FEB">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30F9D536">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69BDD070">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2612ECAA">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39FE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00200876">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538231AD">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1F538478">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2EB77330">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21E18B5C">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2C316BE6">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72C3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408E9481">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4FFB8278">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7F0F6C7F">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4FD58028">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6B5A089F">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748.17</w:t>
            </w:r>
          </w:p>
        </w:tc>
        <w:tc>
          <w:tcPr>
            <w:tcW w:w="1214" w:type="dxa"/>
            <w:shd w:val="clear" w:color="auto" w:fill="auto"/>
            <w:vAlign w:val="center"/>
          </w:tcPr>
          <w:p w14:paraId="37522B90">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51.85</w:t>
            </w:r>
          </w:p>
        </w:tc>
      </w:tr>
    </w:tbl>
    <w:p w14:paraId="4BE67CD6">
      <w:pPr>
        <w:pStyle w:val="61"/>
        <w:spacing w:before="312"/>
        <w:rPr>
          <w:color w:val="000000" w:themeColor="text1"/>
          <w14:textFill>
            <w14:solidFill>
              <w14:schemeClr w14:val="tx1"/>
            </w14:solidFill>
          </w14:textFill>
        </w:rPr>
      </w:pPr>
      <w:bookmarkStart w:id="17" w:name="_Toc184805675"/>
      <w:r>
        <w:rPr>
          <w:rFonts w:hint="eastAsia"/>
          <w:color w:val="000000" w:themeColor="text1"/>
          <w14:textFill>
            <w14:solidFill>
              <w14:schemeClr w14:val="tx1"/>
            </w14:solidFill>
          </w14:textFill>
        </w:rPr>
        <w:t>入河排污口所在水功能区（水域）水质现状和纳污状况</w:t>
      </w:r>
      <w:bookmarkEnd w:id="17"/>
    </w:p>
    <w:p w14:paraId="62278FEE">
      <w:pPr>
        <w:pStyle w:val="61"/>
        <w:spacing w:before="312"/>
      </w:pPr>
      <w:r>
        <w:rPr>
          <w:rFonts w:hint="eastAsia"/>
        </w:rPr>
        <w:t xml:space="preserve"> </w:t>
      </w:r>
      <w:bookmarkStart w:id="18" w:name="_Toc184805676"/>
      <w:r>
        <w:rPr>
          <w:rFonts w:hint="eastAsia"/>
        </w:rPr>
        <w:t>水功能区（水域）管理要求</w:t>
      </w:r>
      <w:bookmarkEnd w:id="18"/>
    </w:p>
    <w:p w14:paraId="281FEADF">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《重庆市彭水县水功能区划修编报告》</w:t>
      </w: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color w:val="000000" w:themeColor="text1"/>
          <w14:textFill>
            <w14:solidFill>
              <w14:schemeClr w14:val="tx1"/>
            </w14:solidFill>
          </w14:textFill>
        </w:rPr>
        <w:t>，所在</w:t>
      </w:r>
      <w:r>
        <w:rPr>
          <w:rFonts w:hint="eastAsia"/>
          <w:color w:val="000000" w:themeColor="text1"/>
          <w14:textFill>
            <w14:solidFill>
              <w14:schemeClr w14:val="tx1"/>
            </w14:solidFill>
          </w14:textFill>
        </w:rPr>
        <w:t>一</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“郁江彭水保家镇开发利用区”，二</w:t>
      </w:r>
      <w:r>
        <w:rPr>
          <w:color w:val="000000" w:themeColor="text1"/>
          <w14:textFill>
            <w14:solidFill>
              <w14:schemeClr w14:val="tx1"/>
            </w14:solidFill>
          </w14:textFill>
        </w:rPr>
        <w:t>级水功能区为</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，其水质管理目标为</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p>
    <w:p w14:paraId="04546645">
      <w:pPr>
        <w:pStyle w:val="61"/>
        <w:spacing w:before="312"/>
      </w:pPr>
      <w:r>
        <w:rPr>
          <w:rFonts w:hint="eastAsia"/>
        </w:rPr>
        <w:t xml:space="preserve"> </w:t>
      </w:r>
      <w:bookmarkStart w:id="19" w:name="_Toc184805677"/>
      <w:r>
        <w:rPr>
          <w:rFonts w:hint="eastAsia"/>
        </w:rPr>
        <w:t>水功能区（水域）水质现状</w:t>
      </w:r>
      <w:bookmarkEnd w:id="19"/>
    </w:p>
    <w:p w14:paraId="44DAFF9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本排污口所在的郁江有两个例行监测断面，分别为郁江长顺乡断面（湖北入重庆断面，入河排污口上游</w:t>
      </w:r>
      <w:r>
        <w:rPr>
          <w:color w:val="000000" w:themeColor="text1"/>
          <w14:textFill>
            <w14:solidFill>
              <w14:schemeClr w14:val="tx1"/>
            </w14:solidFill>
          </w14:textFill>
        </w:rPr>
        <w:t>50.5km</w:t>
      </w:r>
      <w:r>
        <w:rPr>
          <w:rFonts w:hint="eastAsia"/>
          <w:color w:val="000000" w:themeColor="text1"/>
          <w14:textFill>
            <w14:solidFill>
              <w14:schemeClr w14:val="tx1"/>
            </w14:solidFill>
          </w14:textFill>
        </w:rPr>
        <w:t>）和郁江桥断面（入河排污口下游</w:t>
      </w:r>
      <w:r>
        <w:rPr>
          <w:color w:val="000000" w:themeColor="text1"/>
          <w14:textFill>
            <w14:solidFill>
              <w14:schemeClr w14:val="tx1"/>
            </w14:solidFill>
          </w14:textFill>
        </w:rPr>
        <w:t>41.5</w:t>
      </w:r>
      <w:r>
        <w:rPr>
          <w:rFonts w:hint="eastAsia"/>
          <w:color w:val="000000" w:themeColor="text1"/>
          <w14:textFill>
            <w14:solidFill>
              <w14:schemeClr w14:val="tx1"/>
            </w14:solidFill>
          </w14:textFill>
        </w:rPr>
        <w:t>km）。根据</w:t>
      </w: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月两个断面的例行监测数据，对郁江水环境质量情况进行分析。郁江例行监测断面近三年监测数据见表4.2.1-1。</w:t>
      </w:r>
    </w:p>
    <w:p w14:paraId="5CD624C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14:textFill>
            <w14:solidFill>
              <w14:schemeClr w14:val="tx1"/>
            </w14:solidFill>
          </w14:textFill>
        </w:rPr>
        <w:t>4.2</w:t>
      </w:r>
      <w:r>
        <w:rPr>
          <w:rFonts w:cs="Times New Roman"/>
          <w:b/>
          <w:color w:val="000000" w:themeColor="text1"/>
          <w:sz w:val="21"/>
          <w:szCs w:val="21"/>
          <w14:textFill>
            <w14:solidFill>
              <w14:schemeClr w14:val="tx1"/>
            </w14:solidFill>
          </w14:textFill>
        </w:rPr>
        <w:t>-</w:t>
      </w:r>
      <w:r>
        <w:rPr>
          <w:rFonts w:hint="eastAsia" w:cs="Times New Roman"/>
          <w:b/>
          <w:color w:val="000000" w:themeColor="text1"/>
          <w:sz w:val="21"/>
          <w:szCs w:val="21"/>
          <w14:textFill>
            <w14:solidFill>
              <w14:schemeClr w14:val="tx1"/>
            </w14:solidFill>
          </w14:textFill>
        </w:rPr>
        <w:t>1</w:t>
      </w:r>
      <w:r>
        <w:rPr>
          <w:rFonts w:cs="Times New Roman"/>
          <w:b/>
          <w:color w:val="000000" w:themeColor="text1"/>
          <w:sz w:val="21"/>
          <w:szCs w:val="21"/>
          <w14:textFill>
            <w14:solidFill>
              <w14:schemeClr w14:val="tx1"/>
            </w14:solidFill>
          </w14:textFill>
        </w:rPr>
        <w:t xml:space="preserve">  </w:t>
      </w:r>
      <w:r>
        <w:rPr>
          <w:rFonts w:hint="eastAsia" w:cs="Times New Roman"/>
          <w:b/>
          <w:color w:val="000000" w:themeColor="text1"/>
          <w:sz w:val="21"/>
          <w:szCs w:val="21"/>
          <w14:textFill>
            <w14:solidFill>
              <w14:schemeClr w14:val="tx1"/>
            </w14:solidFill>
          </w14:textFill>
        </w:rPr>
        <w:t>郁江例行监测断面在2022年1月~202</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年</w:t>
      </w:r>
      <w:r>
        <w:rPr>
          <w:rFonts w:cs="Times New Roman"/>
          <w:b/>
          <w:color w:val="000000" w:themeColor="text1"/>
          <w:sz w:val="21"/>
          <w:szCs w:val="21"/>
          <w14:textFill>
            <w14:solidFill>
              <w14:schemeClr w14:val="tx1"/>
            </w14:solidFill>
          </w14:textFill>
        </w:rPr>
        <w:t>12</w:t>
      </w:r>
      <w:r>
        <w:rPr>
          <w:rFonts w:hint="eastAsia" w:cs="Times New Roman"/>
          <w:b/>
          <w:color w:val="000000" w:themeColor="text1"/>
          <w:sz w:val="21"/>
          <w:szCs w:val="21"/>
          <w14:textFill>
            <w14:solidFill>
              <w14:schemeClr w14:val="tx1"/>
            </w14:solidFill>
          </w14:textFill>
        </w:rPr>
        <w:t>月</w:t>
      </w:r>
      <w:r>
        <w:rPr>
          <w:rFonts w:cs="Times New Roman"/>
          <w:b/>
          <w:color w:val="000000" w:themeColor="text1"/>
          <w:sz w:val="21"/>
          <w:szCs w:val="21"/>
          <w14:textFill>
            <w14:solidFill>
              <w14:schemeClr w14:val="tx1"/>
            </w14:solidFill>
          </w14:textFill>
        </w:rPr>
        <w:t>主要水环境现状指标</w:t>
      </w:r>
      <w:r>
        <w:rPr>
          <w:rFonts w:hint="eastAsia" w:cs="Times New Roman"/>
          <w:b/>
          <w:color w:val="000000" w:themeColor="text1"/>
          <w:sz w:val="21"/>
          <w:szCs w:val="21"/>
          <w14:textFill>
            <w14:solidFill>
              <w14:schemeClr w14:val="tx1"/>
            </w14:solidFill>
          </w14:textFill>
        </w:rPr>
        <w:t xml:space="preserve">  mg/L，pH除外</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02"/>
        <w:gridCol w:w="1019"/>
        <w:gridCol w:w="982"/>
        <w:gridCol w:w="910"/>
        <w:gridCol w:w="1019"/>
        <w:gridCol w:w="1164"/>
        <w:gridCol w:w="1098"/>
      </w:tblGrid>
      <w:tr w14:paraId="7191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shd w:val="clear" w:color="auto" w:fill="auto"/>
            <w:vAlign w:val="center"/>
          </w:tcPr>
          <w:p w14:paraId="37A26196">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监测断面</w:t>
            </w:r>
          </w:p>
        </w:tc>
        <w:tc>
          <w:tcPr>
            <w:tcW w:w="940" w:type="pct"/>
            <w:shd w:val="clear" w:color="auto" w:fill="auto"/>
            <w:vAlign w:val="center"/>
          </w:tcPr>
          <w:p w14:paraId="4D85E8AF">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时间</w:t>
            </w:r>
          </w:p>
        </w:tc>
        <w:tc>
          <w:tcPr>
            <w:tcW w:w="598" w:type="pct"/>
            <w:shd w:val="clear" w:color="auto" w:fill="auto"/>
            <w:vAlign w:val="center"/>
          </w:tcPr>
          <w:p w14:paraId="688CAE1A">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p</w:t>
            </w:r>
            <w:r>
              <w:rPr>
                <w:b/>
                <w:color w:val="000000" w:themeColor="text1"/>
                <w:sz w:val="21"/>
                <w:szCs w:val="21"/>
                <w14:textFill>
                  <w14:solidFill>
                    <w14:schemeClr w14:val="tx1"/>
                  </w14:solidFill>
                </w14:textFill>
              </w:rPr>
              <w:t>H</w:t>
            </w:r>
          </w:p>
        </w:tc>
        <w:tc>
          <w:tcPr>
            <w:tcW w:w="576" w:type="pct"/>
            <w:shd w:val="clear" w:color="auto" w:fill="auto"/>
            <w:vAlign w:val="center"/>
          </w:tcPr>
          <w:p w14:paraId="31C0E381">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高锰酸</w:t>
            </w:r>
          </w:p>
          <w:p w14:paraId="7EB776FE">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盐指数</w:t>
            </w:r>
          </w:p>
        </w:tc>
        <w:tc>
          <w:tcPr>
            <w:tcW w:w="534" w:type="pct"/>
            <w:vAlign w:val="center"/>
          </w:tcPr>
          <w:p w14:paraId="626939A4">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C</w:t>
            </w:r>
            <w:r>
              <w:rPr>
                <w:b/>
                <w:color w:val="000000" w:themeColor="text1"/>
                <w:sz w:val="21"/>
                <w:szCs w:val="21"/>
                <w14:textFill>
                  <w14:solidFill>
                    <w14:schemeClr w14:val="tx1"/>
                  </w14:solidFill>
                </w14:textFill>
              </w:rPr>
              <w:t>OD</w:t>
            </w:r>
          </w:p>
        </w:tc>
        <w:tc>
          <w:tcPr>
            <w:tcW w:w="598" w:type="pct"/>
            <w:vAlign w:val="center"/>
          </w:tcPr>
          <w:p w14:paraId="18D59041">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B</w:t>
            </w:r>
            <w:r>
              <w:rPr>
                <w:b/>
                <w:color w:val="000000" w:themeColor="text1"/>
                <w:sz w:val="21"/>
                <w:szCs w:val="21"/>
                <w14:textFill>
                  <w14:solidFill>
                    <w14:schemeClr w14:val="tx1"/>
                  </w14:solidFill>
                </w14:textFill>
              </w:rPr>
              <w:t>OD</w:t>
            </w:r>
            <w:r>
              <w:rPr>
                <w:b/>
                <w:color w:val="000000" w:themeColor="text1"/>
                <w:sz w:val="21"/>
                <w:szCs w:val="21"/>
                <w:vertAlign w:val="subscript"/>
                <w14:textFill>
                  <w14:solidFill>
                    <w14:schemeClr w14:val="tx1"/>
                  </w14:solidFill>
                </w14:textFill>
              </w:rPr>
              <w:t>5</w:t>
            </w:r>
          </w:p>
        </w:tc>
        <w:tc>
          <w:tcPr>
            <w:tcW w:w="683" w:type="pct"/>
            <w:vAlign w:val="center"/>
          </w:tcPr>
          <w:p w14:paraId="6DAB221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氨氮</w:t>
            </w:r>
          </w:p>
        </w:tc>
        <w:tc>
          <w:tcPr>
            <w:tcW w:w="644" w:type="pct"/>
            <w:shd w:val="clear" w:color="auto" w:fill="auto"/>
            <w:vAlign w:val="center"/>
          </w:tcPr>
          <w:p w14:paraId="0CFBDBB5">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总磷</w:t>
            </w:r>
          </w:p>
        </w:tc>
      </w:tr>
      <w:tr w14:paraId="0DFE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27" w:type="pct"/>
            <w:vMerge w:val="restart"/>
            <w:shd w:val="clear" w:color="auto" w:fill="auto"/>
            <w:vAlign w:val="center"/>
          </w:tcPr>
          <w:p w14:paraId="2A35E72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郁江长顺乡断面</w:t>
            </w:r>
          </w:p>
        </w:tc>
        <w:tc>
          <w:tcPr>
            <w:tcW w:w="940" w:type="pct"/>
            <w:shd w:val="clear" w:color="auto" w:fill="auto"/>
            <w:vAlign w:val="center"/>
          </w:tcPr>
          <w:p w14:paraId="12F7DF4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78A6FA53">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7.6~8.4</w:t>
            </w:r>
          </w:p>
        </w:tc>
        <w:tc>
          <w:tcPr>
            <w:tcW w:w="576" w:type="pct"/>
            <w:shd w:val="clear" w:color="auto" w:fill="auto"/>
            <w:vAlign w:val="center"/>
          </w:tcPr>
          <w:p w14:paraId="316A2567">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1.0</w:t>
            </w:r>
          </w:p>
        </w:tc>
        <w:tc>
          <w:tcPr>
            <w:tcW w:w="534" w:type="pct"/>
            <w:vAlign w:val="center"/>
          </w:tcPr>
          <w:p w14:paraId="1D2FBEA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8</w:t>
            </w:r>
          </w:p>
        </w:tc>
        <w:tc>
          <w:tcPr>
            <w:tcW w:w="598" w:type="pct"/>
            <w:vAlign w:val="center"/>
          </w:tcPr>
          <w:p w14:paraId="5BCE0F8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4287B78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.07</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0.12</w:t>
            </w:r>
          </w:p>
        </w:tc>
        <w:tc>
          <w:tcPr>
            <w:tcW w:w="644" w:type="pct"/>
            <w:shd w:val="clear" w:color="auto" w:fill="auto"/>
            <w:vAlign w:val="center"/>
          </w:tcPr>
          <w:p w14:paraId="50AA87D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2E3F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4D70C827">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4AAE72B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76F1058C">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8.5</w:t>
            </w:r>
          </w:p>
        </w:tc>
        <w:tc>
          <w:tcPr>
            <w:tcW w:w="576" w:type="pct"/>
            <w:shd w:val="clear" w:color="auto" w:fill="auto"/>
            <w:vAlign w:val="center"/>
          </w:tcPr>
          <w:p w14:paraId="7A0FD2C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1.1</w:t>
            </w:r>
          </w:p>
        </w:tc>
        <w:tc>
          <w:tcPr>
            <w:tcW w:w="534" w:type="pct"/>
            <w:vAlign w:val="center"/>
          </w:tcPr>
          <w:p w14:paraId="48CF52B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643FEF0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1.4</w:t>
            </w:r>
          </w:p>
        </w:tc>
        <w:tc>
          <w:tcPr>
            <w:tcW w:w="683" w:type="pct"/>
            <w:vAlign w:val="center"/>
          </w:tcPr>
          <w:p w14:paraId="3E21339A">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0.16</w:t>
            </w:r>
          </w:p>
        </w:tc>
        <w:tc>
          <w:tcPr>
            <w:tcW w:w="644" w:type="pct"/>
            <w:shd w:val="clear" w:color="auto" w:fill="auto"/>
            <w:vAlign w:val="center"/>
          </w:tcPr>
          <w:p w14:paraId="562F2E0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0.07</w:t>
            </w:r>
          </w:p>
        </w:tc>
      </w:tr>
      <w:tr w14:paraId="31DB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27" w:type="pct"/>
            <w:vMerge w:val="restart"/>
            <w:shd w:val="clear" w:color="auto" w:fill="auto"/>
            <w:vAlign w:val="center"/>
          </w:tcPr>
          <w:p w14:paraId="5E7B51A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郁江桥断面</w:t>
            </w:r>
          </w:p>
        </w:tc>
        <w:tc>
          <w:tcPr>
            <w:tcW w:w="940" w:type="pct"/>
            <w:shd w:val="clear" w:color="auto" w:fill="auto"/>
            <w:vAlign w:val="center"/>
          </w:tcPr>
          <w:p w14:paraId="6ACC1BF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022</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78E27BA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.7~8.4</w:t>
            </w:r>
          </w:p>
        </w:tc>
        <w:tc>
          <w:tcPr>
            <w:tcW w:w="576" w:type="pct"/>
            <w:shd w:val="clear" w:color="auto" w:fill="auto"/>
            <w:vAlign w:val="center"/>
          </w:tcPr>
          <w:p w14:paraId="149C54D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.6~1.2</w:t>
            </w:r>
          </w:p>
        </w:tc>
        <w:tc>
          <w:tcPr>
            <w:tcW w:w="534" w:type="pct"/>
            <w:vAlign w:val="center"/>
          </w:tcPr>
          <w:p w14:paraId="22BC6EC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~10</w:t>
            </w:r>
          </w:p>
        </w:tc>
        <w:tc>
          <w:tcPr>
            <w:tcW w:w="598" w:type="pct"/>
            <w:vAlign w:val="center"/>
          </w:tcPr>
          <w:p w14:paraId="7564A85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54FC76D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.06~0.13</w:t>
            </w:r>
          </w:p>
        </w:tc>
        <w:tc>
          <w:tcPr>
            <w:tcW w:w="644" w:type="pct"/>
            <w:shd w:val="clear" w:color="auto" w:fill="auto"/>
            <w:vAlign w:val="center"/>
          </w:tcPr>
          <w:p w14:paraId="0CE12CF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.02</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0.06</w:t>
            </w:r>
          </w:p>
        </w:tc>
      </w:tr>
      <w:tr w14:paraId="080B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7" w:type="pct"/>
            <w:vMerge w:val="continue"/>
            <w:shd w:val="clear" w:color="auto" w:fill="auto"/>
            <w:vAlign w:val="center"/>
          </w:tcPr>
          <w:p w14:paraId="08B5C72A">
            <w:pPr>
              <w:spacing w:line="240" w:lineRule="auto"/>
              <w:ind w:firstLine="0" w:firstLineChars="0"/>
              <w:jc w:val="center"/>
              <w:rPr>
                <w:color w:val="000000" w:themeColor="text1"/>
                <w:sz w:val="21"/>
                <w:szCs w:val="21"/>
                <w14:textFill>
                  <w14:solidFill>
                    <w14:schemeClr w14:val="tx1"/>
                  </w14:solidFill>
                </w14:textFill>
              </w:rPr>
            </w:pPr>
          </w:p>
        </w:tc>
        <w:tc>
          <w:tcPr>
            <w:tcW w:w="940" w:type="pct"/>
            <w:shd w:val="clear" w:color="auto" w:fill="auto"/>
            <w:vAlign w:val="center"/>
          </w:tcPr>
          <w:p w14:paraId="1598B28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023</w:t>
            </w:r>
            <w:r>
              <w:rPr>
                <w:rFonts w:hint="eastAsia"/>
                <w:color w:val="000000" w:themeColor="text1"/>
                <w:sz w:val="21"/>
                <w:szCs w:val="21"/>
                <w14:textFill>
                  <w14:solidFill>
                    <w14:schemeClr w14:val="tx1"/>
                  </w14:solidFill>
                </w14:textFill>
              </w:rPr>
              <w:t>年</w:t>
            </w: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12</w:t>
            </w:r>
            <w:r>
              <w:rPr>
                <w:rFonts w:hint="eastAsia"/>
                <w:color w:val="000000" w:themeColor="text1"/>
                <w:sz w:val="21"/>
                <w:szCs w:val="21"/>
                <w14:textFill>
                  <w14:solidFill>
                    <w14:schemeClr w14:val="tx1"/>
                  </w14:solidFill>
                </w14:textFill>
              </w:rPr>
              <w:t>月</w:t>
            </w:r>
          </w:p>
        </w:tc>
        <w:tc>
          <w:tcPr>
            <w:tcW w:w="598" w:type="pct"/>
            <w:shd w:val="clear" w:color="auto" w:fill="auto"/>
            <w:vAlign w:val="center"/>
          </w:tcPr>
          <w:p w14:paraId="7F4B1B66">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.9~8.7</w:t>
            </w:r>
          </w:p>
        </w:tc>
        <w:tc>
          <w:tcPr>
            <w:tcW w:w="576" w:type="pct"/>
            <w:shd w:val="clear" w:color="auto" w:fill="auto"/>
            <w:vAlign w:val="center"/>
          </w:tcPr>
          <w:p w14:paraId="19C17ED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.8~1.0</w:t>
            </w:r>
          </w:p>
        </w:tc>
        <w:tc>
          <w:tcPr>
            <w:tcW w:w="534" w:type="pct"/>
            <w:vAlign w:val="center"/>
          </w:tcPr>
          <w:p w14:paraId="4795321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13</w:t>
            </w:r>
          </w:p>
        </w:tc>
        <w:tc>
          <w:tcPr>
            <w:tcW w:w="598" w:type="pct"/>
            <w:vAlign w:val="center"/>
          </w:tcPr>
          <w:p w14:paraId="5893A40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0.6</w:t>
            </w:r>
          </w:p>
        </w:tc>
        <w:tc>
          <w:tcPr>
            <w:tcW w:w="683" w:type="pct"/>
            <w:vAlign w:val="center"/>
          </w:tcPr>
          <w:p w14:paraId="1787AAC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.08~0.13</w:t>
            </w:r>
          </w:p>
        </w:tc>
        <w:tc>
          <w:tcPr>
            <w:tcW w:w="644" w:type="pct"/>
            <w:shd w:val="clear" w:color="auto" w:fill="auto"/>
            <w:vAlign w:val="center"/>
          </w:tcPr>
          <w:p w14:paraId="7E1F59E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.01~0.06</w:t>
            </w:r>
          </w:p>
        </w:tc>
      </w:tr>
      <w:tr w14:paraId="7B01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367" w:type="pct"/>
            <w:gridSpan w:val="2"/>
            <w:shd w:val="clear" w:color="auto" w:fill="auto"/>
            <w:vAlign w:val="center"/>
          </w:tcPr>
          <w:p w14:paraId="64F52BF1">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《地表水环境质量标准》（GB3838-2002）Ⅱ类</w:t>
            </w:r>
          </w:p>
        </w:tc>
        <w:tc>
          <w:tcPr>
            <w:tcW w:w="598" w:type="pct"/>
            <w:shd w:val="clear" w:color="auto" w:fill="auto"/>
            <w:vAlign w:val="center"/>
          </w:tcPr>
          <w:p w14:paraId="4ED4DBAB">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576" w:type="pct"/>
            <w:shd w:val="clear" w:color="auto" w:fill="auto"/>
            <w:vAlign w:val="center"/>
          </w:tcPr>
          <w:p w14:paraId="0522603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34" w:type="pct"/>
            <w:vAlign w:val="center"/>
          </w:tcPr>
          <w:p w14:paraId="4C64B09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598" w:type="pct"/>
            <w:vAlign w:val="center"/>
          </w:tcPr>
          <w:p w14:paraId="2CD5F99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683" w:type="pct"/>
            <w:vAlign w:val="center"/>
          </w:tcPr>
          <w:p w14:paraId="24A57B3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.5</w:t>
            </w:r>
          </w:p>
        </w:tc>
        <w:tc>
          <w:tcPr>
            <w:tcW w:w="644" w:type="pct"/>
            <w:shd w:val="clear" w:color="auto" w:fill="auto"/>
            <w:vAlign w:val="center"/>
          </w:tcPr>
          <w:p w14:paraId="34718B3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r>
    </w:tbl>
    <w:p w14:paraId="5463CEE1">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由表4.2-1可知，</w:t>
      </w:r>
      <w:r>
        <w:rPr>
          <w:rFonts w:hint="eastAsia"/>
          <w:color w:val="000000" w:themeColor="text1"/>
          <w14:textFill>
            <w14:solidFill>
              <w14:schemeClr w14:val="tx1"/>
            </w14:solidFill>
          </w14:textFill>
        </w:rPr>
        <w:t>郁江长顺乡断面和郁江桥断面</w:t>
      </w:r>
      <w:r>
        <w:rPr>
          <w:color w:val="000000" w:themeColor="text1"/>
          <w14:textFill>
            <w14:solidFill>
              <w14:schemeClr w14:val="tx1"/>
            </w14:solidFill>
          </w14:textFill>
        </w:rPr>
        <w:t>在2022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2023</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间</w:t>
      </w:r>
      <w:r>
        <w:rPr>
          <w:rFonts w:hint="eastAsia"/>
          <w:color w:val="000000" w:themeColor="text1"/>
          <w14:textFill>
            <w14:solidFill>
              <w14:schemeClr w14:val="tx1"/>
            </w14:solidFill>
          </w14:textFill>
        </w:rPr>
        <w:t>水质状况良好，</w:t>
      </w:r>
      <w:r>
        <w:rPr>
          <w:color w:val="000000" w:themeColor="text1"/>
          <w14:textFill>
            <w14:solidFill>
              <w14:schemeClr w14:val="tx1"/>
            </w14:solidFill>
          </w14:textFill>
        </w:rPr>
        <w:t>均能稳定达标，满足《地表水环境质量标准》（GB 3838-2002）</w:t>
      </w:r>
      <w:r>
        <w:rPr>
          <w:rFonts w:hint="eastAsia"/>
          <w:color w:val="000000" w:themeColor="text1"/>
          <w14:textFill>
            <w14:solidFill>
              <w14:schemeClr w14:val="tx1"/>
            </w14:solidFill>
          </w14:textFill>
        </w:rPr>
        <w:t>Ⅱ</w:t>
      </w:r>
      <w:r>
        <w:rPr>
          <w:color w:val="000000" w:themeColor="text1"/>
          <w14:textFill>
            <w14:solidFill>
              <w14:schemeClr w14:val="tx1"/>
            </w14:solidFill>
          </w14:textFill>
        </w:rPr>
        <w:t>类水质标准要求</w:t>
      </w:r>
      <w:r>
        <w:rPr>
          <w:rFonts w:hint="eastAsia"/>
          <w:color w:val="000000" w:themeColor="text1"/>
          <w14:textFill>
            <w14:solidFill>
              <w14:schemeClr w14:val="tx1"/>
            </w14:solidFill>
          </w14:textFill>
        </w:rPr>
        <w:t>。</w:t>
      </w:r>
    </w:p>
    <w:p w14:paraId="606144D6">
      <w:pPr>
        <w:pStyle w:val="61"/>
        <w:spacing w:before="312"/>
      </w:pPr>
      <w:bookmarkStart w:id="20" w:name="_Toc184805678"/>
      <w:r>
        <w:rPr>
          <w:rFonts w:hint="eastAsia"/>
        </w:rPr>
        <w:t>所在水功能区（水域）纳污状况</w:t>
      </w:r>
      <w:bookmarkEnd w:id="20"/>
    </w:p>
    <w:p w14:paraId="3F20C9A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范围内除本项目排污口外，</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有乔梓乡（合心村）污水处理厂、保家镇污水处理厂、保家镇工业园区污水处理厂、彭水职教中心污水处理厂、岩东乡（堰塘村）污水处理厂、彭水一中（芦渡湖）污水处理厂入河排污口，见表</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2B2A7F9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4.3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水功能区排水状况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98"/>
        <w:gridCol w:w="1400"/>
        <w:gridCol w:w="1512"/>
        <w:gridCol w:w="1601"/>
        <w:gridCol w:w="1392"/>
      </w:tblGrid>
      <w:tr w14:paraId="0E7C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3AE199FB">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64AA0DDF">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046FD3D3">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4ED496FA">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7DC1FFA7">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355" w:type="dxa"/>
            <w:vAlign w:val="center"/>
          </w:tcPr>
          <w:p w14:paraId="3394FE36">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执行标准</w:t>
            </w:r>
          </w:p>
        </w:tc>
      </w:tr>
      <w:tr w14:paraId="6350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3DED24DE">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09A1400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1363" w:type="dxa"/>
            <w:vAlign w:val="center"/>
          </w:tcPr>
          <w:p w14:paraId="24104053">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3800</w:t>
            </w:r>
          </w:p>
        </w:tc>
        <w:tc>
          <w:tcPr>
            <w:tcW w:w="1472" w:type="dxa"/>
            <w:vAlign w:val="center"/>
          </w:tcPr>
          <w:p w14:paraId="29510B21">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.628</w:t>
            </w:r>
          </w:p>
        </w:tc>
        <w:tc>
          <w:tcPr>
            <w:tcW w:w="1559" w:type="dxa"/>
            <w:vAlign w:val="center"/>
          </w:tcPr>
          <w:p w14:paraId="172B6B65">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.3504</w:t>
            </w:r>
          </w:p>
        </w:tc>
        <w:tc>
          <w:tcPr>
            <w:tcW w:w="1355" w:type="dxa"/>
            <w:vMerge w:val="restart"/>
            <w:vAlign w:val="center"/>
          </w:tcPr>
          <w:p w14:paraId="4C54D54D">
            <w:pPr>
              <w:pStyle w:val="59"/>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《城镇污水处理厂污染物排放标准》（GB 18918-2002）一级B标准</w:t>
            </w:r>
          </w:p>
        </w:tc>
      </w:tr>
      <w:tr w14:paraId="1AE2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4618351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18520E6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6964179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71C2577E">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5EB09B3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c>
          <w:tcPr>
            <w:tcW w:w="1355" w:type="dxa"/>
            <w:vMerge w:val="continue"/>
            <w:vAlign w:val="center"/>
          </w:tcPr>
          <w:p w14:paraId="30780106">
            <w:pPr>
              <w:pStyle w:val="59"/>
              <w:rPr>
                <w:color w:val="000000" w:themeColor="text1"/>
                <w14:textFill>
                  <w14:solidFill>
                    <w14:schemeClr w14:val="tx1"/>
                  </w14:solidFill>
                </w14:textFill>
              </w:rPr>
            </w:pPr>
          </w:p>
        </w:tc>
      </w:tr>
      <w:tr w14:paraId="3096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706DE5A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54E607B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363" w:type="dxa"/>
            <w:vAlign w:val="center"/>
          </w:tcPr>
          <w:p w14:paraId="56FBDD98">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472" w:type="dxa"/>
            <w:vAlign w:val="center"/>
          </w:tcPr>
          <w:p w14:paraId="2387A05B">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0B221F3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.2336</w:t>
            </w:r>
          </w:p>
        </w:tc>
        <w:tc>
          <w:tcPr>
            <w:tcW w:w="1355" w:type="dxa"/>
            <w:vMerge w:val="continue"/>
            <w:vAlign w:val="center"/>
          </w:tcPr>
          <w:p w14:paraId="5390DA86">
            <w:pPr>
              <w:pStyle w:val="59"/>
              <w:rPr>
                <w:color w:val="000000" w:themeColor="text1"/>
                <w14:textFill>
                  <w14:solidFill>
                    <w14:schemeClr w14:val="tx1"/>
                  </w14:solidFill>
                </w14:textFill>
              </w:rPr>
            </w:pPr>
          </w:p>
        </w:tc>
      </w:tr>
      <w:tr w14:paraId="4C82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4D00924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22136E5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保家工业园区污水处理厂</w:t>
            </w:r>
          </w:p>
        </w:tc>
        <w:tc>
          <w:tcPr>
            <w:tcW w:w="1363" w:type="dxa"/>
            <w:vAlign w:val="center"/>
          </w:tcPr>
          <w:p w14:paraId="6FB72CE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6875B7F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4699EA5B">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8.76</w:t>
            </w:r>
          </w:p>
        </w:tc>
        <w:tc>
          <w:tcPr>
            <w:tcW w:w="1355" w:type="dxa"/>
            <w:vMerge w:val="continue"/>
            <w:vAlign w:val="center"/>
          </w:tcPr>
          <w:p w14:paraId="78D29221">
            <w:pPr>
              <w:pStyle w:val="59"/>
              <w:rPr>
                <w:color w:val="000000" w:themeColor="text1"/>
                <w14:textFill>
                  <w14:solidFill>
                    <w14:schemeClr w14:val="tx1"/>
                  </w14:solidFill>
                </w14:textFill>
              </w:rPr>
            </w:pPr>
          </w:p>
        </w:tc>
      </w:tr>
      <w:tr w14:paraId="0146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5D455B9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277374EB">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1363" w:type="dxa"/>
            <w:vAlign w:val="center"/>
          </w:tcPr>
          <w:p w14:paraId="15EE5D28">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w:t>
            </w:r>
          </w:p>
        </w:tc>
        <w:tc>
          <w:tcPr>
            <w:tcW w:w="1472" w:type="dxa"/>
            <w:vAlign w:val="center"/>
          </w:tcPr>
          <w:p w14:paraId="35C0EE5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368B7F63">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c>
          <w:tcPr>
            <w:tcW w:w="1355" w:type="dxa"/>
            <w:vAlign w:val="center"/>
          </w:tcPr>
          <w:p w14:paraId="4A5B5F1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B50/848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一级标准</w:t>
            </w:r>
          </w:p>
        </w:tc>
      </w:tr>
      <w:tr w14:paraId="720E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E92E77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416D036E">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1363" w:type="dxa"/>
            <w:vAlign w:val="center"/>
          </w:tcPr>
          <w:p w14:paraId="2544A34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12500</w:t>
            </w:r>
          </w:p>
        </w:tc>
        <w:tc>
          <w:tcPr>
            <w:tcW w:w="1472" w:type="dxa"/>
            <w:vAlign w:val="center"/>
          </w:tcPr>
          <w:p w14:paraId="624736C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559" w:type="dxa"/>
            <w:vAlign w:val="center"/>
          </w:tcPr>
          <w:p w14:paraId="3D0C7C3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355" w:type="dxa"/>
            <w:vAlign w:val="center"/>
          </w:tcPr>
          <w:p w14:paraId="610986DB">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《城镇污水处理厂污染物排放标准》（GB 18918-2002）一级A标准</w:t>
            </w:r>
          </w:p>
        </w:tc>
      </w:tr>
      <w:tr w14:paraId="6351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5985E50E">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1BAE5D0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737500</w:t>
            </w:r>
          </w:p>
        </w:tc>
        <w:tc>
          <w:tcPr>
            <w:tcW w:w="1472" w:type="dxa"/>
            <w:vAlign w:val="center"/>
          </w:tcPr>
          <w:p w14:paraId="49A9A48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55.125</w:t>
            </w:r>
          </w:p>
        </w:tc>
        <w:tc>
          <w:tcPr>
            <w:tcW w:w="1559" w:type="dxa"/>
            <w:vAlign w:val="center"/>
          </w:tcPr>
          <w:p w14:paraId="4729331B">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19.929</w:t>
            </w:r>
          </w:p>
        </w:tc>
        <w:tc>
          <w:tcPr>
            <w:tcW w:w="1355" w:type="dxa"/>
            <w:vAlign w:val="center"/>
          </w:tcPr>
          <w:p w14:paraId="17174462">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38AF58B1">
      <w:pPr>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范围内现有排污口污染物排放COD、NH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-N排放量合计分别为155.125t/a、19.929t/a。根据</w:t>
      </w:r>
      <w:r>
        <w:rPr>
          <w:rFonts w:hint="eastAsia"/>
          <w:color w:val="000000" w:themeColor="text1"/>
          <w14:textFill>
            <w14:solidFill>
              <w14:schemeClr w14:val="tx1"/>
            </w14:solidFill>
          </w14:textFill>
        </w:rPr>
        <w:t>《彭水县水功能区纳污能力核定和分阶段限制排污总量控制方案报告》</w:t>
      </w:r>
      <w:r>
        <w:rPr>
          <w:rFonts w:cs="Times New Roman"/>
          <w:color w:val="000000" w:themeColor="text1"/>
          <w14:textFill>
            <w14:solidFill>
              <w14:schemeClr w14:val="tx1"/>
            </w14:solidFill>
          </w14:textFill>
        </w:rPr>
        <w:t>，该水功能区COD、NH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-N限排能力分别为748.174t/a、51.85t/a，现状污染物NH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未</w:t>
      </w:r>
      <w:r>
        <w:rPr>
          <w:rFonts w:cs="Times New Roman"/>
          <w:color w:val="000000" w:themeColor="text1"/>
          <w14:textFill>
            <w14:solidFill>
              <w14:schemeClr w14:val="tx1"/>
            </w14:solidFill>
          </w14:textFill>
        </w:rPr>
        <w:t>超过该水功能区限制排污总量</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br w:type="page"/>
      </w:r>
    </w:p>
    <w:p w14:paraId="596B3D34">
      <w:pPr>
        <w:pStyle w:val="43"/>
        <w:ind w:left="0" w:firstLine="0"/>
        <w:rPr>
          <w:color w:val="000000" w:themeColor="text1"/>
          <w14:textFill>
            <w14:solidFill>
              <w14:schemeClr w14:val="tx1"/>
            </w14:solidFill>
          </w14:textFill>
        </w:rPr>
      </w:pPr>
      <w:bookmarkStart w:id="21" w:name="_Toc184805679"/>
      <w:r>
        <w:rPr>
          <w:rFonts w:hint="eastAsia"/>
          <w:color w:val="000000" w:themeColor="text1"/>
          <w14:textFill>
            <w14:solidFill>
              <w14:schemeClr w14:val="tx1"/>
            </w14:solidFill>
          </w14:textFill>
        </w:rPr>
        <w:t>入河排污口设置</w:t>
      </w:r>
      <w:bookmarkEnd w:id="21"/>
      <w:r>
        <w:rPr>
          <w:rFonts w:hint="eastAsia"/>
          <w:color w:val="000000" w:themeColor="text1"/>
          <w14:textFill>
            <w14:solidFill>
              <w14:schemeClr w14:val="tx1"/>
            </w14:solidFill>
          </w14:textFill>
        </w:rPr>
        <w:t>方案设计</w:t>
      </w:r>
    </w:p>
    <w:p w14:paraId="68053795">
      <w:pPr>
        <w:pStyle w:val="3"/>
        <w:ind w:left="0" w:firstLine="0"/>
        <w:rPr>
          <w:color w:val="000000" w:themeColor="text1"/>
          <w14:textFill>
            <w14:solidFill>
              <w14:schemeClr w14:val="tx1"/>
            </w14:solidFill>
          </w14:textFill>
        </w:rPr>
      </w:pPr>
      <w:bookmarkStart w:id="22" w:name="_Toc184805680"/>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入河排污口设置基本情况</w:t>
      </w:r>
    </w:p>
    <w:p w14:paraId="74E19CE8">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芦塘乡（板栗村）污水处理厂工程</w:t>
      </w:r>
      <w:r>
        <w:rPr>
          <w:rFonts w:hAnsi="宋体"/>
          <w:bCs/>
          <w:color w:val="000000" w:themeColor="text1"/>
          <w14:textFill>
            <w14:solidFill>
              <w14:schemeClr w14:val="tx1"/>
            </w14:solidFill>
          </w14:textFill>
        </w:rPr>
        <w:t>出水水质</w:t>
      </w:r>
      <w:r>
        <w:rPr>
          <w:rFonts w:hint="eastAsia" w:hAnsi="宋体"/>
          <w:bCs/>
          <w:color w:val="000000" w:themeColor="text1"/>
          <w14:textFill>
            <w14:solidFill>
              <w14:schemeClr w14:val="tx1"/>
            </w14:solidFill>
          </w14:textFill>
        </w:rPr>
        <w:t>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城镇污水处理厂污染物排放标准》（GB 18918-2002）一级B标准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1km</w:t>
      </w:r>
      <w:r>
        <w:rPr>
          <w:rFonts w:hint="eastAsia" w:cs="Times New Roman"/>
          <w:snapToGrid/>
          <w:color w:val="000000" w:themeColor="text1"/>
          <w14:textFill>
            <w14:solidFill>
              <w14:schemeClr w14:val="tx1"/>
            </w14:solidFill>
          </w14:textFill>
        </w:rPr>
        <w:t>冲沟流入小河沟，再经</w:t>
      </w:r>
      <w:r>
        <w:rPr>
          <w:rFonts w:cs="Times New Roman"/>
          <w:snapToGrid/>
          <w:color w:val="000000" w:themeColor="text1"/>
          <w14:textFill>
            <w14:solidFill>
              <w14:schemeClr w14:val="tx1"/>
            </w14:solidFill>
          </w14:textFill>
        </w:rPr>
        <w:t>3</w:t>
      </w:r>
      <w:r>
        <w:rPr>
          <w:rFonts w:hint="eastAsia" w:cs="Times New Roman"/>
          <w:snapToGrid/>
          <w:color w:val="000000" w:themeColor="text1"/>
          <w14:textFill>
            <w14:solidFill>
              <w14:schemeClr w14:val="tx1"/>
            </w14:solidFill>
          </w14:textFill>
        </w:rPr>
        <w:t>km小河沟排入郁江</w:t>
      </w:r>
      <w:r>
        <w:t>，本排污口独自使用，不与其他单位共用同一入河排污口</w:t>
      </w:r>
      <w:r>
        <w:rPr>
          <w:rFonts w:hint="eastAsia"/>
        </w:rPr>
        <w:t>。</w:t>
      </w:r>
    </w:p>
    <w:p w14:paraId="5D84FCB2">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南侧冲沟，地理坐标：</w:t>
      </w:r>
      <w:r>
        <w:rPr>
          <w:color w:val="000000" w:themeColor="text1"/>
          <w:spacing w:val="-13"/>
          <w14:textFill>
            <w14:solidFill>
              <w14:schemeClr w14:val="tx1"/>
            </w14:solidFill>
          </w14:textFill>
        </w:rPr>
        <w:t>东经：108.335650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，北纬：29.514853</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w:t>
      </w:r>
    </w:p>
    <w:p w14:paraId="34D5AA1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14:paraId="2DD6036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7A94126E">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15F30A3B">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t>，无其他污染源共用入河排放口</w:t>
      </w:r>
      <w:r>
        <w:rPr>
          <w:rFonts w:hint="eastAsia" w:cs="Times New Roman"/>
          <w:color w:val="000000" w:themeColor="text1"/>
          <w14:textFill>
            <w14:solidFill>
              <w14:schemeClr w14:val="tx1"/>
            </w14:solidFill>
          </w14:textFill>
        </w:rPr>
        <w:t>。</w:t>
      </w:r>
    </w:p>
    <w:p w14:paraId="5D77C0EB">
      <w:pPr>
        <w:ind w:firstLine="48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w:t>
      </w:r>
      <w:r>
        <w:t>入河排污口排放规模：90m</w:t>
      </w:r>
      <w:r>
        <w:rPr>
          <w:vertAlign w:val="superscript"/>
        </w:rPr>
        <w:t>3</w:t>
      </w:r>
      <w:r>
        <w:t>/d</w:t>
      </w:r>
      <w:r>
        <w:rPr>
          <w:rFonts w:hint="eastAsia"/>
        </w:rPr>
        <w:t>。</w:t>
      </w:r>
    </w:p>
    <w:p w14:paraId="241EE7D2">
      <w:pPr>
        <w:ind w:firstLine="480"/>
      </w:pPr>
      <w:r>
        <w:t>（7）入河排污口断面形式及尺寸：</w:t>
      </w:r>
      <w:r>
        <w:rPr>
          <w:rFonts w:hint="eastAsia"/>
        </w:rPr>
        <w:t>污水处理厂</w:t>
      </w:r>
      <w:r>
        <w:rPr>
          <w:rFonts w:hint="eastAsia"/>
          <w:color w:val="000000" w:themeColor="text1"/>
          <w14:textFill>
            <w14:solidFill>
              <w14:schemeClr w14:val="tx1"/>
            </w14:solidFill>
          </w14:textFill>
        </w:rPr>
        <w:t>南侧冲沟，</w:t>
      </w:r>
      <w:r>
        <w:t>管网为DN200mm圆形（PE）暗管</w:t>
      </w:r>
      <w:r>
        <w:rPr>
          <w:rFonts w:hint="eastAsia"/>
        </w:rPr>
        <w:t>。</w:t>
      </w:r>
    </w:p>
    <w:p w14:paraId="6CC3DC3E">
      <w:pPr>
        <w:ind w:firstLine="480"/>
      </w:pPr>
      <w:r>
        <w:rPr>
          <w:rFonts w:hint="eastAsia"/>
        </w:rPr>
        <w:t>（8）</w:t>
      </w:r>
      <w:r>
        <w:t>入河排污口建成时间：与污水处理厂同步建成，建成时间为2019年</w:t>
      </w:r>
      <w:r>
        <w:rPr>
          <w:rFonts w:hint="eastAsia"/>
        </w:rPr>
        <w:t>。</w:t>
      </w:r>
    </w:p>
    <w:p w14:paraId="1DB748AD">
      <w:pPr>
        <w:ind w:firstLine="48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w:t>
      </w:r>
      <w:r>
        <w:t>主要污染物排放量：COD 1.971t/a、氨氮0.2628t/a</w:t>
      </w:r>
      <w:r>
        <w:rPr>
          <w:rFonts w:hint="eastAsia"/>
        </w:rPr>
        <w:t>。</w:t>
      </w:r>
    </w:p>
    <w:p w14:paraId="02AB95C9">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2371090</wp:posOffset>
                </wp:positionH>
                <wp:positionV relativeFrom="paragraph">
                  <wp:posOffset>228600</wp:posOffset>
                </wp:positionV>
                <wp:extent cx="1062990" cy="2321560"/>
                <wp:effectExtent l="38100" t="38100" r="3810" b="40640"/>
                <wp:wrapNone/>
                <wp:docPr id="13" name="组合 13"/>
                <wp:cNvGraphicFramePr/>
                <a:graphic xmlns:a="http://schemas.openxmlformats.org/drawingml/2006/main">
                  <a:graphicData uri="http://schemas.microsoft.com/office/word/2010/wordprocessingGroup">
                    <wpg:wgp>
                      <wpg:cNvGrpSpPr/>
                      <wpg:grpSpPr>
                        <a:xfrm>
                          <a:off x="0" y="0"/>
                          <a:ext cx="1062990" cy="2321560"/>
                          <a:chOff x="844422" y="1332901"/>
                          <a:chExt cx="1062990" cy="2321560"/>
                        </a:xfrm>
                      </wpg:grpSpPr>
                      <wps:wsp>
                        <wps:cNvPr id="14" name="直接箭头连接符 14"/>
                        <wps:cNvCnPr/>
                        <wps:spPr>
                          <a:xfrm flipH="1">
                            <a:off x="844422" y="3392289"/>
                            <a:ext cx="302153" cy="2621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文本框 2"/>
                        <wps:cNvSpPr txBox="1">
                          <a:spLocks noChangeArrowheads="1"/>
                        </wps:cNvSpPr>
                        <wps:spPr bwMode="auto">
                          <a:xfrm>
                            <a:off x="1035253" y="2954967"/>
                            <a:ext cx="872159" cy="418835"/>
                          </a:xfrm>
                          <a:prstGeom prst="rect">
                            <a:avLst/>
                          </a:prstGeom>
                          <a:solidFill>
                            <a:schemeClr val="bg1"/>
                          </a:solidFill>
                          <a:ln w="9525">
                            <a:noFill/>
                            <a:miter lim="800000"/>
                          </a:ln>
                        </wps:spPr>
                        <wps:txbx>
                          <w:txbxContent>
                            <w:p w14:paraId="71772440">
                              <w:pPr>
                                <w:spacing w:line="240" w:lineRule="auto"/>
                                <w:ind w:firstLine="0" w:firstLineChars="0"/>
                                <w:jc w:val="center"/>
                                <w:rPr>
                                  <w:bCs/>
                                  <w:color w:val="FF0000"/>
                                  <w:sz w:val="21"/>
                                  <w:szCs w:val="21"/>
                                </w:rPr>
                              </w:pPr>
                              <w:r>
                                <w:rPr>
                                  <w:rFonts w:hint="eastAsia"/>
                                  <w:bCs/>
                                  <w:color w:val="FF0000"/>
                                  <w:sz w:val="21"/>
                                  <w:szCs w:val="21"/>
                                </w:rPr>
                                <w:t>污水处理厂</w:t>
                              </w:r>
                            </w:p>
                            <w:p w14:paraId="5B9F3B52">
                              <w:pPr>
                                <w:spacing w:line="240" w:lineRule="auto"/>
                                <w:ind w:firstLine="0" w:firstLineChars="0"/>
                                <w:rPr>
                                  <w:bCs/>
                                  <w:color w:val="FF0000"/>
                                  <w:sz w:val="21"/>
                                  <w:szCs w:val="21"/>
                                </w:rPr>
                              </w:pPr>
                              <w:r>
                                <w:rPr>
                                  <w:rFonts w:hint="eastAsia"/>
                                  <w:bCs/>
                                  <w:color w:val="FF0000"/>
                                  <w:sz w:val="21"/>
                                  <w:szCs w:val="21"/>
                                </w:rPr>
                                <w:t>南侧冲沟</w:t>
                              </w:r>
                            </w:p>
                          </w:txbxContent>
                        </wps:txbx>
                        <wps:bodyPr rot="0" vert="horz" wrap="square" lIns="91440" tIns="45720" rIns="91440" bIns="45720" anchor="t" anchorCtr="0">
                          <a:noAutofit/>
                        </wps:bodyPr>
                      </wps:wsp>
                      <wps:wsp>
                        <wps:cNvPr id="16" name="直接箭头连接符 16"/>
                        <wps:cNvCnPr/>
                        <wps:spPr>
                          <a:xfrm flipH="1" flipV="1">
                            <a:off x="1350293" y="1332901"/>
                            <a:ext cx="26709" cy="72468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文本框 2"/>
                        <wps:cNvSpPr txBox="1">
                          <a:spLocks noChangeArrowheads="1"/>
                        </wps:cNvSpPr>
                        <wps:spPr bwMode="auto">
                          <a:xfrm>
                            <a:off x="1050998" y="1937046"/>
                            <a:ext cx="836295" cy="318770"/>
                          </a:xfrm>
                          <a:prstGeom prst="rect">
                            <a:avLst/>
                          </a:prstGeom>
                          <a:solidFill>
                            <a:schemeClr val="bg1"/>
                          </a:solidFill>
                          <a:ln w="9525">
                            <a:noFill/>
                            <a:miter lim="800000"/>
                          </a:ln>
                        </wps:spPr>
                        <wps:txbx>
                          <w:txbxContent>
                            <w:p w14:paraId="4BE1FCBF">
                              <w:pPr>
                                <w:ind w:firstLine="0" w:firstLineChars="0"/>
                                <w:rPr>
                                  <w:bCs/>
                                  <w:color w:val="70AD47" w:themeColor="accent6"/>
                                  <w14:textFill>
                                    <w14:solidFill>
                                      <w14:schemeClr w14:val="accent6"/>
                                    </w14:solidFill>
                                  </w14:textFill>
                                </w:rPr>
                              </w:pPr>
                              <w:r>
                                <w:rPr>
                                  <w:rFonts w:hint="eastAsia"/>
                                  <w:bCs/>
                                  <w:color w:val="70AD47" w:themeColor="accent6"/>
                                  <w14:textFill>
                                    <w14:solidFill>
                                      <w14:schemeClr w14:val="accent6"/>
                                    </w14:solidFill>
                                  </w14:textFill>
                                </w:rPr>
                                <w:t>排污管道</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86.7pt;margin-top:18pt;height:182.8pt;width:83.7pt;z-index:251666432;mso-width-relative:page;mso-height-relative:page;" coordorigin="844422,1332901" coordsize="1062990,2321560" o:gfxdata="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AiiSvr2QAAAAoBAAAPAAAAAAAAAAEAIAAAACIAAABkcnMvZG93bnJldi54&#10;bWxQSwECFAAUAAAACACHTuJA+qBrJPoDAABkDAAADgAAAAAAAAABACAAAAAoAQAAZHJzL2Uyb0Rv&#10;Yy54bWxQSwUGAAAAAAYABgBZAQAAlAcAAAAA&#10;">
                <o:lock v:ext="edit" aspectratio="f"/>
                <v:shape id="_x0000_s1026" o:spid="_x0000_s1026" o:spt="32" type="#_x0000_t32" style="position:absolute;left:844422;top:3392289;flip:x;height:262172;width:302153;" filled="f" stroked="t" coordsize="21600,21600" o:gfxdata="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UZfvQAA&#10;ANsAAAAPAAAAAAAAAAEAIAAAACIAAABkcnMvZG93bnJldi54bWxQSwECFAAUAAAACACHTuJAMy8F&#10;njsAAAA5AAAAEAAAAAAAAAABACAAAAAMAQAAZHJzL3NoYXBleG1sLnhtbFBLBQYAAAAABgAGAFsB&#10;AAC2AwAAAAA=&#10;">
                  <v:fill on="f" focussize="0,0"/>
                  <v:stroke weight="2.25pt" color="#FF0000 [3204]" miterlimit="8" joinstyle="miter" endarrow="block"/>
                  <v:imagedata o:title=""/>
                  <o:lock v:ext="edit" aspectratio="f"/>
                </v:shape>
                <v:shape id="文本框 2" o:spid="_x0000_s1026" o:spt="202" type="#_x0000_t202" style="position:absolute;left:1035253;top:2954967;height:418835;width:872159;" fillcolor="#FFFFFF [3212]" filled="t" stroked="f" coordsize="21600,21600" o:gfxdata="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lC+q2AAAA2wAAAA8A&#10;AAAAAAAAAQAgAAAAIgAAAGRycy9kb3ducmV2LnhtbFBLAQIUABQAAAAIAIdO4kAzLwWeOwAAADkA&#10;AAAQAAAAAAAAAAEAIAAAAAUBAABkcnMvc2hhcGV4bWwueG1sUEsFBgAAAAAGAAYAWwEAAK8DAAAA&#10;AA==&#10;">
                  <v:fill on="t" focussize="0,0"/>
                  <v:stroke on="f" miterlimit="8" joinstyle="miter"/>
                  <v:imagedata o:title=""/>
                  <o:lock v:ext="edit" aspectratio="f"/>
                  <v:textbox>
                    <w:txbxContent>
                      <w:p w14:paraId="71772440">
                        <w:pPr>
                          <w:spacing w:line="240" w:lineRule="auto"/>
                          <w:ind w:firstLine="0" w:firstLineChars="0"/>
                          <w:jc w:val="center"/>
                          <w:rPr>
                            <w:bCs/>
                            <w:color w:val="FF0000"/>
                            <w:sz w:val="21"/>
                            <w:szCs w:val="21"/>
                          </w:rPr>
                        </w:pPr>
                        <w:r>
                          <w:rPr>
                            <w:rFonts w:hint="eastAsia"/>
                            <w:bCs/>
                            <w:color w:val="FF0000"/>
                            <w:sz w:val="21"/>
                            <w:szCs w:val="21"/>
                          </w:rPr>
                          <w:t>污水处理厂</w:t>
                        </w:r>
                      </w:p>
                      <w:p w14:paraId="5B9F3B52">
                        <w:pPr>
                          <w:spacing w:line="240" w:lineRule="auto"/>
                          <w:ind w:firstLine="0" w:firstLineChars="0"/>
                          <w:rPr>
                            <w:bCs/>
                            <w:color w:val="FF0000"/>
                            <w:sz w:val="21"/>
                            <w:szCs w:val="21"/>
                          </w:rPr>
                        </w:pPr>
                        <w:r>
                          <w:rPr>
                            <w:rFonts w:hint="eastAsia"/>
                            <w:bCs/>
                            <w:color w:val="FF0000"/>
                            <w:sz w:val="21"/>
                            <w:szCs w:val="21"/>
                          </w:rPr>
                          <w:t>南侧冲沟</w:t>
                        </w:r>
                      </w:p>
                    </w:txbxContent>
                  </v:textbox>
                </v:shape>
                <v:shape id="_x0000_s1026" o:spid="_x0000_s1026" o:spt="32" type="#_x0000_t32" style="position:absolute;left:1350293;top:1332901;flip:x y;height:724680;width:26709;" filled="f" stroked="t" coordsize="21600,21600" o:gfxdata="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58B7sAAADb&#10;AAAADwAAAAAAAAABACAAAAAiAAAAZHJzL2Rvd25yZXYueG1sUEsBAhQAFAAAAAgAh07iQDMvBZ47&#10;AAAAOQAAABAAAAAAAAAAAQAgAAAACgEAAGRycy9zaGFwZXhtbC54bWxQSwUGAAAAAAYABgBbAQAA&#10;tAMAAAAA&#10;">
                  <v:fill on="f" focussize="0,0"/>
                  <v:stroke weight="2.25pt" color="#92D050 [3204]" miterlimit="8" joinstyle="miter" endarrow="block"/>
                  <v:imagedata o:title=""/>
                  <o:lock v:ext="edit" aspectratio="f"/>
                </v:shape>
                <v:shape id="文本框 2" o:spid="_x0000_s1026" o:spt="202" type="#_x0000_t202" style="position:absolute;left:1050998;top:1937046;height:318770;width:836295;" fillcolor="#FFFFFF [3212]" filled="t" stroked="f" coordsize="21600,21600" o:gfxdata="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27MAa2AAAA2wAAAA8A&#10;AAAAAAAAAQAgAAAAIgAAAGRycy9kb3ducmV2LnhtbFBLAQIUABQAAAAIAIdO4kAzLwWeOwAAADkA&#10;AAAQAAAAAAAAAAEAIAAAAAUBAABkcnMvc2hhcGV4bWwueG1sUEsFBgAAAAAGAAYAWwEAAK8DAAAA&#10;AA==&#10;">
                  <v:fill on="t" focussize="0,0"/>
                  <v:stroke on="f" miterlimit="8" joinstyle="miter"/>
                  <v:imagedata o:title=""/>
                  <o:lock v:ext="edit" aspectratio="f"/>
                  <v:textbox>
                    <w:txbxContent>
                      <w:p w14:paraId="4BE1FCBF">
                        <w:pPr>
                          <w:ind w:firstLine="0" w:firstLineChars="0"/>
                          <w:rPr>
                            <w:bCs/>
                            <w:color w:val="70AD47" w:themeColor="accent6"/>
                            <w14:textFill>
                              <w14:solidFill>
                                <w14:schemeClr w14:val="accent6"/>
                              </w14:solidFill>
                            </w14:textFill>
                          </w:rPr>
                        </w:pPr>
                        <w:r>
                          <w:rPr>
                            <w:rFonts w:hint="eastAsia"/>
                            <w:bCs/>
                            <w:color w:val="70AD47" w:themeColor="accent6"/>
                            <w14:textFill>
                              <w14:solidFill>
                                <w14:schemeClr w14:val="accent6"/>
                              </w14:solidFill>
                            </w14:textFill>
                          </w:rPr>
                          <w:t>排污管道</w:t>
                        </w:r>
                      </w:p>
                    </w:txbxContent>
                  </v:textbox>
                </v:shape>
              </v:group>
            </w:pict>
          </mc:Fallback>
        </mc:AlternateContent>
      </w:r>
      <w:r>
        <w:rPr>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1693545" cy="269494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1706071" cy="2715295"/>
                    </a:xfrm>
                    <a:prstGeom prst="rect">
                      <a:avLst/>
                    </a:prstGeom>
                  </pic:spPr>
                </pic:pic>
              </a:graphicData>
            </a:graphic>
          </wp:inline>
        </w:drawing>
      </w:r>
    </w:p>
    <w:p w14:paraId="60E3C9BF">
      <w:pPr>
        <w:pStyle w:val="61"/>
        <w:spacing w:line="240" w:lineRule="auto"/>
        <w:jc w:val="center"/>
        <w:outlineLvl w:val="9"/>
      </w:pPr>
      <w:r>
        <w:rPr>
          <w:rFonts w:hint="eastAsia"/>
          <w:color w:val="000000" w:themeColor="text1"/>
          <w:sz w:val="21"/>
          <w:szCs w:val="21"/>
          <w14:textFill>
            <w14:solidFill>
              <w14:schemeClr w14:val="tx1"/>
            </w14:solidFill>
          </w14:textFill>
        </w:rPr>
        <w:t>图</w:t>
      </w:r>
      <w:r>
        <w:rPr>
          <w:color w:val="000000" w:themeColor="text1"/>
          <w:sz w:val="21"/>
          <w:szCs w:val="21"/>
          <w14:textFill>
            <w14:solidFill>
              <w14:schemeClr w14:val="tx1"/>
            </w14:solidFill>
          </w14:textFill>
        </w:rPr>
        <w:t>5.4</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  入河排污口方</w:t>
      </w:r>
      <w:r>
        <w:rPr>
          <w:rFonts w:hint="eastAsia"/>
          <w:color w:val="000000" w:themeColor="text1"/>
          <w:sz w:val="21"/>
          <w:szCs w:val="21"/>
          <w14:textFill>
            <w14:solidFill>
              <w14:schemeClr w14:val="tx1"/>
            </w14:solidFill>
          </w14:textFill>
        </w:rPr>
        <w:t>位</w:t>
      </w:r>
    </w:p>
    <w:p w14:paraId="05421ED5">
      <w:pPr>
        <w:pStyle w:val="61"/>
        <w:spacing w:before="312"/>
      </w:pPr>
      <w:r>
        <w:rPr>
          <w:rFonts w:hint="eastAsia"/>
        </w:rPr>
        <w:t>5</w:t>
      </w:r>
      <w:r>
        <w:t xml:space="preserve">.2 </w:t>
      </w:r>
      <w:r>
        <w:rPr>
          <w:rFonts w:hint="eastAsia"/>
        </w:rPr>
        <w:t>入河排污口排污情况</w:t>
      </w:r>
    </w:p>
    <w:p w14:paraId="409C57F0">
      <w:pPr>
        <w:pStyle w:val="45"/>
      </w:pPr>
      <w:r>
        <w:rPr>
          <w:rFonts w:hint="eastAsia"/>
        </w:rPr>
        <w:t>5</w:t>
      </w:r>
      <w:r>
        <w:t>.2.1</w:t>
      </w:r>
      <w:r>
        <w:rPr>
          <w:rFonts w:hint="eastAsia"/>
        </w:rPr>
        <w:t>污水来源及构成</w:t>
      </w:r>
      <w:bookmarkEnd w:id="22"/>
    </w:p>
    <w:p w14:paraId="02A69E5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芦塘乡（板栗村）污水处理厂服务范围为芦塘乡中心场镇片区，进水主要为生活污水，</w:t>
      </w:r>
      <w:r>
        <w:rPr>
          <w:color w:val="000000" w:themeColor="text1"/>
          <w14:textFill>
            <w14:solidFill>
              <w14:schemeClr w14:val="tx1"/>
            </w14:solidFill>
          </w14:textFill>
        </w:rPr>
        <w:t>进水水质相对稳定</w:t>
      </w:r>
      <w:r>
        <w:rPr>
          <w:rFonts w:hint="eastAsia"/>
          <w:color w:val="000000" w:themeColor="text1"/>
          <w14:textFill>
            <w14:solidFill>
              <w14:schemeClr w14:val="tx1"/>
            </w14:solidFill>
          </w14:textFill>
        </w:rPr>
        <w:t>。</w:t>
      </w:r>
    </w:p>
    <w:p w14:paraId="55AA83C8">
      <w:pPr>
        <w:ind w:firstLine="480"/>
        <w:rPr>
          <w:color w:val="000000" w:themeColor="text1"/>
          <w14:textFill>
            <w14:solidFill>
              <w14:schemeClr w14:val="tx1"/>
            </w14:solidFill>
          </w14:textFill>
        </w:rPr>
      </w:pPr>
      <w:r>
        <w:rPr>
          <w:color w:val="000000" w:themeColor="text1"/>
          <w14:textFill>
            <w14:solidFill>
              <w14:schemeClr w14:val="tx1"/>
            </w14:solidFill>
          </w14:textFill>
        </w:rPr>
        <w:t>根据建设环评，本项目服务范围内特征污染因子主要为COD、BOD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、TN、NH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-N、SS、TP等。</w:t>
      </w:r>
    </w:p>
    <w:p w14:paraId="3BF62931">
      <w:pPr>
        <w:pStyle w:val="45"/>
      </w:pPr>
      <w:bookmarkStart w:id="23" w:name="_Toc184805681"/>
      <w:r>
        <w:t xml:space="preserve">5.2.2 </w:t>
      </w:r>
      <w:r>
        <w:rPr>
          <w:rFonts w:hint="eastAsia"/>
        </w:rPr>
        <w:t>污水所含主要污染物种类及其排放浓度、总量</w:t>
      </w:r>
      <w:bookmarkEnd w:id="23"/>
    </w:p>
    <w:p w14:paraId="36B886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水质执行</w:t>
      </w:r>
      <w:r>
        <w:rPr>
          <w:color w:val="000000" w:themeColor="text1"/>
          <w14:textFill>
            <w14:solidFill>
              <w14:schemeClr w14:val="tx1"/>
            </w14:solidFill>
          </w14:textFill>
        </w:rPr>
        <w:t>《城镇污水处理厂污染物排放标准》（GB 18918-2002）一级B标准。</w:t>
      </w:r>
    </w:p>
    <w:p w14:paraId="0820F160">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排放污染物种类及浓度、总量（按一级B标核算总量）</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53"/>
        <w:gridCol w:w="2857"/>
      </w:tblGrid>
      <w:tr w14:paraId="1CD7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23967E12">
            <w:pPr>
              <w:spacing w:line="240" w:lineRule="auto"/>
              <w:ind w:firstLine="422"/>
              <w:jc w:val="center"/>
              <w:rPr>
                <w:b/>
                <w:bCs/>
                <w:sz w:val="21"/>
                <w:szCs w:val="21"/>
              </w:rPr>
            </w:pPr>
            <w:r>
              <w:rPr>
                <w:b/>
                <w:bCs/>
                <w:sz w:val="21"/>
                <w:szCs w:val="21"/>
                <w:lang w:bidi="ar"/>
              </w:rPr>
              <w:t>基本控制项目</w:t>
            </w:r>
          </w:p>
        </w:tc>
        <w:tc>
          <w:tcPr>
            <w:tcW w:w="1674" w:type="pct"/>
            <w:shd w:val="clear" w:color="auto" w:fill="auto"/>
            <w:vAlign w:val="center"/>
          </w:tcPr>
          <w:p w14:paraId="03ACD154">
            <w:pPr>
              <w:spacing w:line="240" w:lineRule="auto"/>
              <w:ind w:firstLine="422"/>
              <w:jc w:val="center"/>
              <w:rPr>
                <w:b/>
                <w:sz w:val="21"/>
                <w:szCs w:val="21"/>
              </w:rPr>
            </w:pPr>
            <w:r>
              <w:rPr>
                <w:b/>
                <w:sz w:val="21"/>
                <w:szCs w:val="21"/>
                <w:lang w:bidi="ar"/>
              </w:rPr>
              <w:t>单位</w:t>
            </w:r>
          </w:p>
        </w:tc>
        <w:tc>
          <w:tcPr>
            <w:tcW w:w="1676" w:type="pct"/>
            <w:shd w:val="clear" w:color="auto" w:fill="auto"/>
            <w:vAlign w:val="center"/>
          </w:tcPr>
          <w:p w14:paraId="396F6924">
            <w:pPr>
              <w:spacing w:line="240" w:lineRule="auto"/>
              <w:ind w:firstLine="422"/>
              <w:jc w:val="center"/>
              <w:rPr>
                <w:b/>
                <w:bCs/>
                <w:sz w:val="21"/>
                <w:szCs w:val="21"/>
              </w:rPr>
            </w:pPr>
            <w:r>
              <w:rPr>
                <w:b/>
                <w:sz w:val="21"/>
                <w:szCs w:val="21"/>
                <w:lang w:bidi="ar"/>
              </w:rPr>
              <w:t>一级A标准</w:t>
            </w:r>
          </w:p>
        </w:tc>
      </w:tr>
      <w:tr w14:paraId="6594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4F332BDC">
            <w:pPr>
              <w:spacing w:line="240" w:lineRule="auto"/>
              <w:ind w:firstLine="420"/>
              <w:jc w:val="center"/>
              <w:rPr>
                <w:bCs/>
                <w:sz w:val="21"/>
                <w:szCs w:val="21"/>
              </w:rPr>
            </w:pPr>
            <w:r>
              <w:rPr>
                <w:sz w:val="21"/>
                <w:szCs w:val="21"/>
                <w:lang w:bidi="ar"/>
              </w:rPr>
              <w:t>pH</w:t>
            </w:r>
          </w:p>
        </w:tc>
        <w:tc>
          <w:tcPr>
            <w:tcW w:w="1674" w:type="pct"/>
            <w:shd w:val="clear" w:color="auto" w:fill="auto"/>
            <w:vAlign w:val="center"/>
          </w:tcPr>
          <w:p w14:paraId="4A113782">
            <w:pPr>
              <w:spacing w:line="240" w:lineRule="auto"/>
              <w:ind w:firstLine="420"/>
              <w:jc w:val="center"/>
              <w:rPr>
                <w:sz w:val="21"/>
                <w:szCs w:val="21"/>
              </w:rPr>
            </w:pPr>
            <w:r>
              <w:rPr>
                <w:sz w:val="21"/>
                <w:szCs w:val="21"/>
                <w:lang w:bidi="ar"/>
              </w:rPr>
              <w:t>无量纲</w:t>
            </w:r>
          </w:p>
        </w:tc>
        <w:tc>
          <w:tcPr>
            <w:tcW w:w="1676" w:type="pct"/>
            <w:shd w:val="clear" w:color="auto" w:fill="auto"/>
            <w:vAlign w:val="center"/>
          </w:tcPr>
          <w:p w14:paraId="2F692C58">
            <w:pPr>
              <w:spacing w:line="240" w:lineRule="auto"/>
              <w:ind w:firstLine="420"/>
              <w:jc w:val="center"/>
              <w:rPr>
                <w:sz w:val="21"/>
                <w:szCs w:val="21"/>
              </w:rPr>
            </w:pPr>
            <w:r>
              <w:rPr>
                <w:sz w:val="21"/>
                <w:szCs w:val="21"/>
                <w:lang w:bidi="ar"/>
              </w:rPr>
              <w:t>6~9</w:t>
            </w:r>
          </w:p>
        </w:tc>
      </w:tr>
      <w:tr w14:paraId="2FC7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6187659E">
            <w:pPr>
              <w:spacing w:line="240" w:lineRule="auto"/>
              <w:ind w:firstLine="420"/>
              <w:jc w:val="center"/>
              <w:rPr>
                <w:bCs/>
                <w:sz w:val="21"/>
                <w:szCs w:val="21"/>
              </w:rPr>
            </w:pPr>
            <w:r>
              <w:rPr>
                <w:bCs/>
                <w:sz w:val="21"/>
                <w:szCs w:val="21"/>
                <w:lang w:bidi="ar"/>
              </w:rPr>
              <w:t>COD</w:t>
            </w:r>
          </w:p>
        </w:tc>
        <w:tc>
          <w:tcPr>
            <w:tcW w:w="1674" w:type="pct"/>
            <w:shd w:val="clear" w:color="auto" w:fill="auto"/>
            <w:vAlign w:val="center"/>
          </w:tcPr>
          <w:p w14:paraId="2E4D3159">
            <w:pPr>
              <w:spacing w:line="240" w:lineRule="auto"/>
              <w:ind w:firstLine="420"/>
              <w:jc w:val="center"/>
              <w:rPr>
                <w:bCs/>
                <w:sz w:val="21"/>
                <w:szCs w:val="21"/>
              </w:rPr>
            </w:pPr>
            <w:r>
              <w:rPr>
                <w:sz w:val="21"/>
                <w:szCs w:val="21"/>
                <w:lang w:bidi="ar"/>
              </w:rPr>
              <w:t>mg/L</w:t>
            </w:r>
          </w:p>
        </w:tc>
        <w:tc>
          <w:tcPr>
            <w:tcW w:w="1676" w:type="pct"/>
            <w:shd w:val="clear" w:color="auto" w:fill="auto"/>
            <w:vAlign w:val="center"/>
          </w:tcPr>
          <w:p w14:paraId="1739461A">
            <w:pPr>
              <w:spacing w:line="240" w:lineRule="auto"/>
              <w:ind w:firstLine="420"/>
              <w:jc w:val="center"/>
              <w:rPr>
                <w:sz w:val="21"/>
                <w:szCs w:val="21"/>
              </w:rPr>
            </w:pPr>
            <w:r>
              <w:rPr>
                <w:sz w:val="21"/>
                <w:szCs w:val="21"/>
                <w:lang w:bidi="ar"/>
              </w:rPr>
              <w:t>50</w:t>
            </w:r>
          </w:p>
        </w:tc>
      </w:tr>
      <w:tr w14:paraId="46D8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0303E9E9">
            <w:pPr>
              <w:spacing w:line="240" w:lineRule="auto"/>
              <w:ind w:firstLine="420"/>
              <w:jc w:val="center"/>
              <w:rPr>
                <w:bCs/>
                <w:sz w:val="21"/>
                <w:szCs w:val="21"/>
              </w:rPr>
            </w:pPr>
            <w:r>
              <w:rPr>
                <w:bCs/>
                <w:sz w:val="21"/>
                <w:szCs w:val="21"/>
                <w:lang w:bidi="ar"/>
              </w:rPr>
              <w:t>BOD</w:t>
            </w:r>
            <w:r>
              <w:rPr>
                <w:bCs/>
                <w:sz w:val="21"/>
                <w:szCs w:val="21"/>
                <w:vertAlign w:val="subscript"/>
                <w:lang w:bidi="ar"/>
              </w:rPr>
              <w:t>5</w:t>
            </w:r>
          </w:p>
        </w:tc>
        <w:tc>
          <w:tcPr>
            <w:tcW w:w="1674" w:type="pct"/>
            <w:shd w:val="clear" w:color="auto" w:fill="auto"/>
            <w:vAlign w:val="center"/>
          </w:tcPr>
          <w:p w14:paraId="5513106F">
            <w:pPr>
              <w:spacing w:line="240" w:lineRule="auto"/>
              <w:ind w:firstLine="420"/>
              <w:jc w:val="center"/>
              <w:rPr>
                <w:bCs/>
                <w:sz w:val="21"/>
                <w:szCs w:val="21"/>
              </w:rPr>
            </w:pPr>
            <w:r>
              <w:rPr>
                <w:sz w:val="21"/>
                <w:szCs w:val="21"/>
                <w:lang w:bidi="ar"/>
              </w:rPr>
              <w:t>mg/L</w:t>
            </w:r>
          </w:p>
        </w:tc>
        <w:tc>
          <w:tcPr>
            <w:tcW w:w="1676" w:type="pct"/>
            <w:shd w:val="clear" w:color="auto" w:fill="auto"/>
            <w:vAlign w:val="center"/>
          </w:tcPr>
          <w:p w14:paraId="072E2A64">
            <w:pPr>
              <w:spacing w:line="240" w:lineRule="auto"/>
              <w:ind w:firstLine="420"/>
              <w:jc w:val="center"/>
              <w:rPr>
                <w:sz w:val="21"/>
                <w:szCs w:val="21"/>
              </w:rPr>
            </w:pPr>
            <w:r>
              <w:rPr>
                <w:sz w:val="21"/>
                <w:szCs w:val="21"/>
                <w:lang w:bidi="ar"/>
              </w:rPr>
              <w:t>10</w:t>
            </w:r>
          </w:p>
        </w:tc>
      </w:tr>
      <w:tr w14:paraId="5767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73080C2F">
            <w:pPr>
              <w:spacing w:line="240" w:lineRule="auto"/>
              <w:ind w:firstLine="420"/>
              <w:jc w:val="center"/>
              <w:rPr>
                <w:bCs/>
                <w:sz w:val="21"/>
                <w:szCs w:val="21"/>
              </w:rPr>
            </w:pPr>
            <w:r>
              <w:rPr>
                <w:bCs/>
                <w:sz w:val="21"/>
                <w:szCs w:val="21"/>
                <w:lang w:bidi="ar"/>
              </w:rPr>
              <w:t>SS</w:t>
            </w:r>
          </w:p>
        </w:tc>
        <w:tc>
          <w:tcPr>
            <w:tcW w:w="1674" w:type="pct"/>
            <w:shd w:val="clear" w:color="auto" w:fill="auto"/>
            <w:vAlign w:val="center"/>
          </w:tcPr>
          <w:p w14:paraId="4B69956B">
            <w:pPr>
              <w:spacing w:line="240" w:lineRule="auto"/>
              <w:ind w:firstLine="420"/>
              <w:jc w:val="center"/>
              <w:rPr>
                <w:bCs/>
                <w:sz w:val="21"/>
                <w:szCs w:val="21"/>
              </w:rPr>
            </w:pPr>
            <w:r>
              <w:rPr>
                <w:sz w:val="21"/>
                <w:szCs w:val="21"/>
                <w:lang w:bidi="ar"/>
              </w:rPr>
              <w:t>mg/L</w:t>
            </w:r>
          </w:p>
        </w:tc>
        <w:tc>
          <w:tcPr>
            <w:tcW w:w="1676" w:type="pct"/>
            <w:shd w:val="clear" w:color="auto" w:fill="auto"/>
            <w:vAlign w:val="center"/>
          </w:tcPr>
          <w:p w14:paraId="0BA4894B">
            <w:pPr>
              <w:spacing w:line="240" w:lineRule="auto"/>
              <w:ind w:firstLine="420"/>
              <w:jc w:val="center"/>
              <w:rPr>
                <w:sz w:val="21"/>
                <w:szCs w:val="21"/>
              </w:rPr>
            </w:pPr>
            <w:r>
              <w:rPr>
                <w:sz w:val="21"/>
                <w:szCs w:val="21"/>
                <w:lang w:bidi="ar"/>
              </w:rPr>
              <w:t>10</w:t>
            </w:r>
          </w:p>
        </w:tc>
      </w:tr>
      <w:tr w14:paraId="5056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7F86E1D5">
            <w:pPr>
              <w:spacing w:line="240" w:lineRule="auto"/>
              <w:ind w:firstLine="420"/>
              <w:jc w:val="center"/>
              <w:rPr>
                <w:bCs/>
                <w:sz w:val="21"/>
                <w:szCs w:val="21"/>
              </w:rPr>
            </w:pPr>
            <w:r>
              <w:rPr>
                <w:sz w:val="21"/>
                <w:szCs w:val="21"/>
                <w:lang w:bidi="ar"/>
              </w:rPr>
              <w:t>动植物油</w:t>
            </w:r>
          </w:p>
        </w:tc>
        <w:tc>
          <w:tcPr>
            <w:tcW w:w="1674" w:type="pct"/>
            <w:shd w:val="clear" w:color="auto" w:fill="auto"/>
            <w:vAlign w:val="center"/>
          </w:tcPr>
          <w:p w14:paraId="14E1B874">
            <w:pPr>
              <w:spacing w:line="240" w:lineRule="auto"/>
              <w:ind w:firstLine="420"/>
              <w:jc w:val="center"/>
              <w:rPr>
                <w:sz w:val="21"/>
                <w:szCs w:val="21"/>
              </w:rPr>
            </w:pPr>
            <w:r>
              <w:rPr>
                <w:sz w:val="21"/>
                <w:szCs w:val="21"/>
                <w:lang w:bidi="ar"/>
              </w:rPr>
              <w:t>mg/L</w:t>
            </w:r>
          </w:p>
        </w:tc>
        <w:tc>
          <w:tcPr>
            <w:tcW w:w="1676" w:type="pct"/>
            <w:shd w:val="clear" w:color="auto" w:fill="auto"/>
            <w:vAlign w:val="center"/>
          </w:tcPr>
          <w:p w14:paraId="0A31BB27">
            <w:pPr>
              <w:spacing w:line="240" w:lineRule="auto"/>
              <w:ind w:firstLine="420"/>
              <w:jc w:val="center"/>
              <w:rPr>
                <w:sz w:val="21"/>
                <w:szCs w:val="21"/>
              </w:rPr>
            </w:pPr>
            <w:r>
              <w:rPr>
                <w:sz w:val="21"/>
                <w:szCs w:val="21"/>
                <w:lang w:bidi="ar"/>
              </w:rPr>
              <w:t>1</w:t>
            </w:r>
          </w:p>
        </w:tc>
      </w:tr>
      <w:tr w14:paraId="1A2F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649E78E4">
            <w:pPr>
              <w:spacing w:line="240" w:lineRule="auto"/>
              <w:ind w:firstLine="420"/>
              <w:jc w:val="center"/>
              <w:rPr>
                <w:sz w:val="21"/>
                <w:szCs w:val="21"/>
              </w:rPr>
            </w:pPr>
            <w:r>
              <w:rPr>
                <w:sz w:val="21"/>
                <w:szCs w:val="21"/>
                <w:lang w:bidi="ar"/>
              </w:rPr>
              <w:t>阴离子表面活性剂</w:t>
            </w:r>
          </w:p>
        </w:tc>
        <w:tc>
          <w:tcPr>
            <w:tcW w:w="1674" w:type="pct"/>
            <w:shd w:val="clear" w:color="auto" w:fill="auto"/>
            <w:vAlign w:val="center"/>
          </w:tcPr>
          <w:p w14:paraId="5424F4F7">
            <w:pPr>
              <w:spacing w:line="240" w:lineRule="auto"/>
              <w:ind w:firstLine="420"/>
              <w:jc w:val="center"/>
              <w:rPr>
                <w:sz w:val="21"/>
                <w:szCs w:val="21"/>
              </w:rPr>
            </w:pPr>
            <w:r>
              <w:rPr>
                <w:sz w:val="21"/>
                <w:szCs w:val="21"/>
                <w:lang w:bidi="ar"/>
              </w:rPr>
              <w:t>mg/L</w:t>
            </w:r>
          </w:p>
        </w:tc>
        <w:tc>
          <w:tcPr>
            <w:tcW w:w="1676" w:type="pct"/>
            <w:shd w:val="clear" w:color="auto" w:fill="auto"/>
            <w:vAlign w:val="center"/>
          </w:tcPr>
          <w:p w14:paraId="7A0EED99">
            <w:pPr>
              <w:spacing w:line="240" w:lineRule="auto"/>
              <w:ind w:firstLine="420"/>
              <w:jc w:val="center"/>
              <w:rPr>
                <w:sz w:val="21"/>
                <w:szCs w:val="21"/>
              </w:rPr>
            </w:pPr>
            <w:r>
              <w:rPr>
                <w:sz w:val="21"/>
                <w:szCs w:val="21"/>
                <w:lang w:bidi="ar"/>
              </w:rPr>
              <w:t>0.5</w:t>
            </w:r>
          </w:p>
        </w:tc>
      </w:tr>
      <w:tr w14:paraId="7942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7BD55617">
            <w:pPr>
              <w:spacing w:line="240" w:lineRule="auto"/>
              <w:ind w:firstLine="420"/>
              <w:jc w:val="center"/>
              <w:rPr>
                <w:bCs/>
                <w:sz w:val="21"/>
                <w:szCs w:val="21"/>
              </w:rPr>
            </w:pPr>
            <w:r>
              <w:rPr>
                <w:bCs/>
                <w:sz w:val="21"/>
                <w:szCs w:val="21"/>
                <w:lang w:bidi="ar"/>
              </w:rPr>
              <w:t>TN</w:t>
            </w:r>
          </w:p>
        </w:tc>
        <w:tc>
          <w:tcPr>
            <w:tcW w:w="1674" w:type="pct"/>
            <w:shd w:val="clear" w:color="auto" w:fill="auto"/>
            <w:vAlign w:val="center"/>
          </w:tcPr>
          <w:p w14:paraId="3C65FB4C">
            <w:pPr>
              <w:spacing w:line="240" w:lineRule="auto"/>
              <w:ind w:firstLine="420"/>
              <w:jc w:val="center"/>
              <w:rPr>
                <w:bCs/>
                <w:sz w:val="21"/>
                <w:szCs w:val="21"/>
              </w:rPr>
            </w:pPr>
            <w:r>
              <w:rPr>
                <w:sz w:val="21"/>
                <w:szCs w:val="21"/>
                <w:lang w:bidi="ar"/>
              </w:rPr>
              <w:t>mg/L</w:t>
            </w:r>
          </w:p>
        </w:tc>
        <w:tc>
          <w:tcPr>
            <w:tcW w:w="1676" w:type="pct"/>
            <w:shd w:val="clear" w:color="auto" w:fill="auto"/>
            <w:vAlign w:val="center"/>
          </w:tcPr>
          <w:p w14:paraId="41EEA236">
            <w:pPr>
              <w:spacing w:line="240" w:lineRule="auto"/>
              <w:ind w:firstLine="420"/>
              <w:jc w:val="center"/>
              <w:rPr>
                <w:sz w:val="21"/>
                <w:szCs w:val="21"/>
              </w:rPr>
            </w:pPr>
            <w:r>
              <w:rPr>
                <w:sz w:val="21"/>
                <w:szCs w:val="21"/>
                <w:lang w:bidi="ar"/>
              </w:rPr>
              <w:t>15</w:t>
            </w:r>
          </w:p>
        </w:tc>
      </w:tr>
      <w:tr w14:paraId="208D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60E5579C">
            <w:pPr>
              <w:spacing w:line="240" w:lineRule="auto"/>
              <w:ind w:firstLine="420"/>
              <w:jc w:val="center"/>
              <w:rPr>
                <w:bCs/>
                <w:sz w:val="21"/>
                <w:szCs w:val="21"/>
              </w:rPr>
            </w:pPr>
            <w:r>
              <w:rPr>
                <w:bCs/>
                <w:sz w:val="21"/>
                <w:szCs w:val="21"/>
                <w:lang w:bidi="ar"/>
              </w:rPr>
              <w:t>NH</w:t>
            </w:r>
            <w:r>
              <w:rPr>
                <w:bCs/>
                <w:sz w:val="21"/>
                <w:szCs w:val="21"/>
                <w:vertAlign w:val="subscript"/>
                <w:lang w:bidi="ar"/>
              </w:rPr>
              <w:t>3</w:t>
            </w:r>
            <w:r>
              <w:rPr>
                <w:bCs/>
                <w:sz w:val="21"/>
                <w:szCs w:val="21"/>
                <w:lang w:bidi="ar"/>
              </w:rPr>
              <w:t>-N</w:t>
            </w:r>
          </w:p>
        </w:tc>
        <w:tc>
          <w:tcPr>
            <w:tcW w:w="1674" w:type="pct"/>
            <w:shd w:val="clear" w:color="auto" w:fill="auto"/>
            <w:vAlign w:val="center"/>
          </w:tcPr>
          <w:p w14:paraId="2BCEAD04">
            <w:pPr>
              <w:spacing w:line="240" w:lineRule="auto"/>
              <w:ind w:firstLine="420"/>
              <w:jc w:val="center"/>
              <w:rPr>
                <w:bCs/>
                <w:sz w:val="21"/>
                <w:szCs w:val="21"/>
              </w:rPr>
            </w:pPr>
            <w:r>
              <w:rPr>
                <w:sz w:val="21"/>
                <w:szCs w:val="21"/>
                <w:lang w:bidi="ar"/>
              </w:rPr>
              <w:t>mg/L</w:t>
            </w:r>
          </w:p>
        </w:tc>
        <w:tc>
          <w:tcPr>
            <w:tcW w:w="1676" w:type="pct"/>
            <w:shd w:val="clear" w:color="auto" w:fill="auto"/>
            <w:vAlign w:val="center"/>
          </w:tcPr>
          <w:p w14:paraId="044F7F05">
            <w:pPr>
              <w:spacing w:line="240" w:lineRule="auto"/>
              <w:ind w:firstLine="420"/>
              <w:jc w:val="center"/>
              <w:rPr>
                <w:bCs/>
                <w:sz w:val="21"/>
                <w:szCs w:val="21"/>
              </w:rPr>
            </w:pPr>
            <w:r>
              <w:rPr>
                <w:sz w:val="21"/>
                <w:szCs w:val="21"/>
                <w:lang w:bidi="ar"/>
              </w:rPr>
              <w:t>5（8）</w:t>
            </w:r>
            <w:r>
              <w:rPr>
                <w:sz w:val="21"/>
                <w:szCs w:val="21"/>
                <w:vertAlign w:val="superscript"/>
                <w:lang w:bidi="ar"/>
              </w:rPr>
              <w:fldChar w:fldCharType="begin"/>
            </w:r>
            <w:r>
              <w:rPr>
                <w:sz w:val="21"/>
                <w:szCs w:val="21"/>
                <w:vertAlign w:val="superscript"/>
                <w:lang w:bidi="ar"/>
              </w:rPr>
              <w:instrText xml:space="preserve"> = 1 \* GB3 </w:instrText>
            </w:r>
            <w:r>
              <w:rPr>
                <w:sz w:val="21"/>
                <w:szCs w:val="21"/>
                <w:vertAlign w:val="superscript"/>
                <w:lang w:bidi="ar"/>
              </w:rPr>
              <w:fldChar w:fldCharType="separate"/>
            </w:r>
            <w:r>
              <w:rPr>
                <w:rFonts w:hint="eastAsia" w:ascii="宋体" w:hAnsi="宋体" w:cs="宋体"/>
                <w:sz w:val="21"/>
                <w:szCs w:val="21"/>
                <w:vertAlign w:val="superscript"/>
                <w:lang w:bidi="ar"/>
              </w:rPr>
              <w:t>①</w:t>
            </w:r>
            <w:r>
              <w:rPr>
                <w:sz w:val="21"/>
                <w:szCs w:val="21"/>
                <w:vertAlign w:val="superscript"/>
                <w:lang w:bidi="ar"/>
              </w:rPr>
              <w:fldChar w:fldCharType="end"/>
            </w:r>
          </w:p>
        </w:tc>
      </w:tr>
      <w:tr w14:paraId="666B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6D8512C0">
            <w:pPr>
              <w:spacing w:line="240" w:lineRule="auto"/>
              <w:ind w:firstLine="420"/>
              <w:jc w:val="center"/>
              <w:rPr>
                <w:bCs/>
                <w:sz w:val="21"/>
                <w:szCs w:val="21"/>
              </w:rPr>
            </w:pPr>
            <w:r>
              <w:rPr>
                <w:bCs/>
                <w:sz w:val="21"/>
                <w:szCs w:val="21"/>
                <w:lang w:bidi="ar"/>
              </w:rPr>
              <w:t>TP</w:t>
            </w:r>
          </w:p>
        </w:tc>
        <w:tc>
          <w:tcPr>
            <w:tcW w:w="1674" w:type="pct"/>
            <w:shd w:val="clear" w:color="auto" w:fill="auto"/>
            <w:vAlign w:val="center"/>
          </w:tcPr>
          <w:p w14:paraId="5AC399C1">
            <w:pPr>
              <w:spacing w:line="240" w:lineRule="auto"/>
              <w:ind w:firstLine="420"/>
              <w:jc w:val="center"/>
              <w:rPr>
                <w:bCs/>
                <w:sz w:val="21"/>
                <w:szCs w:val="21"/>
              </w:rPr>
            </w:pPr>
            <w:r>
              <w:rPr>
                <w:sz w:val="21"/>
                <w:szCs w:val="21"/>
                <w:lang w:bidi="ar"/>
              </w:rPr>
              <w:t>mg/L</w:t>
            </w:r>
          </w:p>
        </w:tc>
        <w:tc>
          <w:tcPr>
            <w:tcW w:w="1676" w:type="pct"/>
            <w:shd w:val="clear" w:color="auto" w:fill="auto"/>
            <w:vAlign w:val="center"/>
          </w:tcPr>
          <w:p w14:paraId="1FDD713A">
            <w:pPr>
              <w:spacing w:line="240" w:lineRule="auto"/>
              <w:ind w:firstLine="420"/>
              <w:jc w:val="center"/>
              <w:rPr>
                <w:sz w:val="21"/>
                <w:szCs w:val="21"/>
              </w:rPr>
            </w:pPr>
            <w:r>
              <w:rPr>
                <w:sz w:val="21"/>
                <w:szCs w:val="21"/>
                <w:lang w:bidi="ar"/>
              </w:rPr>
              <w:t>0.5</w:t>
            </w:r>
          </w:p>
        </w:tc>
      </w:tr>
      <w:tr w14:paraId="4897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1C71230E">
            <w:pPr>
              <w:spacing w:line="240" w:lineRule="auto"/>
              <w:ind w:firstLine="420"/>
              <w:jc w:val="center"/>
              <w:rPr>
                <w:bCs/>
                <w:sz w:val="21"/>
                <w:szCs w:val="21"/>
              </w:rPr>
            </w:pPr>
            <w:r>
              <w:rPr>
                <w:sz w:val="21"/>
                <w:szCs w:val="21"/>
                <w:lang w:bidi="ar"/>
              </w:rPr>
              <w:t>色度</w:t>
            </w:r>
          </w:p>
        </w:tc>
        <w:tc>
          <w:tcPr>
            <w:tcW w:w="1674" w:type="pct"/>
            <w:shd w:val="clear" w:color="auto" w:fill="auto"/>
            <w:vAlign w:val="center"/>
          </w:tcPr>
          <w:p w14:paraId="7BB243FC">
            <w:pPr>
              <w:spacing w:line="240" w:lineRule="auto"/>
              <w:ind w:firstLine="420"/>
              <w:jc w:val="center"/>
              <w:rPr>
                <w:bCs/>
                <w:sz w:val="21"/>
                <w:szCs w:val="21"/>
              </w:rPr>
            </w:pPr>
            <w:r>
              <w:rPr>
                <w:sz w:val="21"/>
                <w:szCs w:val="21"/>
                <w:lang w:bidi="ar"/>
              </w:rPr>
              <w:t>稀释倍数</w:t>
            </w:r>
          </w:p>
        </w:tc>
        <w:tc>
          <w:tcPr>
            <w:tcW w:w="1676" w:type="pct"/>
            <w:shd w:val="clear" w:color="auto" w:fill="auto"/>
            <w:vAlign w:val="center"/>
          </w:tcPr>
          <w:p w14:paraId="06FCB5A6">
            <w:pPr>
              <w:spacing w:line="240" w:lineRule="auto"/>
              <w:ind w:firstLine="420"/>
              <w:jc w:val="center"/>
              <w:rPr>
                <w:bCs/>
                <w:sz w:val="21"/>
                <w:szCs w:val="21"/>
              </w:rPr>
            </w:pPr>
            <w:r>
              <w:rPr>
                <w:sz w:val="21"/>
                <w:szCs w:val="21"/>
                <w:lang w:bidi="ar"/>
              </w:rPr>
              <w:t>30</w:t>
            </w:r>
          </w:p>
        </w:tc>
      </w:tr>
      <w:tr w14:paraId="6258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0" w:type="pct"/>
            <w:shd w:val="clear" w:color="auto" w:fill="auto"/>
            <w:vAlign w:val="center"/>
          </w:tcPr>
          <w:p w14:paraId="7CA3B70F">
            <w:pPr>
              <w:spacing w:line="240" w:lineRule="auto"/>
              <w:ind w:firstLine="420"/>
              <w:jc w:val="center"/>
              <w:rPr>
                <w:sz w:val="21"/>
                <w:szCs w:val="21"/>
              </w:rPr>
            </w:pPr>
            <w:r>
              <w:rPr>
                <w:sz w:val="21"/>
                <w:szCs w:val="21"/>
                <w:lang w:bidi="ar"/>
              </w:rPr>
              <w:t>粪大肠菌群数</w:t>
            </w:r>
          </w:p>
        </w:tc>
        <w:tc>
          <w:tcPr>
            <w:tcW w:w="1674" w:type="pct"/>
            <w:shd w:val="clear" w:color="auto" w:fill="auto"/>
            <w:vAlign w:val="center"/>
          </w:tcPr>
          <w:p w14:paraId="13C9A740">
            <w:pPr>
              <w:spacing w:line="240" w:lineRule="auto"/>
              <w:ind w:firstLine="420"/>
              <w:jc w:val="center"/>
              <w:rPr>
                <w:sz w:val="21"/>
                <w:szCs w:val="21"/>
              </w:rPr>
            </w:pPr>
            <w:r>
              <w:rPr>
                <w:sz w:val="21"/>
                <w:szCs w:val="21"/>
                <w:lang w:bidi="ar"/>
              </w:rPr>
              <w:t>个/L</w:t>
            </w:r>
          </w:p>
        </w:tc>
        <w:tc>
          <w:tcPr>
            <w:tcW w:w="1676" w:type="pct"/>
            <w:shd w:val="clear" w:color="auto" w:fill="auto"/>
            <w:vAlign w:val="center"/>
          </w:tcPr>
          <w:p w14:paraId="222A04D3">
            <w:pPr>
              <w:spacing w:line="240" w:lineRule="auto"/>
              <w:ind w:firstLine="420"/>
              <w:jc w:val="center"/>
              <w:rPr>
                <w:sz w:val="21"/>
                <w:szCs w:val="21"/>
              </w:rPr>
            </w:pPr>
            <w:r>
              <w:rPr>
                <w:sz w:val="21"/>
                <w:szCs w:val="21"/>
                <w:lang w:bidi="ar"/>
              </w:rPr>
              <w:t>1000</w:t>
            </w:r>
          </w:p>
        </w:tc>
      </w:tr>
      <w:tr w14:paraId="752E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auto"/>
            <w:vAlign w:val="center"/>
          </w:tcPr>
          <w:p w14:paraId="224A6965">
            <w:pPr>
              <w:pStyle w:val="59"/>
              <w:widowControl/>
              <w:autoSpaceDE w:val="0"/>
              <w:autoSpaceDN w:val="0"/>
              <w:ind w:firstLine="400"/>
              <w:jc w:val="left"/>
              <w:rPr>
                <w:szCs w:val="21"/>
              </w:rPr>
            </w:pPr>
            <w:r>
              <w:rPr>
                <w:szCs w:val="21"/>
              </w:rPr>
              <w:t>注：</w:t>
            </w:r>
            <w:r>
              <w:rPr>
                <w:rFonts w:hint="eastAsia" w:ascii="宋体" w:hAnsi="宋体" w:cs="宋体"/>
                <w:szCs w:val="21"/>
              </w:rPr>
              <w:t>①</w:t>
            </w:r>
            <w:r>
              <w:rPr>
                <w:szCs w:val="21"/>
              </w:rPr>
              <w:t>括号外数值为水温＞12</w:t>
            </w:r>
            <w:r>
              <w:rPr>
                <w:rFonts w:hint="eastAsia" w:ascii="宋体" w:hAnsi="宋体" w:cs="宋体"/>
                <w:szCs w:val="21"/>
              </w:rPr>
              <w:t>℃</w:t>
            </w:r>
            <w:r>
              <w:rPr>
                <w:szCs w:val="21"/>
              </w:rPr>
              <w:t>时的控制指标，括号内数值为水温≤12</w:t>
            </w:r>
            <w:r>
              <w:rPr>
                <w:rFonts w:hint="eastAsia" w:ascii="宋体" w:hAnsi="宋体" w:cs="宋体"/>
                <w:szCs w:val="21"/>
              </w:rPr>
              <w:t>℃</w:t>
            </w:r>
            <w:r>
              <w:rPr>
                <w:szCs w:val="21"/>
              </w:rPr>
              <w:t>时的控制指标。</w:t>
            </w:r>
          </w:p>
        </w:tc>
      </w:tr>
    </w:tbl>
    <w:p w14:paraId="62E33F2A">
      <w:pPr>
        <w:pStyle w:val="45"/>
      </w:pPr>
      <w:bookmarkStart w:id="24" w:name="_Toc14681"/>
      <w:bookmarkStart w:id="25" w:name="_Toc184805682"/>
      <w:r>
        <w:t xml:space="preserve">5.2.2 </w:t>
      </w:r>
      <w:r>
        <w:rPr>
          <w:rFonts w:hint="eastAsia"/>
        </w:rPr>
        <w:t>入河污水排放量与排放规律</w:t>
      </w:r>
    </w:p>
    <w:p w14:paraId="1E26E096">
      <w:pPr>
        <w:ind w:firstLine="480"/>
      </w:pPr>
      <w:r>
        <w:t>入河污水排放量：90m</w:t>
      </w:r>
      <w:r>
        <w:rPr>
          <w:vertAlign w:val="superscript"/>
        </w:rPr>
        <w:t>3</w:t>
      </w:r>
      <w:r>
        <w:t>/d。</w:t>
      </w:r>
    </w:p>
    <w:p w14:paraId="75AC3A8A">
      <w:pPr>
        <w:ind w:firstLine="480"/>
      </w:pPr>
      <w:r>
        <w:t>排放规律：连续排放</w:t>
      </w:r>
    </w:p>
    <w:p w14:paraId="3F3EBAAF">
      <w:pPr>
        <w:pStyle w:val="61"/>
        <w:spacing w:before="312"/>
      </w:pPr>
      <w:r>
        <w:t xml:space="preserve">5.3 </w:t>
      </w:r>
      <w:r>
        <w:rPr>
          <w:rFonts w:hint="eastAsia"/>
        </w:rPr>
        <w:t>申请的</w:t>
      </w:r>
      <w:r>
        <w:t>入河排污口</w:t>
      </w:r>
      <w:bookmarkEnd w:id="24"/>
      <w:bookmarkEnd w:id="25"/>
      <w:r>
        <w:rPr>
          <w:rFonts w:hint="eastAsia"/>
        </w:rPr>
        <w:t>重点污染物排放浓度、排放量和污水排放量</w:t>
      </w:r>
    </w:p>
    <w:p w14:paraId="1ECC12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芦塘乡（板栗村）污水处理厂处理规模为</w:t>
      </w:r>
      <w:r>
        <w:rPr>
          <w:color w:val="000000" w:themeColor="text1"/>
          <w14:textFill>
            <w14:solidFill>
              <w14:schemeClr w14:val="tx1"/>
            </w14:solidFill>
          </w14:textFill>
        </w:rPr>
        <w:t>90m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olor w:val="000000" w:themeColor="text1"/>
          <w14:textFill>
            <w14:solidFill>
              <w14:schemeClr w14:val="tx1"/>
            </w14:solidFill>
          </w14:textFill>
        </w:rPr>
        <w:t>水质达</w:t>
      </w:r>
      <w:r>
        <w:rPr>
          <w:color w:val="000000" w:themeColor="text1"/>
          <w14:textFill>
            <w14:solidFill>
              <w14:schemeClr w14:val="tx1"/>
            </w14:solidFill>
          </w14:textFill>
        </w:rPr>
        <w:t>《城镇污水处理厂污染物排放标准》（GB 18918-2002）一级B标准</w:t>
      </w:r>
      <w:r>
        <w:rPr>
          <w:rFonts w:hint="eastAsia"/>
          <w:color w:val="000000" w:themeColor="text1"/>
          <w14:textFill>
            <w14:solidFill>
              <w14:schemeClr w14:val="tx1"/>
            </w14:solidFill>
          </w14:textFill>
        </w:rPr>
        <w:t>后排放。</w:t>
      </w:r>
    </w:p>
    <w:p w14:paraId="652DD7E1">
      <w:pPr>
        <w:ind w:firstLine="480"/>
        <w:rPr>
          <w:color w:val="000000" w:themeColor="text1"/>
          <w14:textFill>
            <w14:solidFill>
              <w14:schemeClr w14:val="tx1"/>
            </w14:solidFill>
          </w14:textFill>
        </w:rPr>
      </w:pPr>
      <w:r>
        <w:rPr>
          <w:color w:val="000000" w:themeColor="text1"/>
          <w14:textFill>
            <w14:solidFill>
              <w14:schemeClr w14:val="tx1"/>
            </w14:solidFill>
          </w14:textFill>
        </w:rPr>
        <w:t>根据污水处理厂设计处理规模以及设计出水水质，入河排污口排放的污水所含主要污染物种类及其排放浓度、排放总量如</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1所示。</w:t>
      </w:r>
    </w:p>
    <w:p w14:paraId="62F02BAD">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排放污染物种类及浓度、总量（按一级B标核算总量）</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813"/>
        <w:gridCol w:w="1827"/>
        <w:gridCol w:w="1893"/>
        <w:gridCol w:w="1828"/>
      </w:tblGrid>
      <w:tr w14:paraId="1CE3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Align w:val="center"/>
          </w:tcPr>
          <w:p w14:paraId="17D7EFDF">
            <w:pPr>
              <w:pStyle w:val="5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指标</w:t>
            </w:r>
          </w:p>
        </w:tc>
        <w:tc>
          <w:tcPr>
            <w:tcW w:w="1765" w:type="dxa"/>
            <w:vAlign w:val="center"/>
          </w:tcPr>
          <w:p w14:paraId="16C00196">
            <w:pPr>
              <w:pStyle w:val="5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进水浓度(mg/L)</w:t>
            </w:r>
          </w:p>
        </w:tc>
        <w:tc>
          <w:tcPr>
            <w:tcW w:w="1779" w:type="dxa"/>
            <w:vAlign w:val="center"/>
          </w:tcPr>
          <w:p w14:paraId="3D812E00">
            <w:pPr>
              <w:pStyle w:val="5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1843" w:type="dxa"/>
            <w:vAlign w:val="center"/>
          </w:tcPr>
          <w:p w14:paraId="7B0D36B9">
            <w:pPr>
              <w:pStyle w:val="5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排放浓度(mg/L)</w:t>
            </w:r>
          </w:p>
        </w:tc>
        <w:tc>
          <w:tcPr>
            <w:tcW w:w="1780" w:type="dxa"/>
            <w:vAlign w:val="center"/>
          </w:tcPr>
          <w:p w14:paraId="599288FC">
            <w:pPr>
              <w:pStyle w:val="5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排放量（t/a）</w:t>
            </w:r>
          </w:p>
        </w:tc>
      </w:tr>
      <w:tr w14:paraId="271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Align w:val="center"/>
          </w:tcPr>
          <w:p w14:paraId="0FFA5CAA">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废水量</w:t>
            </w:r>
          </w:p>
        </w:tc>
        <w:tc>
          <w:tcPr>
            <w:tcW w:w="1765" w:type="dxa"/>
            <w:vAlign w:val="center"/>
          </w:tcPr>
          <w:p w14:paraId="3B4F96AF">
            <w:pPr>
              <w:pStyle w:val="5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779" w:type="dxa"/>
            <w:vAlign w:val="center"/>
          </w:tcPr>
          <w:p w14:paraId="08DA6D4A">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2850</w:t>
            </w:r>
          </w:p>
        </w:tc>
        <w:tc>
          <w:tcPr>
            <w:tcW w:w="1843" w:type="dxa"/>
            <w:vAlign w:val="center"/>
          </w:tcPr>
          <w:p w14:paraId="37791D9A">
            <w:pPr>
              <w:pStyle w:val="59"/>
              <w:rPr>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c>
          <w:tcPr>
            <w:tcW w:w="1780" w:type="dxa"/>
            <w:vAlign w:val="center"/>
          </w:tcPr>
          <w:p w14:paraId="5448BDB7">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2850</w:t>
            </w:r>
          </w:p>
        </w:tc>
      </w:tr>
      <w:tr w14:paraId="5F05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Align w:val="center"/>
          </w:tcPr>
          <w:p w14:paraId="2FFC0BA4">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765" w:type="dxa"/>
            <w:vAlign w:val="center"/>
          </w:tcPr>
          <w:p w14:paraId="6FD2D36C">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350</w:t>
            </w:r>
          </w:p>
        </w:tc>
        <w:tc>
          <w:tcPr>
            <w:tcW w:w="1779" w:type="dxa"/>
            <w:vAlign w:val="center"/>
          </w:tcPr>
          <w:p w14:paraId="6EF5E960">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11.4975</w:t>
            </w:r>
          </w:p>
        </w:tc>
        <w:tc>
          <w:tcPr>
            <w:tcW w:w="1843" w:type="dxa"/>
            <w:vAlign w:val="center"/>
          </w:tcPr>
          <w:p w14:paraId="3FC17DD8">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780" w:type="dxa"/>
            <w:vAlign w:val="center"/>
          </w:tcPr>
          <w:p w14:paraId="4C03E606">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1.971</w:t>
            </w:r>
          </w:p>
        </w:tc>
      </w:tr>
      <w:tr w14:paraId="43A6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Align w:val="center"/>
          </w:tcPr>
          <w:p w14:paraId="14D4B705">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765" w:type="dxa"/>
            <w:vAlign w:val="center"/>
          </w:tcPr>
          <w:p w14:paraId="51A2CE1B">
            <w:pPr>
              <w:pStyle w:val="5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150</w:t>
            </w:r>
          </w:p>
        </w:tc>
        <w:tc>
          <w:tcPr>
            <w:tcW w:w="1779" w:type="dxa"/>
            <w:vAlign w:val="center"/>
          </w:tcPr>
          <w:p w14:paraId="1742E58B">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4.9275</w:t>
            </w:r>
          </w:p>
        </w:tc>
        <w:tc>
          <w:tcPr>
            <w:tcW w:w="1843" w:type="dxa"/>
            <w:vAlign w:val="center"/>
          </w:tcPr>
          <w:p w14:paraId="1EFA3FB4">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780" w:type="dxa"/>
            <w:vAlign w:val="center"/>
          </w:tcPr>
          <w:p w14:paraId="316680AF">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0.657</w:t>
            </w:r>
          </w:p>
        </w:tc>
      </w:tr>
      <w:tr w14:paraId="3772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Align w:val="center"/>
          </w:tcPr>
          <w:p w14:paraId="10D19915">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765" w:type="dxa"/>
            <w:vAlign w:val="center"/>
          </w:tcPr>
          <w:p w14:paraId="15D89251">
            <w:pPr>
              <w:pStyle w:val="5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1779" w:type="dxa"/>
            <w:vAlign w:val="center"/>
          </w:tcPr>
          <w:p w14:paraId="4777C1C1">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8.2125</w:t>
            </w:r>
          </w:p>
        </w:tc>
        <w:tc>
          <w:tcPr>
            <w:tcW w:w="1843" w:type="dxa"/>
            <w:vAlign w:val="center"/>
          </w:tcPr>
          <w:p w14:paraId="0C1BE146">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780" w:type="dxa"/>
            <w:vAlign w:val="center"/>
          </w:tcPr>
          <w:p w14:paraId="59D16ECD">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0.657</w:t>
            </w:r>
          </w:p>
        </w:tc>
      </w:tr>
      <w:tr w14:paraId="1E06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Align w:val="center"/>
          </w:tcPr>
          <w:p w14:paraId="7BE12BD2">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N</w:t>
            </w:r>
          </w:p>
        </w:tc>
        <w:tc>
          <w:tcPr>
            <w:tcW w:w="1765" w:type="dxa"/>
            <w:vAlign w:val="center"/>
          </w:tcPr>
          <w:p w14:paraId="7824D32B">
            <w:pPr>
              <w:pStyle w:val="5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w:t>
            </w:r>
          </w:p>
        </w:tc>
        <w:tc>
          <w:tcPr>
            <w:tcW w:w="1779" w:type="dxa"/>
            <w:vAlign w:val="center"/>
          </w:tcPr>
          <w:p w14:paraId="0A96E01A">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0.9855</w:t>
            </w:r>
          </w:p>
        </w:tc>
        <w:tc>
          <w:tcPr>
            <w:tcW w:w="1843" w:type="dxa"/>
            <w:vAlign w:val="center"/>
          </w:tcPr>
          <w:p w14:paraId="713D3C89">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780" w:type="dxa"/>
            <w:vAlign w:val="center"/>
          </w:tcPr>
          <w:p w14:paraId="08065B64">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0.2628</w:t>
            </w:r>
          </w:p>
        </w:tc>
      </w:tr>
      <w:tr w14:paraId="54FF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Align w:val="center"/>
          </w:tcPr>
          <w:p w14:paraId="52176A0D">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TP</w:t>
            </w:r>
          </w:p>
        </w:tc>
        <w:tc>
          <w:tcPr>
            <w:tcW w:w="1765" w:type="dxa"/>
            <w:vAlign w:val="center"/>
          </w:tcPr>
          <w:p w14:paraId="028655BA">
            <w:pPr>
              <w:pStyle w:val="59"/>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w:t>
            </w:r>
          </w:p>
        </w:tc>
        <w:tc>
          <w:tcPr>
            <w:tcW w:w="1779" w:type="dxa"/>
            <w:vAlign w:val="center"/>
          </w:tcPr>
          <w:p w14:paraId="7C306253">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0.1314</w:t>
            </w:r>
          </w:p>
        </w:tc>
        <w:tc>
          <w:tcPr>
            <w:tcW w:w="1843" w:type="dxa"/>
            <w:vAlign w:val="center"/>
          </w:tcPr>
          <w:p w14:paraId="1C68A14C">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80" w:type="dxa"/>
            <w:vAlign w:val="center"/>
          </w:tcPr>
          <w:p w14:paraId="433D0DFC">
            <w:pPr>
              <w:pStyle w:val="5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0.032</w:t>
            </w:r>
            <w:r>
              <w:rPr>
                <w:color w:val="000000" w:themeColor="text1"/>
                <w:szCs w:val="21"/>
                <w14:textFill>
                  <w14:solidFill>
                    <w14:schemeClr w14:val="tx1"/>
                  </w14:solidFill>
                </w14:textFill>
              </w:rPr>
              <w:t>9</w:t>
            </w:r>
          </w:p>
        </w:tc>
      </w:tr>
    </w:tbl>
    <w:p w14:paraId="5E8836CB">
      <w:pPr>
        <w:pStyle w:val="61"/>
        <w:spacing w:before="312"/>
      </w:pPr>
      <w:r>
        <w:t>5.3 水功能区纳污能力及限制排放总量</w:t>
      </w:r>
    </w:p>
    <w:p w14:paraId="17FB47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污水处理厂排污口位于郁江右岸，污水处理厂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提出水功能区</w:t>
      </w:r>
      <w:r>
        <w:rPr>
          <w:rFonts w:hint="eastAsia"/>
          <w:color w:val="000000" w:themeColor="text1"/>
          <w14:textFill>
            <w14:solidFill>
              <w14:schemeClr w14:val="tx1"/>
            </w14:solidFill>
          </w14:textFill>
        </w:rPr>
        <w:t>和纳污能力</w:t>
      </w:r>
      <w:r>
        <w:rPr>
          <w:color w:val="000000" w:themeColor="text1"/>
          <w14:textFill>
            <w14:solidFill>
              <w14:schemeClr w14:val="tx1"/>
            </w14:solidFill>
          </w14:textFill>
        </w:rPr>
        <w:t>限制排污总量</w:t>
      </w:r>
      <w:r>
        <w:rPr>
          <w:rFonts w:hint="eastAsia"/>
          <w:color w:val="000000" w:themeColor="text1"/>
          <w14:textFill>
            <w14:solidFill>
              <w14:schemeClr w14:val="tx1"/>
            </w14:solidFill>
          </w14:textFill>
        </w:rPr>
        <w:t>，项目所在区域水功能区纳污能力见表3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55FD2661">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项目所在区域</w:t>
      </w:r>
      <w:r>
        <w:rPr>
          <w:rFonts w:hint="eastAsia" w:cs="Times New Roman"/>
          <w:b/>
          <w:bCs/>
          <w:color w:val="000000" w:themeColor="text1"/>
          <w:sz w:val="21"/>
          <w:szCs w:val="21"/>
          <w14:textFill>
            <w14:solidFill>
              <w14:schemeClr w14:val="tx1"/>
            </w14:solidFill>
          </w14:textFill>
        </w:rPr>
        <w:t>水功能区纳污能力情况</w:t>
      </w:r>
      <w:r>
        <w:rPr>
          <w:rFonts w:hint="eastAsia" w:cs="Times New Roman"/>
          <w:b/>
          <w:color w:val="000000" w:themeColor="text1"/>
          <w:sz w:val="21"/>
          <w:szCs w:val="21"/>
          <w14:textFill>
            <w14:solidFill>
              <w14:schemeClr w14:val="tx1"/>
            </w14:solidFill>
          </w14:textFill>
        </w:rPr>
        <w:t>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745A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045669EB">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18559545">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2237B831">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6EDDECB6">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纳污能力（</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15C4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11F9A584">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084A9FBE">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1D790E0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377862D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45CECC3B">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00D26C92">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7324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4091178B">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4653B226">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0DFE5A64">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080787B0">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0EFC6FD9">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2493.90</w:t>
            </w:r>
          </w:p>
        </w:tc>
        <w:tc>
          <w:tcPr>
            <w:tcW w:w="1214" w:type="dxa"/>
            <w:shd w:val="clear" w:color="auto" w:fill="auto"/>
            <w:vAlign w:val="center"/>
          </w:tcPr>
          <w:p w14:paraId="4434B9C2">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67.85</w:t>
            </w:r>
          </w:p>
        </w:tc>
      </w:tr>
    </w:tbl>
    <w:p w14:paraId="0C050FBB">
      <w:pPr>
        <w:spacing w:before="312" w:beforeLines="10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项目所在河流限制排污总量见表3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14:paraId="54864A56">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表3</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项目所在河流限制排污量情况表</w:t>
      </w:r>
    </w:p>
    <w:tbl>
      <w:tblPr>
        <w:tblStyle w:val="3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19"/>
        <w:gridCol w:w="1956"/>
        <w:gridCol w:w="1857"/>
        <w:gridCol w:w="1634"/>
        <w:gridCol w:w="1247"/>
      </w:tblGrid>
      <w:tr w14:paraId="21B2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restart"/>
            <w:shd w:val="clear" w:color="auto" w:fill="auto"/>
            <w:vAlign w:val="center"/>
          </w:tcPr>
          <w:p w14:paraId="65DDEE05">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编号</w:t>
            </w:r>
          </w:p>
        </w:tc>
        <w:tc>
          <w:tcPr>
            <w:tcW w:w="1089" w:type="dxa"/>
            <w:vMerge w:val="restart"/>
            <w:shd w:val="clear" w:color="auto" w:fill="auto"/>
            <w:vAlign w:val="center"/>
          </w:tcPr>
          <w:p w14:paraId="5EBC3D2E">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河流</w:t>
            </w:r>
          </w:p>
        </w:tc>
        <w:tc>
          <w:tcPr>
            <w:tcW w:w="3712" w:type="dxa"/>
            <w:gridSpan w:val="2"/>
            <w:shd w:val="clear" w:color="auto" w:fill="auto"/>
            <w:vAlign w:val="center"/>
          </w:tcPr>
          <w:p w14:paraId="7FC67C63">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水功能区</w:t>
            </w:r>
          </w:p>
        </w:tc>
        <w:tc>
          <w:tcPr>
            <w:tcW w:w="2805" w:type="dxa"/>
            <w:gridSpan w:val="2"/>
            <w:shd w:val="clear" w:color="auto" w:fill="auto"/>
            <w:vAlign w:val="center"/>
          </w:tcPr>
          <w:p w14:paraId="56413220">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限制排污量</w:t>
            </w:r>
            <w:r>
              <w:rPr>
                <w:rFonts w:hint="eastAsia" w:ascii="宋体" w:hAnsi="宋体" w:cs="宋体"/>
                <w:b/>
                <w:bCs/>
                <w:snapToGrid/>
                <w:color w:val="000000" w:themeColor="text1"/>
                <w:sz w:val="21"/>
                <w:szCs w:val="21"/>
                <w14:textFill>
                  <w14:solidFill>
                    <w14:schemeClr w14:val="tx1"/>
                  </w14:solidFill>
                </w14:textFill>
              </w:rPr>
              <w:t>（</w:t>
            </w:r>
            <w:r>
              <w:rPr>
                <w:rFonts w:cs="Times New Roman"/>
                <w:b/>
                <w:bCs/>
                <w:snapToGrid/>
                <w:color w:val="000000" w:themeColor="text1"/>
                <w:sz w:val="21"/>
                <w:szCs w:val="21"/>
                <w14:textFill>
                  <w14:solidFill>
                    <w14:schemeClr w14:val="tx1"/>
                  </w14:solidFill>
                </w14:textFill>
              </w:rPr>
              <w:t>t/a</w:t>
            </w:r>
            <w:r>
              <w:rPr>
                <w:rFonts w:hint="eastAsia" w:ascii="宋体" w:hAnsi="宋体" w:cs="宋体"/>
                <w:b/>
                <w:bCs/>
                <w:snapToGrid/>
                <w:color w:val="000000" w:themeColor="text1"/>
                <w:sz w:val="21"/>
                <w:szCs w:val="21"/>
                <w14:textFill>
                  <w14:solidFill>
                    <w14:schemeClr w14:val="tx1"/>
                  </w14:solidFill>
                </w14:textFill>
              </w:rPr>
              <w:t>）</w:t>
            </w:r>
          </w:p>
        </w:tc>
      </w:tr>
      <w:tr w14:paraId="579F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vMerge w:val="continue"/>
            <w:vAlign w:val="center"/>
          </w:tcPr>
          <w:p w14:paraId="35CB0E4F">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089" w:type="dxa"/>
            <w:vMerge w:val="continue"/>
            <w:vAlign w:val="center"/>
          </w:tcPr>
          <w:p w14:paraId="4AA3F575">
            <w:pPr>
              <w:widowControl/>
              <w:autoSpaceDE/>
              <w:autoSpaceDN/>
              <w:spacing w:line="240" w:lineRule="auto"/>
              <w:ind w:firstLine="0" w:firstLineChars="0"/>
              <w:jc w:val="left"/>
              <w:textAlignment w:val="auto"/>
              <w:rPr>
                <w:rFonts w:ascii="宋体" w:hAnsi="宋体" w:cs="宋体"/>
                <w:b/>
                <w:bCs/>
                <w:snapToGrid/>
                <w:color w:val="000000" w:themeColor="text1"/>
                <w:sz w:val="21"/>
                <w:szCs w:val="21"/>
                <w14:textFill>
                  <w14:solidFill>
                    <w14:schemeClr w14:val="tx1"/>
                  </w14:solidFill>
                </w14:textFill>
              </w:rPr>
            </w:pPr>
          </w:p>
        </w:tc>
        <w:tc>
          <w:tcPr>
            <w:tcW w:w="1904" w:type="dxa"/>
            <w:shd w:val="clear" w:color="auto" w:fill="auto"/>
            <w:vAlign w:val="center"/>
          </w:tcPr>
          <w:p w14:paraId="700AFF61">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一级水功能区</w:t>
            </w:r>
          </w:p>
        </w:tc>
        <w:tc>
          <w:tcPr>
            <w:tcW w:w="1808" w:type="dxa"/>
            <w:shd w:val="clear" w:color="auto" w:fill="auto"/>
            <w:vAlign w:val="center"/>
          </w:tcPr>
          <w:p w14:paraId="7FBBE30D">
            <w:pPr>
              <w:widowControl/>
              <w:autoSpaceDE/>
              <w:autoSpaceDN/>
              <w:spacing w:line="240" w:lineRule="auto"/>
              <w:ind w:firstLine="0" w:firstLineChars="0"/>
              <w:jc w:val="center"/>
              <w:textAlignment w:val="auto"/>
              <w:rPr>
                <w:rFonts w:ascii="宋体" w:hAnsi="宋体" w:cs="宋体"/>
                <w:b/>
                <w:bCs/>
                <w:snapToGrid/>
                <w:color w:val="000000" w:themeColor="text1"/>
                <w:sz w:val="21"/>
                <w:szCs w:val="21"/>
                <w14:textFill>
                  <w14:solidFill>
                    <w14:schemeClr w14:val="tx1"/>
                  </w14:solidFill>
                </w14:textFill>
              </w:rPr>
            </w:pPr>
            <w:r>
              <w:rPr>
                <w:rFonts w:hint="eastAsia" w:ascii="宋体" w:hAnsi="宋体" w:cs="宋体"/>
                <w:b/>
                <w:bCs/>
                <w:snapToGrid/>
                <w:color w:val="000000" w:themeColor="text1"/>
                <w:sz w:val="21"/>
                <w:szCs w:val="21"/>
                <w14:textFill>
                  <w14:solidFill>
                    <w14:schemeClr w14:val="tx1"/>
                  </w14:solidFill>
                </w14:textFill>
              </w:rPr>
              <w:t>二级水功能区</w:t>
            </w:r>
          </w:p>
        </w:tc>
        <w:tc>
          <w:tcPr>
            <w:tcW w:w="1591" w:type="dxa"/>
            <w:shd w:val="clear" w:color="auto" w:fill="auto"/>
            <w:vAlign w:val="center"/>
          </w:tcPr>
          <w:p w14:paraId="03E8169F">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COD</w:t>
            </w:r>
          </w:p>
        </w:tc>
        <w:tc>
          <w:tcPr>
            <w:tcW w:w="1214" w:type="dxa"/>
            <w:shd w:val="clear" w:color="auto" w:fill="auto"/>
            <w:vAlign w:val="center"/>
          </w:tcPr>
          <w:p w14:paraId="309FAB9C">
            <w:pPr>
              <w:widowControl/>
              <w:autoSpaceDE/>
              <w:autoSpaceDN/>
              <w:spacing w:line="240" w:lineRule="auto"/>
              <w:ind w:firstLine="0" w:firstLineChars="0"/>
              <w:jc w:val="center"/>
              <w:textAlignment w:val="auto"/>
              <w:rPr>
                <w:rFonts w:cs="Times New Roman"/>
                <w:b/>
                <w:bCs/>
                <w:snapToGrid/>
                <w:color w:val="000000" w:themeColor="text1"/>
                <w:sz w:val="21"/>
                <w:szCs w:val="21"/>
                <w14:textFill>
                  <w14:solidFill>
                    <w14:schemeClr w14:val="tx1"/>
                  </w14:solidFill>
                </w14:textFill>
              </w:rPr>
            </w:pPr>
            <w:r>
              <w:rPr>
                <w:rFonts w:cs="Times New Roman"/>
                <w:b/>
                <w:bCs/>
                <w:snapToGrid/>
                <w:color w:val="000000" w:themeColor="text1"/>
                <w:sz w:val="21"/>
                <w:szCs w:val="21"/>
                <w14:textFill>
                  <w14:solidFill>
                    <w14:schemeClr w14:val="tx1"/>
                  </w14:solidFill>
                </w14:textFill>
              </w:rPr>
              <w:t>NH</w:t>
            </w:r>
            <w:r>
              <w:rPr>
                <w:rFonts w:cs="Times New Roman"/>
                <w:b/>
                <w:bCs/>
                <w:snapToGrid/>
                <w:color w:val="000000" w:themeColor="text1"/>
                <w:sz w:val="21"/>
                <w:szCs w:val="21"/>
                <w:vertAlign w:val="subscript"/>
                <w14:textFill>
                  <w14:solidFill>
                    <w14:schemeClr w14:val="tx1"/>
                  </w14:solidFill>
                </w14:textFill>
              </w:rPr>
              <w:t>3</w:t>
            </w:r>
            <w:r>
              <w:rPr>
                <w:rFonts w:cs="Times New Roman"/>
                <w:b/>
                <w:bCs/>
                <w:snapToGrid/>
                <w:color w:val="000000" w:themeColor="text1"/>
                <w:sz w:val="21"/>
                <w:szCs w:val="21"/>
                <w14:textFill>
                  <w14:solidFill>
                    <w14:schemeClr w14:val="tx1"/>
                  </w14:solidFill>
                </w14:textFill>
              </w:rPr>
              <w:t>-N</w:t>
            </w:r>
          </w:p>
        </w:tc>
      </w:tr>
      <w:tr w14:paraId="5801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shd w:val="clear" w:color="auto" w:fill="auto"/>
            <w:vAlign w:val="center"/>
          </w:tcPr>
          <w:p w14:paraId="0865087B">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1</w:t>
            </w:r>
          </w:p>
        </w:tc>
        <w:tc>
          <w:tcPr>
            <w:tcW w:w="1089" w:type="dxa"/>
            <w:shd w:val="clear" w:color="auto" w:fill="auto"/>
            <w:vAlign w:val="center"/>
          </w:tcPr>
          <w:p w14:paraId="28359810">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w:t>
            </w:r>
          </w:p>
        </w:tc>
        <w:tc>
          <w:tcPr>
            <w:tcW w:w="1904" w:type="dxa"/>
            <w:shd w:val="clear" w:color="auto" w:fill="auto"/>
            <w:vAlign w:val="center"/>
          </w:tcPr>
          <w:p w14:paraId="1B087119">
            <w:pPr>
              <w:widowControl/>
              <w:autoSpaceDE/>
              <w:autoSpaceDN/>
              <w:spacing w:line="240" w:lineRule="auto"/>
              <w:ind w:firstLine="0" w:firstLineChars="0"/>
              <w:jc w:val="center"/>
              <w:textAlignment w:val="auto"/>
              <w:rPr>
                <w:rFonts w:ascii="宋体" w:hAnsi="宋体" w:cs="宋体"/>
                <w:snapToGrid/>
                <w:color w:val="000000" w:themeColor="text1"/>
                <w:sz w:val="21"/>
                <w:szCs w:val="21"/>
                <w14:textFill>
                  <w14:solidFill>
                    <w14:schemeClr w14:val="tx1"/>
                  </w14:solidFill>
                </w14:textFill>
              </w:rPr>
            </w:pPr>
            <w:r>
              <w:rPr>
                <w:rFonts w:hint="eastAsia" w:ascii="宋体" w:hAnsi="宋体" w:cs="宋体"/>
                <w:snapToGrid/>
                <w:color w:val="000000" w:themeColor="text1"/>
                <w:sz w:val="21"/>
                <w:szCs w:val="21"/>
                <w14:textFill>
                  <w14:solidFill>
                    <w14:schemeClr w14:val="tx1"/>
                  </w14:solidFill>
                </w14:textFill>
              </w:rPr>
              <w:t>郁江彭水保家镇开发利用区</w:t>
            </w:r>
          </w:p>
        </w:tc>
        <w:tc>
          <w:tcPr>
            <w:tcW w:w="1808" w:type="dxa"/>
            <w:shd w:val="clear" w:color="auto" w:fill="auto"/>
            <w:vAlign w:val="center"/>
          </w:tcPr>
          <w:p w14:paraId="5BB9922F">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hint="eastAsia" w:cs="Times New Roman"/>
                <w:snapToGrid/>
                <w:color w:val="000000" w:themeColor="text1"/>
                <w:sz w:val="21"/>
                <w:szCs w:val="21"/>
                <w14:textFill>
                  <w14:solidFill>
                    <w14:schemeClr w14:val="tx1"/>
                  </w14:solidFill>
                </w14:textFill>
              </w:rPr>
              <w:t>郁江彭水保家镇景观娱乐、饮用水源区</w:t>
            </w:r>
          </w:p>
        </w:tc>
        <w:tc>
          <w:tcPr>
            <w:tcW w:w="1591" w:type="dxa"/>
            <w:shd w:val="clear" w:color="auto" w:fill="auto"/>
            <w:vAlign w:val="center"/>
          </w:tcPr>
          <w:p w14:paraId="2B98F091">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748.17</w:t>
            </w:r>
          </w:p>
        </w:tc>
        <w:tc>
          <w:tcPr>
            <w:tcW w:w="1214" w:type="dxa"/>
            <w:shd w:val="clear" w:color="auto" w:fill="auto"/>
            <w:vAlign w:val="center"/>
          </w:tcPr>
          <w:p w14:paraId="3AEF3C16">
            <w:pPr>
              <w:widowControl/>
              <w:autoSpaceDE/>
              <w:autoSpaceDN/>
              <w:spacing w:line="240" w:lineRule="auto"/>
              <w:ind w:firstLine="0" w:firstLineChars="0"/>
              <w:jc w:val="center"/>
              <w:textAlignment w:val="auto"/>
              <w:rPr>
                <w:rFonts w:cs="Times New Roman"/>
                <w:snapToGrid/>
                <w:color w:val="000000" w:themeColor="text1"/>
                <w:sz w:val="21"/>
                <w:szCs w:val="21"/>
                <w14:textFill>
                  <w14:solidFill>
                    <w14:schemeClr w14:val="tx1"/>
                  </w14:solidFill>
                </w14:textFill>
              </w:rPr>
            </w:pPr>
            <w:r>
              <w:rPr>
                <w:rFonts w:cs="Times New Roman"/>
                <w:snapToGrid/>
                <w:color w:val="000000" w:themeColor="text1"/>
                <w:sz w:val="21"/>
                <w:szCs w:val="21"/>
                <w14:textFill>
                  <w14:solidFill>
                    <w14:schemeClr w14:val="tx1"/>
                  </w14:solidFill>
                </w14:textFill>
              </w:rPr>
              <w:t>51.85</w:t>
            </w:r>
          </w:p>
        </w:tc>
      </w:tr>
    </w:tbl>
    <w:p w14:paraId="5641C40F">
      <w:pPr>
        <w:ind w:firstLine="480"/>
        <w:rPr>
          <w:color w:val="000000" w:themeColor="text1"/>
          <w14:textFill>
            <w14:solidFill>
              <w14:schemeClr w14:val="tx1"/>
            </w14:solidFill>
          </w14:textFill>
        </w:rPr>
      </w:pPr>
    </w:p>
    <w:p w14:paraId="3AB40B11">
      <w:pPr>
        <w:pStyle w:val="45"/>
        <w:rPr>
          <w:color w:val="000000" w:themeColor="text1"/>
          <w14:textFill>
            <w14:solidFill>
              <w14:schemeClr w14:val="tx1"/>
            </w14:solidFill>
          </w14:textFill>
        </w:rPr>
      </w:pPr>
    </w:p>
    <w:p w14:paraId="08095AA1">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产业政策符合性分析</w:t>
      </w:r>
    </w:p>
    <w:p w14:paraId="20C4D4C0">
      <w:pPr>
        <w:ind w:firstLine="480"/>
        <w:rPr>
          <w:color w:val="000000" w:themeColor="text1"/>
          <w:spacing w:val="6"/>
          <w:szCs w:val="26"/>
          <w14:textFill>
            <w14:solidFill>
              <w14:schemeClr w14:val="tx1"/>
            </w14:solidFill>
          </w14:textFill>
        </w:rPr>
      </w:pPr>
      <w:r>
        <w:rPr>
          <w:color w:val="000000" w:themeColor="text1"/>
          <w14:textFill>
            <w14:solidFill>
              <w14:schemeClr w14:val="tx1"/>
            </w14:solidFill>
          </w14:textFill>
        </w:rPr>
        <w:t>根据《产业结构调整指导目录（2024年本）》</w:t>
      </w:r>
      <w:r>
        <w:rPr>
          <w:rFonts w:hint="eastAsia"/>
          <w:color w:val="000000" w:themeColor="text1"/>
          <w14:textFill>
            <w14:solidFill>
              <w14:schemeClr w14:val="tx1"/>
            </w14:solidFill>
          </w14:textFill>
        </w:rPr>
        <w:t>，芦塘乡（板栗村）污水处理厂</w:t>
      </w:r>
      <w:r>
        <w:rPr>
          <w:color w:val="000000" w:themeColor="text1"/>
          <w:spacing w:val="6"/>
          <w:szCs w:val="26"/>
          <w14:textFill>
            <w14:solidFill>
              <w14:schemeClr w14:val="tx1"/>
            </w14:solidFill>
          </w14:textFill>
        </w:rPr>
        <w:t>属于目录中的第一类鼓励类：</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四十三、环境保护与资源节约综合利用，15、</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三废</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综合利用及治理</w:t>
      </w:r>
      <w:r>
        <w:rPr>
          <w:color w:val="000000" w:themeColor="text1"/>
          <w:spacing w:val="6"/>
          <w:szCs w:val="26"/>
          <w14:textFill>
            <w14:solidFill>
              <w14:schemeClr w14:val="tx1"/>
            </w14:solidFill>
          </w14:textFill>
        </w:rPr>
        <w:t>技术、装备和</w:t>
      </w:r>
      <w:r>
        <w:rPr>
          <w:color w:val="000000" w:themeColor="text1"/>
          <w14:textFill>
            <w14:solidFill>
              <w14:schemeClr w14:val="tx1"/>
            </w14:solidFill>
          </w14:textFill>
        </w:rPr>
        <w:t>工程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，项目的建设符合国家的产业政策</w:t>
      </w:r>
      <w:r>
        <w:rPr>
          <w:color w:val="000000" w:themeColor="text1"/>
          <w:szCs w:val="26"/>
          <w:lang w:val="zh-CN"/>
          <w14:textFill>
            <w14:solidFill>
              <w14:schemeClr w14:val="tx1"/>
            </w14:solidFill>
          </w14:textFill>
        </w:rPr>
        <w:t>。</w:t>
      </w:r>
    </w:p>
    <w:p w14:paraId="3AF8541F">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.3.2 </w:t>
      </w:r>
      <w:r>
        <w:rPr>
          <w:rFonts w:hint="eastAsia"/>
          <w:color w:val="000000" w:themeColor="text1"/>
          <w14:textFill>
            <w14:solidFill>
              <w14:schemeClr w14:val="tx1"/>
            </w14:solidFill>
          </w14:textFill>
        </w:rPr>
        <w:t>与《入河排污口监督管理办法》的符合性</w:t>
      </w:r>
    </w:p>
    <w:p w14:paraId="1279F79D">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与《入河排污口监督管理办法》的符合性</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104"/>
        <w:gridCol w:w="645"/>
      </w:tblGrid>
      <w:tr w14:paraId="20A0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50B1D6A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《入河排污口监督管理办法》第十四条</w:t>
            </w:r>
          </w:p>
        </w:tc>
        <w:tc>
          <w:tcPr>
            <w:tcW w:w="5104" w:type="dxa"/>
            <w:vAlign w:val="center"/>
          </w:tcPr>
          <w:p w14:paraId="38B6BD41">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645" w:type="dxa"/>
            <w:vAlign w:val="center"/>
          </w:tcPr>
          <w:p w14:paraId="40EF3FC9">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54A3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3FC365F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有下列情形之一的，不予同意设置入河排污口：</w:t>
            </w:r>
          </w:p>
        </w:tc>
        <w:tc>
          <w:tcPr>
            <w:tcW w:w="5104" w:type="dxa"/>
            <w:vAlign w:val="center"/>
          </w:tcPr>
          <w:p w14:paraId="782FCA3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不存在下列情形</w:t>
            </w:r>
          </w:p>
        </w:tc>
        <w:tc>
          <w:tcPr>
            <w:tcW w:w="645" w:type="dxa"/>
            <w:vAlign w:val="center"/>
          </w:tcPr>
          <w:p w14:paraId="6A13B08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738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97C84C3">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（一）在饮用水水源保护区内设置入河排污口的；</w:t>
            </w:r>
          </w:p>
        </w:tc>
        <w:tc>
          <w:tcPr>
            <w:tcW w:w="5104" w:type="dxa"/>
            <w:vAlign w:val="center"/>
          </w:tcPr>
          <w:p w14:paraId="6AF0557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本项目涉及的水功能区为“郁江彭水保家镇景观娱乐、饮用水源区”，此河段内有很多水库风景区，居民生活用水，工业用水，主导功能为景观娱乐用水，划为景观娱乐、饮用水源区</w:t>
            </w:r>
          </w:p>
        </w:tc>
        <w:tc>
          <w:tcPr>
            <w:tcW w:w="645" w:type="dxa"/>
            <w:vAlign w:val="center"/>
          </w:tcPr>
          <w:p w14:paraId="6B86A7D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6812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754AA66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（二）在省级以上人民政府要求削减排污总量的水域设置入河排污口的；</w:t>
            </w:r>
          </w:p>
        </w:tc>
        <w:tc>
          <w:tcPr>
            <w:tcW w:w="5104" w:type="dxa"/>
            <w:vAlign w:val="center"/>
          </w:tcPr>
          <w:p w14:paraId="5380FF3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郁江不属于重庆市人民政府要求削减排污总量的水域</w:t>
            </w:r>
          </w:p>
        </w:tc>
        <w:tc>
          <w:tcPr>
            <w:tcW w:w="645" w:type="dxa"/>
            <w:vAlign w:val="center"/>
          </w:tcPr>
          <w:p w14:paraId="4F596E85">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2F9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6925FC60">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（三）入河排污口设置可能使水域水质达不到水功能区要求的；</w:t>
            </w:r>
          </w:p>
        </w:tc>
        <w:tc>
          <w:tcPr>
            <w:tcW w:w="5104" w:type="dxa"/>
            <w:vAlign w:val="center"/>
          </w:tcPr>
          <w:p w14:paraId="16E883C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经过预测，入河排污口设置后，“郁江彭水保家镇景观娱乐、饮用水源区”水域水质仍为</w:t>
            </w:r>
            <w:r>
              <w:rPr>
                <w:rFonts w:hint="eastAsia" w:ascii="宋体" w:hAnsi="宋体"/>
                <w:color w:val="000000" w:themeColor="text1"/>
                <w14:textFill>
                  <w14:solidFill>
                    <w14:schemeClr w14:val="tx1"/>
                  </w14:solidFill>
                </w14:textFill>
              </w:rPr>
              <w:t>Ⅱ类</w:t>
            </w:r>
            <w:r>
              <w:rPr>
                <w:rFonts w:hint="eastAsia"/>
                <w:color w:val="000000" w:themeColor="text1"/>
                <w14:textFill>
                  <w14:solidFill>
                    <w14:schemeClr w14:val="tx1"/>
                  </w14:solidFill>
                </w14:textFill>
              </w:rPr>
              <w:t>，未超过水功能区要求</w:t>
            </w:r>
          </w:p>
        </w:tc>
        <w:tc>
          <w:tcPr>
            <w:tcW w:w="645" w:type="dxa"/>
            <w:vAlign w:val="center"/>
          </w:tcPr>
          <w:p w14:paraId="19491632">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7C58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0FCFA62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（四）入河排污口设置直接影响合法取水户用水安全的；</w:t>
            </w:r>
          </w:p>
        </w:tc>
        <w:tc>
          <w:tcPr>
            <w:tcW w:w="5104" w:type="dxa"/>
            <w:vAlign w:val="center"/>
          </w:tcPr>
          <w:p w14:paraId="1FDB33D0">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经调查，排污口所在的功能区内有县自来水厂关口泵站提水工程、保家工业园区泵站提水工程等取水点，主要为工业生产和农业灌溉。排污口设置后下游水质《地表水环境质量标准》（GB</w:t>
            </w:r>
            <w:r>
              <w:rPr>
                <w:color w:val="000000" w:themeColor="text1"/>
                <w14:textFill>
                  <w14:solidFill>
                    <w14:schemeClr w14:val="tx1"/>
                  </w14:solidFill>
                </w14:textFill>
              </w:rPr>
              <w:t xml:space="preserve"> 3838-2002</w:t>
            </w:r>
            <w:r>
              <w:rPr>
                <w:rFonts w:hint="eastAsia"/>
                <w:color w:val="000000" w:themeColor="text1"/>
                <w14:textFill>
                  <w14:solidFill>
                    <w14:schemeClr w14:val="tx1"/>
                  </w14:solidFill>
                </w14:textFill>
              </w:rPr>
              <w:t>）Ⅱ类水域功能标准值。不影响合法取水户用水安全</w:t>
            </w:r>
          </w:p>
        </w:tc>
        <w:tc>
          <w:tcPr>
            <w:tcW w:w="645" w:type="dxa"/>
            <w:vAlign w:val="center"/>
          </w:tcPr>
          <w:p w14:paraId="1488403A">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4DA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A068CCD">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（五）入河排污口设置不符合防洪要求的；</w:t>
            </w:r>
          </w:p>
        </w:tc>
        <w:tc>
          <w:tcPr>
            <w:tcW w:w="5104" w:type="dxa"/>
            <w:vAlign w:val="center"/>
          </w:tcPr>
          <w:p w14:paraId="0D2A018F">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该项目入河排污口设置满足郁江</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年一遇的防洪标准，符合防洪要求。</w:t>
            </w:r>
          </w:p>
        </w:tc>
        <w:tc>
          <w:tcPr>
            <w:tcW w:w="645" w:type="dxa"/>
            <w:vAlign w:val="center"/>
          </w:tcPr>
          <w:p w14:paraId="6FFF22AC">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B6D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1226C2D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（六）不符合法律、法规和国家产业政策规定的；</w:t>
            </w:r>
          </w:p>
        </w:tc>
        <w:tc>
          <w:tcPr>
            <w:tcW w:w="5104" w:type="dxa"/>
            <w:vAlign w:val="center"/>
          </w:tcPr>
          <w:p w14:paraId="3F5830E4">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该项目属于《产业结构调整指导目录（20</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年本）》第一类鼓励类，符合法律、法规和国家产业政策规定。</w:t>
            </w:r>
          </w:p>
        </w:tc>
        <w:tc>
          <w:tcPr>
            <w:tcW w:w="645" w:type="dxa"/>
            <w:vAlign w:val="center"/>
          </w:tcPr>
          <w:p w14:paraId="212A9ED6">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254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14:paraId="2BFA025F">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（七）其他不符合国务院水行政主管部门规定条件的。</w:t>
            </w:r>
          </w:p>
        </w:tc>
        <w:tc>
          <w:tcPr>
            <w:tcW w:w="5104" w:type="dxa"/>
            <w:vAlign w:val="center"/>
          </w:tcPr>
          <w:p w14:paraId="57A87977">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本次排污口的设置符合其他国务院水行政主管部门规定条件。</w:t>
            </w:r>
          </w:p>
        </w:tc>
        <w:tc>
          <w:tcPr>
            <w:tcW w:w="645" w:type="dxa"/>
            <w:vAlign w:val="center"/>
          </w:tcPr>
          <w:p w14:paraId="2E83D4C3">
            <w:pPr>
              <w:pStyle w:val="59"/>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36EB18E0">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.3.3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《水污染防治行动计划》的符合性</w:t>
      </w:r>
    </w:p>
    <w:p w14:paraId="3FC9495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根据国务院2015年4月2日发布的国发〔201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〕17号《水污染防治行动计划》：“</w:t>
      </w:r>
      <w:r>
        <w:rPr>
          <w:rFonts w:hAnsi="宋体"/>
          <w:color w:val="000000" w:themeColor="text1"/>
          <w14:textFill>
            <w14:solidFill>
              <w14:schemeClr w14:val="tx1"/>
            </w14:solidFill>
          </w14:textFill>
        </w:rPr>
        <w:t>水环境保护事关人民群众切身利益，事关全面建成小康社会，事关实现中华民族伟大复兴中国梦。当前，我国一些地区水环境质量差、水生态受损重、环境隐患多等问题十分突出，影响和损害群众健康，不利于经济社会持续发展。为切实加大水污染防治力度，保障国家水安全，制定本行动计划</w:t>
      </w:r>
      <w:r>
        <w:rPr>
          <w:rFonts w:hint="eastAsia"/>
          <w:color w:val="000000" w:themeColor="text1"/>
          <w14:textFill>
            <w14:solidFill>
              <w14:schemeClr w14:val="tx1"/>
            </w14:solidFill>
          </w14:textFill>
        </w:rPr>
        <w:t>”。“</w:t>
      </w:r>
      <w:r>
        <w:rPr>
          <w:rFonts w:hAnsi="宋体"/>
          <w:color w:val="000000" w:themeColor="text1"/>
          <w14:textFill>
            <w14:solidFill>
              <w14:schemeClr w14:val="tx1"/>
            </w14:solidFill>
          </w14:textFill>
        </w:rPr>
        <w:t>到</w:t>
      </w:r>
      <w:r>
        <w:rPr>
          <w:color w:val="000000" w:themeColor="text1"/>
          <w14:textFill>
            <w14:solidFill>
              <w14:schemeClr w14:val="tx1"/>
            </w14:solidFill>
          </w14:textFill>
        </w:rPr>
        <w:t>2020</w:t>
      </w:r>
      <w:r>
        <w:rPr>
          <w:rFonts w:hAnsi="宋体"/>
          <w:color w:val="000000" w:themeColor="text1"/>
          <w14:textFill>
            <w14:solidFill>
              <w14:schemeClr w14:val="tx1"/>
            </w14:solidFill>
          </w14:textFill>
        </w:rPr>
        <w:t>年，全国水环境质量得到阶段性改善，污染严重水体较大幅度减少，饮用水安全保障水平持续提升，地下水超采得到严格控制，地下水污染加剧趋势得到初步遏制，长江等七大重点流域水质优良比例总体达到</w:t>
      </w:r>
      <w:r>
        <w:rPr>
          <w:color w:val="000000" w:themeColor="text1"/>
          <w14:textFill>
            <w14:solidFill>
              <w14:schemeClr w14:val="tx1"/>
            </w14:solidFill>
          </w14:textFill>
        </w:rPr>
        <w:t>70%</w:t>
      </w:r>
      <w:r>
        <w:rPr>
          <w:rFonts w:hAnsi="宋体"/>
          <w:color w:val="000000" w:themeColor="text1"/>
          <w14:textFill>
            <w14:solidFill>
              <w14:schemeClr w14:val="tx1"/>
            </w14:solidFill>
          </w14:textFill>
        </w:rPr>
        <w:t>以上，全国地下水质量极差的比例控制在</w:t>
      </w:r>
      <w:r>
        <w:rPr>
          <w:color w:val="000000" w:themeColor="text1"/>
          <w14:textFill>
            <w14:solidFill>
              <w14:schemeClr w14:val="tx1"/>
            </w14:solidFill>
          </w14:textFill>
        </w:rPr>
        <w:t>15%</w:t>
      </w:r>
      <w:r>
        <w:rPr>
          <w:rFonts w:hAnsi="宋体"/>
          <w:color w:val="000000" w:themeColor="text1"/>
          <w14:textFill>
            <w14:solidFill>
              <w14:schemeClr w14:val="tx1"/>
            </w14:solidFill>
          </w14:textFill>
        </w:rPr>
        <w:t>左右。到</w:t>
      </w:r>
      <w:r>
        <w:rPr>
          <w:color w:val="000000" w:themeColor="text1"/>
          <w14:textFill>
            <w14:solidFill>
              <w14:schemeClr w14:val="tx1"/>
            </w14:solidFill>
          </w14:textFill>
        </w:rPr>
        <w:t>2030</w:t>
      </w:r>
      <w:r>
        <w:rPr>
          <w:rFonts w:hAnsi="宋体"/>
          <w:color w:val="000000" w:themeColor="text1"/>
          <w14:textFill>
            <w14:solidFill>
              <w14:schemeClr w14:val="tx1"/>
            </w14:solidFill>
          </w14:textFill>
        </w:rPr>
        <w:t>年，力争全国水环境质量总体改善，水生态系统功能初步恢复。到本世纪中叶，生态环境质量全面改善，生态系统实现良性循环。全国七大重点流域水质优良比例总体达到</w:t>
      </w:r>
      <w:r>
        <w:rPr>
          <w:color w:val="000000" w:themeColor="text1"/>
          <w14:textFill>
            <w14:solidFill>
              <w14:schemeClr w14:val="tx1"/>
            </w14:solidFill>
          </w14:textFill>
        </w:rPr>
        <w:t>75%</w:t>
      </w:r>
      <w:r>
        <w:rPr>
          <w:rFonts w:hAnsi="宋体"/>
          <w:color w:val="000000" w:themeColor="text1"/>
          <w14:textFill>
            <w14:solidFill>
              <w14:schemeClr w14:val="tx1"/>
            </w14:solidFill>
          </w14:textFill>
        </w:rPr>
        <w:t>以上</w:t>
      </w:r>
      <w:r>
        <w:rPr>
          <w:rFonts w:hint="eastAsia"/>
          <w:color w:val="000000" w:themeColor="text1"/>
          <w14:textFill>
            <w14:solidFill>
              <w14:schemeClr w14:val="tx1"/>
            </w14:solidFill>
          </w14:textFill>
        </w:rPr>
        <w:t>”。</w:t>
      </w:r>
    </w:p>
    <w:p w14:paraId="770383DF">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本项目污水厂的废水</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工艺为</w:t>
      </w:r>
      <w:bookmarkStart w:id="26" w:name="OLE_LINK3"/>
      <w:bookmarkStart w:id="27" w:name="OLE_LINK4"/>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AO工艺</w:t>
      </w:r>
      <w:bookmarkEnd w:id="26"/>
      <w:bookmarkEnd w:id="27"/>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，出水能够稳定达到国家《城镇污水处理厂污染物排放标准》（GB 18918-2002）一级B标准，有利于地表水环境的改善。因此本项目符合《水污染防治行动计划》的相关要求</w:t>
      </w:r>
      <w:r>
        <w:rPr>
          <w:rFonts w:hint="eastAsia"/>
          <w:color w:val="000000" w:themeColor="text1"/>
          <w14:textFill>
            <w14:solidFill>
              <w14:schemeClr w14:val="tx1"/>
            </w14:solidFill>
          </w14:textFill>
        </w:rPr>
        <w:t>。</w:t>
      </w:r>
    </w:p>
    <w:p w14:paraId="01BC539C">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.3.4 </w:t>
      </w:r>
      <w:r>
        <w:rPr>
          <w:rFonts w:hint="eastAsia"/>
          <w:color w:val="000000" w:themeColor="text1"/>
          <w14:textFill>
            <w14:solidFill>
              <w14:schemeClr w14:val="tx1"/>
            </w14:solidFill>
          </w14:textFill>
        </w:rPr>
        <w:t>与《重庆市水污染防治条例》的符合性</w:t>
      </w:r>
    </w:p>
    <w:p w14:paraId="7E6CF832">
      <w:pPr>
        <w:ind w:firstLine="480"/>
        <w:rPr>
          <w:color w:val="000000" w:themeColor="text1"/>
          <w14:textFill>
            <w14:solidFill>
              <w14:schemeClr w14:val="tx1"/>
            </w14:solidFill>
          </w14:textFill>
        </w:rPr>
      </w:pPr>
      <w:r>
        <w:rPr>
          <w:color w:val="000000" w:themeColor="text1"/>
          <w14:textFill>
            <w14:solidFill>
              <w14:schemeClr w14:val="tx1"/>
            </w14:solidFill>
          </w14:textFill>
        </w:rPr>
        <w:t>根据《重庆市水污染防治条例》：</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六条向水体排放水污染物，不得超过国家或者本市规定的水污染物排放标准和重点水污染排放总量控制指标。直接或者间接向水体排放工业废水和医疗污水以及其他按照规定应当取得排污许可证方可排放废水、污水的企业事业单位和其他生产经营者，城乡污水集中处理设施的运营单位，应当按照规定取得排污许可证。排污许可证应当明确排放水污染物的种类、浓度、总量和排放去向等要求。禁止企业事业单位和其他生产经营者无排污许可证或者违反排污许可证的规定向水体排放废水、污水。</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第十七条企业事业单位和其他生产经营者应当按照相关要求依法设置排污口，并确保排污口污水达标排放。排污口应当设置明显标志牌，标明监督管理单位和</w:t>
      </w:r>
      <w:r>
        <w:fldChar w:fldCharType="begin"/>
      </w:r>
      <w:r>
        <w:instrText xml:space="preserve"> HYPERLINK "https://baike.baidu.com/item/%E6%8A%95%E8%AF%89%E4%B8%BE%E6%8A%A5/9158565" \t "_blank" </w:instrText>
      </w:r>
      <w:r>
        <w:fldChar w:fldCharType="separate"/>
      </w:r>
      <w:r>
        <w:rPr>
          <w:color w:val="000000" w:themeColor="text1"/>
          <w14:textFill>
            <w14:solidFill>
              <w14:schemeClr w14:val="tx1"/>
            </w14:solidFill>
          </w14:textFill>
        </w:rPr>
        <w:t>投诉举报</w:t>
      </w:r>
      <w:r>
        <w:rPr>
          <w:color w:val="000000" w:themeColor="text1"/>
          <w14:textFill>
            <w14:solidFill>
              <w14:schemeClr w14:val="tx1"/>
            </w14:solidFill>
          </w14:textFill>
        </w:rPr>
        <w:fldChar w:fldCharType="end"/>
      </w:r>
      <w:r>
        <w:rPr>
          <w:color w:val="000000" w:themeColor="text1"/>
          <w14:textFill>
            <w14:solidFill>
              <w14:schemeClr w14:val="tx1"/>
            </w14:solidFill>
          </w14:textFill>
        </w:rPr>
        <w:t>电话等。</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十八条企业事业单位和其他生产经营者应当保持水污染防治设施的正常使用，如实记录污染防治设施的运行、维护和污染物排放等情况备查。实行排污许可管理的企业事业单位和其他生产经营者应当按照国家有关规定和监测规范，对所排放的水污染物自行监测，保存原始监测记录，并对监测数据的真实性和准确性负责。重点排污单位应当按照国家和本市有关规定安装水污染物排放自动监测设备，与生态环境主管部门的监控设备联网，并保证监测设备正常运行。禁止利用渗井、渗坑、裂隙、溶洞，私设暗管，篡改、伪造监测数据，或者不正常运行水污染防治设施等逃避监管的方式排放水污染物。</w:t>
      </w:r>
      <w:r>
        <w:rPr>
          <w:rFonts w:ascii="宋体" w:hAnsi="宋体"/>
          <w:color w:val="000000" w:themeColor="text1"/>
          <w14:textFill>
            <w14:solidFill>
              <w14:schemeClr w14:val="tx1"/>
            </w14:solidFill>
          </w14:textFill>
        </w:rPr>
        <w:t>”</w:t>
      </w:r>
    </w:p>
    <w:p w14:paraId="29714CDF">
      <w:pPr>
        <w:ind w:firstLine="48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三条城乡生活污水集中处理设施的运营单位，应当保持处理设施的正常运行，符合国家和本市规定的排放标准，并对城乡生活污水集中处理设施的出水水质负责。城乡生活污水集中处理设施的运营单位或者污泥处理处置单位应当安全处理处置污泥，保证处理处置后的污泥符合国家标准，并对污泥的去向等进行记录，防止造成二次污染。</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第三十四条市、区县（自治县）人民政府应当制定并实施海绵城市规划，加强对初期雨水的排放调控和污染防治。</w:t>
      </w:r>
      <w:r>
        <w:rPr>
          <w:rFonts w:ascii="宋体" w:hAnsi="宋体"/>
          <w:color w:val="000000" w:themeColor="text1"/>
          <w14:textFill>
            <w14:solidFill>
              <w14:schemeClr w14:val="tx1"/>
            </w14:solidFill>
          </w14:textFill>
        </w:rPr>
        <w:t>”</w:t>
      </w:r>
    </w:p>
    <w:p w14:paraId="1CE260B3">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本项目尾水达</w:t>
      </w:r>
      <w:r>
        <w:rPr>
          <w:rFonts w:hAnsi="宋体"/>
          <w:color w:val="000000" w:themeColor="text1"/>
          <w14:textFill>
            <w14:solidFill>
              <w14:schemeClr w14:val="tx1"/>
            </w14:solidFill>
          </w14:textFill>
        </w:rPr>
        <w:t>《城镇污水处理厂污染物排放标准》（</w:t>
      </w:r>
      <w:r>
        <w:rPr>
          <w:color w:val="000000" w:themeColor="text1"/>
          <w14:textFill>
            <w14:solidFill>
              <w14:schemeClr w14:val="tx1"/>
            </w14:solidFill>
          </w14:textFill>
        </w:rPr>
        <w:t>GB 18918-2002）</w:t>
      </w:r>
      <w:r>
        <w:rPr>
          <w:rFonts w:hAnsi="宋体"/>
          <w:color w:val="000000" w:themeColor="text1"/>
          <w14:textFill>
            <w14:solidFill>
              <w14:schemeClr w14:val="tx1"/>
            </w14:solidFill>
          </w14:textFill>
        </w:rPr>
        <w:t>一级</w:t>
      </w:r>
      <w:r>
        <w:rPr>
          <w:rFonts w:hint="eastAsia"/>
          <w:color w:val="000000" w:themeColor="text1"/>
          <w14:textFill>
            <w14:solidFill>
              <w14:schemeClr w14:val="tx1"/>
            </w14:solidFill>
          </w14:textFill>
        </w:rPr>
        <w:t>B</w:t>
      </w:r>
      <w:r>
        <w:rPr>
          <w:rFonts w:hAnsi="宋体"/>
          <w:color w:val="000000" w:themeColor="text1"/>
          <w14:textFill>
            <w14:solidFill>
              <w14:schemeClr w14:val="tx1"/>
            </w14:solidFill>
          </w14:textFill>
        </w:rPr>
        <w:t>标准</w:t>
      </w:r>
      <w:r>
        <w:rPr>
          <w:color w:val="000000" w:themeColor="text1"/>
          <w14:textFill>
            <w14:solidFill>
              <w14:schemeClr w14:val="tx1"/>
            </w14:solidFill>
          </w14:textFill>
        </w:rPr>
        <w:t>后排入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。同时按要求取得排污许可证，排污口设置标识标牌，设置自动监测设备等。综上所述，本项目符合《重庆市水污染防治条例》的要求。</w:t>
      </w:r>
    </w:p>
    <w:p w14:paraId="5C6B841E">
      <w:pPr>
        <w:pStyle w:val="45"/>
        <w:rPr>
          <w:color w:val="000000" w:themeColor="text1"/>
          <w14:textFill>
            <w14:solidFill>
              <w14:schemeClr w14:val="tx1"/>
            </w14:solidFill>
          </w14:textFill>
        </w:rPr>
      </w:pPr>
      <w:bookmarkStart w:id="28" w:name="_Toc104903752"/>
      <w:bookmarkStart w:id="29" w:name="_Toc104903737"/>
      <w:bookmarkStart w:id="30" w:name="_Toc467139911"/>
      <w:bookmarkStart w:id="31" w:name="_Toc24551"/>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.3.5 </w:t>
      </w:r>
      <w:bookmarkEnd w:id="28"/>
      <w:r>
        <w:rPr>
          <w:rFonts w:hint="eastAsia"/>
          <w:color w:val="000000" w:themeColor="text1"/>
          <w14:textFill>
            <w14:solidFill>
              <w14:schemeClr w14:val="tx1"/>
            </w14:solidFill>
          </w14:textFill>
        </w:rPr>
        <w:t>与“三线一单”符合性分析</w:t>
      </w:r>
    </w:p>
    <w:p w14:paraId="063666B5">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14:paraId="55904B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根据《重庆市人民政府关于发布重庆市生态保护红线的通知》（渝府发〔2018〕25号），彭水县共划定生态保护红线面积1499.17km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占全区国土面积的38.49%。彭水县的生态保护红线主要有饮用水源地（郁江关口取水泵站饮用水水源保护区）、自然保护区（长溪河市级自然保护区、茂云山县级自然保护区、七跃山县级自然保护区）、森林公园（茂云山国家森林公园）、风景名胜区（芙蓉江国家级风景名胜区）、重点生态功能区（生物多样性维护功能区）等五大类。项目所在区域不属于彭水县划定的生态红线范围内，本项目符合生态保护红线的要求。</w:t>
      </w:r>
    </w:p>
    <w:p w14:paraId="4E99C83E">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14:paraId="5A79193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芦塘乡（板栗村）污水处理厂项目所在区域乌江水质能满足《地表水环境质量标准》（GB</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3838-2002）III类水域水质要求。</w:t>
      </w:r>
    </w:p>
    <w:p w14:paraId="4614CF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根据分析，项目运营期产生的各类污染物通过采取有效的污染物防治措施后，均能实现达标排放，符合环境质量底线要求</w:t>
      </w:r>
      <w:r>
        <w:rPr>
          <w:color w:val="000000" w:themeColor="text1"/>
          <w14:textFill>
            <w14:solidFill>
              <w14:schemeClr w14:val="tx1"/>
            </w14:solidFill>
          </w14:textFill>
        </w:rPr>
        <w:t>。</w:t>
      </w:r>
    </w:p>
    <w:p w14:paraId="2466BFF0">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（3）资源利用上限</w:t>
      </w:r>
    </w:p>
    <w:p w14:paraId="02D3335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项目属于污水处理厂建设项目，不属于高能耗、高污染、资源型项目，用水来当地自来水供应，用电来自当地市政供电管网。项目的水、电等资源利用不会突破所在区域的资源利用上线</w:t>
      </w:r>
      <w:r>
        <w:rPr>
          <w:color w:val="000000" w:themeColor="text1"/>
          <w14:textFill>
            <w14:solidFill>
              <w14:schemeClr w14:val="tx1"/>
            </w14:solidFill>
          </w14:textFill>
        </w:rPr>
        <w:t>。</w:t>
      </w:r>
    </w:p>
    <w:p w14:paraId="53A0C6DC">
      <w:pPr>
        <w:ind w:firstLine="480"/>
        <w:rPr>
          <w:color w:val="000000" w:themeColor="text1"/>
          <w14:textFill>
            <w14:solidFill>
              <w14:schemeClr w14:val="tx1"/>
            </w14:solidFill>
          </w14:textFill>
        </w:rPr>
      </w:pPr>
      <w:r>
        <w:rPr>
          <w:color w:val="000000" w:themeColor="text1"/>
          <w14:textFill>
            <w14:solidFill>
              <w14:schemeClr w14:val="tx1"/>
            </w14:solidFill>
          </w14:textFill>
        </w:rPr>
        <w:t>（4）环境准入负面清单</w:t>
      </w:r>
    </w:p>
    <w:p w14:paraId="4F4D596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重庆市重点管控单元市级总体管控要求如下：</w:t>
      </w:r>
    </w:p>
    <w:p w14:paraId="2509165B">
      <w:pPr>
        <w:ind w:firstLine="198" w:firstLineChars="94"/>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5</w:t>
      </w:r>
      <w:r>
        <w:rPr>
          <w:rFonts w:cs="Times New Roman"/>
          <w:b/>
          <w:color w:val="000000" w:themeColor="text1"/>
          <w:sz w:val="21"/>
          <w:szCs w:val="21"/>
          <w14:textFill>
            <w14:solidFill>
              <w14:schemeClr w14:val="tx1"/>
            </w14:solidFill>
          </w14:textFill>
        </w:rPr>
        <w:t>.3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重庆市重点管控单元市级总体管控要求表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256"/>
        <w:gridCol w:w="1392"/>
      </w:tblGrid>
      <w:tr w14:paraId="6922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Align w:val="center"/>
          </w:tcPr>
          <w:p w14:paraId="2D73FE5A">
            <w:pPr>
              <w:pStyle w:val="123"/>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管控类型</w:t>
            </w:r>
          </w:p>
        </w:tc>
        <w:tc>
          <w:tcPr>
            <w:tcW w:w="6090" w:type="dxa"/>
            <w:vAlign w:val="center"/>
          </w:tcPr>
          <w:p w14:paraId="54EB19C8">
            <w:pPr>
              <w:pStyle w:val="123"/>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管控要求</w:t>
            </w:r>
          </w:p>
        </w:tc>
        <w:tc>
          <w:tcPr>
            <w:tcW w:w="1355" w:type="dxa"/>
            <w:vAlign w:val="center"/>
          </w:tcPr>
          <w:p w14:paraId="4B82D688">
            <w:pPr>
              <w:pStyle w:val="123"/>
              <w:ind w:firstLine="422"/>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1A1E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2C64B0E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空间布局约束</w:t>
            </w:r>
          </w:p>
        </w:tc>
        <w:tc>
          <w:tcPr>
            <w:tcW w:w="6090" w:type="dxa"/>
            <w:vAlign w:val="center"/>
          </w:tcPr>
          <w:p w14:paraId="7505E04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rPr>
                <w:rFonts w:ascii="Times New Roman" w:hAnsi="Times New Roman" w:eastAsia="宋体" w:cs="Times New Roman"/>
                <w:bCs/>
                <w:color w:val="000000" w:themeColor="text1"/>
                <w:kern w:val="0"/>
                <w:szCs w:val="21"/>
                <w14:textFill>
                  <w14:solidFill>
                    <w14:schemeClr w14:val="tx1"/>
                  </w14:solidFill>
                </w14:textFill>
              </w:rPr>
              <w:t>城乡融合发展</w:t>
            </w:r>
            <w:r>
              <w:rPr>
                <w:rFonts w:ascii="Times New Roman" w:hAnsi="Times New Roman" w:eastAsia="宋体" w:cs="Times New Roman"/>
                <w:bCs/>
                <w:color w:val="000000" w:themeColor="text1"/>
                <w:kern w:val="0"/>
                <w:szCs w:val="21"/>
                <w14:textFill>
                  <w14:solidFill>
                    <w14:schemeClr w14:val="tx1"/>
                  </w14:solidFill>
                </w14:textFill>
              </w:rPr>
              <w:fldChar w:fldCharType="end"/>
            </w:r>
            <w:r>
              <w:rPr>
                <w:rFonts w:ascii="Times New Roman" w:hAnsi="Times New Roman" w:eastAsia="宋体" w:cs="Times New Roman"/>
                <w:bCs/>
                <w:color w:val="000000" w:themeColor="text1"/>
                <w:kern w:val="0"/>
                <w:szCs w:val="21"/>
                <w14:textFill>
                  <w14:solidFill>
                    <w14:schemeClr w14:val="tx1"/>
                  </w14:solidFill>
                </w14:textFill>
              </w:rPr>
              <w:t>，优化重点区域、流域、产业的空间布局。</w:t>
            </w:r>
          </w:p>
        </w:tc>
        <w:tc>
          <w:tcPr>
            <w:tcW w:w="1355" w:type="dxa"/>
            <w:vMerge w:val="restart"/>
            <w:vAlign w:val="center"/>
          </w:tcPr>
          <w:p w14:paraId="780DED2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本项目为基础设施建设项目。</w:t>
            </w:r>
          </w:p>
        </w:tc>
      </w:tr>
      <w:tr w14:paraId="0295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7BD351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0EF1E7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w:t>
            </w:r>
          </w:p>
        </w:tc>
        <w:tc>
          <w:tcPr>
            <w:tcW w:w="1355" w:type="dxa"/>
            <w:vMerge w:val="continue"/>
            <w:vAlign w:val="center"/>
          </w:tcPr>
          <w:p w14:paraId="06DA17A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695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7E8AA6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0292B9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第三条  禁止在合规园区外新建、扩建钢铁、石化、化工、焦化、建材、有色、制浆造纸等高污染项目（高污染项目严格按照《环境保护综合名录(2021年版）》“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55" w:type="dxa"/>
            <w:vMerge w:val="continue"/>
            <w:vAlign w:val="center"/>
          </w:tcPr>
          <w:p w14:paraId="74788C2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934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EC3288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2A22C47">
            <w:pPr>
              <w:pStyle w:val="10"/>
              <w:numPr>
                <w:ilvl w:val="0"/>
                <w:numId w:val="8"/>
              </w:numPr>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严把项目准入关口，对不符合要求的高耗能、高排放、低水平项目坚决不予准入。加快布局分散的企业向园区集中，鼓励现有工业项目、化工项目分别搬入工业集聚区、化工产业集聚区。</w:t>
            </w:r>
          </w:p>
        </w:tc>
        <w:tc>
          <w:tcPr>
            <w:tcW w:w="1355" w:type="dxa"/>
            <w:vMerge w:val="continue"/>
            <w:vAlign w:val="center"/>
          </w:tcPr>
          <w:p w14:paraId="53B38DF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B57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1D6335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76F63D4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第五条  新建、扩建的重有色金属冶炼、电镀、制革企业优先选择布设在依法合规设立并经规划环评的产业园区。</w:t>
            </w:r>
          </w:p>
        </w:tc>
        <w:tc>
          <w:tcPr>
            <w:tcW w:w="1355" w:type="dxa"/>
            <w:vMerge w:val="continue"/>
            <w:vAlign w:val="center"/>
          </w:tcPr>
          <w:p w14:paraId="71A7B31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10F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0E2BE0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EB1F271">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第六条  涉及环境防护距离的工业企业或项目应通过选址或调整布局原则上应控制在园区边界或用地红线内，防范工业集聚区涉生态环境“邻避”问题。</w:t>
            </w:r>
          </w:p>
        </w:tc>
        <w:tc>
          <w:tcPr>
            <w:tcW w:w="1355" w:type="dxa"/>
            <w:vMerge w:val="continue"/>
            <w:vAlign w:val="center"/>
          </w:tcPr>
          <w:p w14:paraId="506F924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7F68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9DF7AA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05AF918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第七条  优化居住、工业、商业、交通、生态等功能空间布局，开发活动限制在资源环境承载能力之内。</w:t>
            </w:r>
          </w:p>
        </w:tc>
        <w:tc>
          <w:tcPr>
            <w:tcW w:w="1355" w:type="dxa"/>
            <w:vMerge w:val="continue"/>
            <w:vAlign w:val="center"/>
          </w:tcPr>
          <w:p w14:paraId="22373CB8">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1842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211E674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污染物排放管控</w:t>
            </w:r>
          </w:p>
        </w:tc>
        <w:tc>
          <w:tcPr>
            <w:tcW w:w="6090" w:type="dxa"/>
            <w:vAlign w:val="center"/>
          </w:tcPr>
          <w:p w14:paraId="4CC6FB1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w:t>
            </w:r>
          </w:p>
        </w:tc>
        <w:tc>
          <w:tcPr>
            <w:tcW w:w="1355" w:type="dxa"/>
            <w:vMerge w:val="restart"/>
            <w:vAlign w:val="center"/>
          </w:tcPr>
          <w:p w14:paraId="1C38042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本项目为建制乡镇生活污水处理设施，其出水水质达</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p>
        </w:tc>
      </w:tr>
      <w:tr w14:paraId="33A7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7E408B2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937C94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55" w:type="dxa"/>
            <w:vMerge w:val="continue"/>
            <w:vAlign w:val="center"/>
          </w:tcPr>
          <w:p w14:paraId="26B8AA4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2F39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5A4CB2CB">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174ED49">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55" w:type="dxa"/>
            <w:vMerge w:val="continue"/>
            <w:vAlign w:val="center"/>
          </w:tcPr>
          <w:p w14:paraId="2C003A0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634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0DF1EA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4B60CF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55" w:type="dxa"/>
            <w:vMerge w:val="continue"/>
            <w:vAlign w:val="center"/>
          </w:tcPr>
          <w:p w14:paraId="030F036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4B5C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782AAB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07303D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第十二条  推进乡镇生活污水处理设施达标改造。新建城市生活污水处理厂全部按照《城镇污水处理厂污染物排放标准》（GB18918-2002）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一级A标及以上排放标准设计、施工、验收，设建制乡镇生活污水处理施出水水质不得低于</w:t>
            </w:r>
            <w:r>
              <w:rPr>
                <w:rFonts w:ascii="Times New Roman" w:hAnsi="Times New Roman" w:eastAsia="宋体" w:cs="Times New Roman"/>
                <w:bCs/>
                <w:color w:val="000000" w:themeColor="text1"/>
                <w:kern w:val="0"/>
                <w:szCs w:val="21"/>
                <w14:textFill>
                  <w14:solidFill>
                    <w14:schemeClr w14:val="tx1"/>
                  </w14:solidFill>
                </w14:textFill>
              </w:rPr>
              <w:t>《城镇污水处理厂污染物排放标准》（GB18918-2002）</w:t>
            </w:r>
            <w:r>
              <w:rPr>
                <w:rFonts w:ascii="Times New Roman" w:hAnsi="Times New Roman" w:eastAsia="宋体" w:cs="Times New Roman"/>
                <w:bCs/>
                <w:color w:val="000000" w:themeColor="text1"/>
                <w:kern w:val="0"/>
                <w:szCs w:val="21"/>
                <w:lang w:bidi="ar"/>
                <w14:textFill>
                  <w14:solidFill>
                    <w14:schemeClr w14:val="tx1"/>
                  </w14:solidFill>
                </w14:textFill>
              </w:rPr>
              <w:t>一级B标排放标准；</w:t>
            </w:r>
            <w:r>
              <w:rPr>
                <w:rFonts w:ascii="Times New Roman" w:hAnsi="Times New Roman" w:eastAsia="宋体" w:cs="Times New Roman"/>
                <w:bCs/>
                <w:color w:val="000000" w:themeColor="text1"/>
                <w:kern w:val="0"/>
                <w:szCs w:val="21"/>
                <w14:textFill>
                  <w14:solidFill>
                    <w14:schemeClr w14:val="tx1"/>
                  </w14:solidFill>
                </w14:textFill>
              </w:rPr>
              <w:t>对现有截留制排水管网实施雨污分流改造，针对无法彻底雨污分流的老城区，尊重现实合理保留截留制区域，提高截留倍数；对新建的排水管网，全部按照雨污分流模式实施建设。</w:t>
            </w:r>
          </w:p>
        </w:tc>
        <w:tc>
          <w:tcPr>
            <w:tcW w:w="1355" w:type="dxa"/>
            <w:vMerge w:val="continue"/>
            <w:vAlign w:val="center"/>
          </w:tcPr>
          <w:p w14:paraId="5D4679F6">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2F2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7087A6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205EFC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55" w:type="dxa"/>
            <w:vMerge w:val="continue"/>
            <w:vAlign w:val="center"/>
          </w:tcPr>
          <w:p w14:paraId="2EF6CED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F3F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C0959D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3DE371A7">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55" w:type="dxa"/>
            <w:vMerge w:val="continue"/>
            <w:vAlign w:val="center"/>
          </w:tcPr>
          <w:p w14:paraId="7FC9E99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6833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020EE16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25532F65">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建设，巩固提升建设经验，着力突出区域特色，切实解决突出问题，积极培育“无废文化”。</w:t>
            </w:r>
          </w:p>
        </w:tc>
        <w:tc>
          <w:tcPr>
            <w:tcW w:w="1355" w:type="dxa"/>
            <w:vMerge w:val="continue"/>
            <w:vAlign w:val="center"/>
          </w:tcPr>
          <w:p w14:paraId="6A5844F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3D7C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01BC218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环境风险防控</w:t>
            </w:r>
          </w:p>
        </w:tc>
        <w:tc>
          <w:tcPr>
            <w:tcW w:w="6090" w:type="dxa"/>
            <w:vAlign w:val="center"/>
          </w:tcPr>
          <w:p w14:paraId="04006A0F">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第十六条  深入开展行政区域、重点流域、重点饮用水源、化工园区等突发环境事件风险评估，建立区域突发环境</w:t>
            </w:r>
            <w:r>
              <w:rPr>
                <w:rFonts w:hint="eastAsia" w:ascii="Times New Roman" w:hAnsi="Times New Roman" w:eastAsia="宋体" w:cs="Times New Roman"/>
                <w:bCs/>
                <w:color w:val="000000" w:themeColor="text1"/>
                <w:kern w:val="0"/>
                <w:szCs w:val="21"/>
                <w14:textFill>
                  <w14:solidFill>
                    <w14:schemeClr w14:val="tx1"/>
                  </w14:solidFill>
                </w14:textFill>
              </w:rPr>
              <w:t>事件</w:t>
            </w:r>
            <w:r>
              <w:rPr>
                <w:rFonts w:ascii="Times New Roman" w:hAnsi="Times New Roman" w:eastAsia="宋体" w:cs="Times New Roman"/>
                <w:bCs/>
                <w:color w:val="000000" w:themeColor="text1"/>
                <w:kern w:val="0"/>
                <w:szCs w:val="21"/>
                <w14:textFill>
                  <w14:solidFill>
                    <w14:schemeClr w14:val="tx1"/>
                  </w14:solidFill>
                </w14:textFill>
              </w:rPr>
              <w:t>风险评估数据信息获取与动态更新机制。落实企业突发环境事件风险评估制度，推进突发环境事件风险分类分级管理，严格监管重大突发环境事件风险企业。</w:t>
            </w:r>
          </w:p>
        </w:tc>
        <w:tc>
          <w:tcPr>
            <w:tcW w:w="1355" w:type="dxa"/>
            <w:vMerge w:val="restart"/>
            <w:vAlign w:val="center"/>
          </w:tcPr>
          <w:p w14:paraId="4F49A8F1">
            <w:pPr>
              <w:pStyle w:val="10"/>
              <w:adjustRightInd w:val="0"/>
              <w:snapToGrid w:val="0"/>
              <w:spacing w:after="0"/>
              <w:jc w:val="left"/>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本项目落实了企业突发环境事件风险评估，编制了应急预案，并定期开展了应急演练。</w:t>
            </w:r>
          </w:p>
        </w:tc>
      </w:tr>
      <w:tr w14:paraId="09F1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75EE60D">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1549FB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第十七条  强化化工园区涉水突发环境事件四级环境风险防范体系建设。持续推进重点化工园区建设有毒有害气体监测预警体系和水质生物毒性预警体系。</w:t>
            </w:r>
          </w:p>
        </w:tc>
        <w:tc>
          <w:tcPr>
            <w:tcW w:w="1355" w:type="dxa"/>
            <w:vMerge w:val="continue"/>
            <w:vAlign w:val="center"/>
          </w:tcPr>
          <w:p w14:paraId="17078DE3">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006D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14:paraId="56ABCB54">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资源利用效率</w:t>
            </w:r>
          </w:p>
        </w:tc>
        <w:tc>
          <w:tcPr>
            <w:tcW w:w="6090" w:type="dxa"/>
            <w:vAlign w:val="center"/>
          </w:tcPr>
          <w:p w14:paraId="678DDB6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第十八条  实施能源领域碳达峰碳中和行动，发展壮大清洁能源产业，推动能源清洁低碳安全高效开发利用，促进重点用能领域能效提升。</w:t>
            </w:r>
          </w:p>
        </w:tc>
        <w:tc>
          <w:tcPr>
            <w:tcW w:w="1355" w:type="dxa"/>
            <w:vMerge w:val="restart"/>
            <w:vAlign w:val="center"/>
          </w:tcPr>
          <w:p w14:paraId="3F94D0EC">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本项目为污水处理厂建设项目，用水量仅员工生活，用量少。</w:t>
            </w:r>
          </w:p>
        </w:tc>
      </w:tr>
      <w:tr w14:paraId="3BEE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6565020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672B0F59">
            <w:pPr>
              <w:pStyle w:val="10"/>
              <w:adjustRightInd w:val="0"/>
              <w:snapToGrid w:val="0"/>
              <w:spacing w:after="0"/>
              <w:rPr>
                <w:rFonts w:ascii="Times New Roman" w:hAnsi="Times New Roman" w:eastAsia="宋体" w:cs="Times New Roman"/>
                <w:bCs/>
                <w:color w:val="000000" w:themeColor="text1"/>
                <w:kern w:val="0"/>
                <w:szCs w:val="21"/>
                <w:shd w:val="clear" w:color="auto" w:fill="FFFFFF"/>
                <w14:textFill>
                  <w14:solidFill>
                    <w14:schemeClr w14:val="tx1"/>
                  </w14:solidFill>
                </w14:textFill>
              </w:rPr>
            </w:pPr>
            <w:r>
              <w:rPr>
                <w:rFonts w:ascii="Times New Roman" w:hAnsi="Times New Roman" w:eastAsia="宋体" w:cs="Times New Roman"/>
                <w:bCs/>
                <w:color w:val="000000" w:themeColor="text1"/>
                <w:kern w:val="0"/>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55" w:type="dxa"/>
            <w:vMerge w:val="continue"/>
            <w:vAlign w:val="center"/>
          </w:tcPr>
          <w:p w14:paraId="3D69DAD2">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r>
      <w:tr w14:paraId="5E18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290DE73E">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5237FA7E">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1355" w:type="dxa"/>
            <w:vMerge w:val="continue"/>
            <w:vAlign w:val="center"/>
          </w:tcPr>
          <w:p w14:paraId="5A332A63">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r w14:paraId="709B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3A42E200">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1DFC4F9A">
            <w:pPr>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引导区域工业布局和产业结构调整，大力推广工业水循环利用，加快淘汰落后用水工艺和技术。</w:t>
            </w:r>
          </w:p>
        </w:tc>
        <w:tc>
          <w:tcPr>
            <w:tcW w:w="1355" w:type="dxa"/>
            <w:vMerge w:val="continue"/>
            <w:vAlign w:val="center"/>
          </w:tcPr>
          <w:p w14:paraId="7AE0310D">
            <w:pPr>
              <w:spacing w:line="240" w:lineRule="auto"/>
              <w:ind w:firstLine="0" w:firstLineChars="0"/>
              <w:rPr>
                <w:rFonts w:cs="Times New Roman"/>
                <w:bCs/>
                <w:color w:val="000000" w:themeColor="text1"/>
                <w:sz w:val="21"/>
                <w:szCs w:val="21"/>
                <w14:textFill>
                  <w14:solidFill>
                    <w14:schemeClr w14:val="tx1"/>
                  </w14:solidFill>
                </w14:textFill>
              </w:rPr>
            </w:pPr>
          </w:p>
        </w:tc>
      </w:tr>
      <w:tr w14:paraId="5F6D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14:paraId="1DBFC56A">
            <w:pPr>
              <w:pStyle w:val="10"/>
              <w:adjustRightInd w:val="0"/>
              <w:snapToGrid w:val="0"/>
              <w:spacing w:after="0"/>
              <w:rPr>
                <w:rFonts w:ascii="Times New Roman" w:hAnsi="Times New Roman" w:eastAsia="宋体" w:cs="Times New Roman"/>
                <w:bCs/>
                <w:color w:val="000000" w:themeColor="text1"/>
                <w:kern w:val="0"/>
                <w:szCs w:val="21"/>
                <w14:textFill>
                  <w14:solidFill>
                    <w14:schemeClr w14:val="tx1"/>
                  </w14:solidFill>
                </w14:textFill>
              </w:rPr>
            </w:pPr>
          </w:p>
        </w:tc>
        <w:tc>
          <w:tcPr>
            <w:tcW w:w="6090" w:type="dxa"/>
            <w:vAlign w:val="center"/>
          </w:tcPr>
          <w:p w14:paraId="46E2C2AE">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第二十二条  加快推进节水配套设施建设，加强再生水、雨水等非常规水多元、梯级和安全利用；结合现有污水处理设施提标升级扩能改造，系统规划城镇污水再生利用设施；进一步扩大再生水利用范围、利用量和完善再生水管网“末梢”，逐步提升再生水利用率。</w:t>
            </w:r>
          </w:p>
        </w:tc>
        <w:tc>
          <w:tcPr>
            <w:tcW w:w="1355" w:type="dxa"/>
            <w:vMerge w:val="continue"/>
            <w:vAlign w:val="center"/>
          </w:tcPr>
          <w:p w14:paraId="0CF27612">
            <w:pPr>
              <w:shd w:val="clear" w:color="auto" w:fill="FFFFFF"/>
              <w:spacing w:line="240" w:lineRule="auto"/>
              <w:ind w:firstLine="0" w:firstLineChars="0"/>
              <w:rPr>
                <w:rFonts w:cs="Times New Roman"/>
                <w:bCs/>
                <w:color w:val="000000" w:themeColor="text1"/>
                <w:sz w:val="21"/>
                <w:szCs w:val="21"/>
                <w14:textFill>
                  <w14:solidFill>
                    <w14:schemeClr w14:val="tx1"/>
                  </w14:solidFill>
                </w14:textFill>
              </w:rPr>
            </w:pPr>
          </w:p>
        </w:tc>
      </w:tr>
    </w:tbl>
    <w:p w14:paraId="568984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根据《彭水自治县“三线一单”生态环境分区管控调整方案（2023年）》，彭水自治县生态环境准入清单总体管控要求如下</w:t>
      </w:r>
      <w:r>
        <w:rPr>
          <w:color w:val="000000" w:themeColor="text1"/>
          <w14:textFill>
            <w14:solidFill>
              <w14:schemeClr w14:val="tx1"/>
            </w14:solidFill>
          </w14:textFill>
        </w:rPr>
        <w:t>：</w:t>
      </w:r>
    </w:p>
    <w:p w14:paraId="3F257868">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表5.3</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3  </w:t>
      </w:r>
      <w:r>
        <w:rPr>
          <w:rFonts w:hint="eastAsia" w:cs="Times New Roman"/>
          <w:b/>
          <w:color w:val="000000" w:themeColor="text1"/>
          <w:sz w:val="21"/>
          <w:szCs w:val="21"/>
          <w14:textFill>
            <w14:solidFill>
              <w14:schemeClr w14:val="tx1"/>
            </w14:solidFill>
          </w14:textFill>
        </w:rPr>
        <w:t>彭水自治县生态环境准入清单总体管控要求（2023 年）</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5534"/>
        <w:gridCol w:w="1829"/>
      </w:tblGrid>
      <w:tr w14:paraId="4847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256F71C9">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管控类别</w:t>
            </w:r>
          </w:p>
        </w:tc>
        <w:tc>
          <w:tcPr>
            <w:tcW w:w="3247" w:type="pct"/>
            <w:vAlign w:val="center"/>
          </w:tcPr>
          <w:p w14:paraId="3A985919">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管控要求</w:t>
            </w:r>
          </w:p>
        </w:tc>
        <w:tc>
          <w:tcPr>
            <w:tcW w:w="1073" w:type="pct"/>
            <w:vAlign w:val="center"/>
          </w:tcPr>
          <w:p w14:paraId="2ED0C4A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符合性</w:t>
            </w:r>
          </w:p>
        </w:tc>
      </w:tr>
      <w:tr w14:paraId="6C7A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1260CBBB">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247" w:type="pct"/>
            <w:vAlign w:val="center"/>
          </w:tcPr>
          <w:p w14:paraId="2020750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第一条 执行重点管控单元市级总体要求第一条、第二条、第三条、第四条、第五条、第六条和第七条。</w:t>
            </w:r>
          </w:p>
        </w:tc>
        <w:tc>
          <w:tcPr>
            <w:tcW w:w="1073" w:type="pct"/>
            <w:vMerge w:val="restart"/>
            <w:vAlign w:val="center"/>
          </w:tcPr>
          <w:p w14:paraId="6E281BF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本项目为基础设施建设项目。</w:t>
            </w:r>
          </w:p>
        </w:tc>
      </w:tr>
      <w:tr w14:paraId="30AE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06EFDE8B">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6190775">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第二条 从严控制乌江干流岸线两侧向外5公里、第一山脊可视范围内矿业权准入，禁止新建露天矿山建设项目。乌江、郁江沿河两侧直观可视范围禁止新建石灰石、石膏开采、建饰用石开采、粘土及其他土砂石开采、化学矿开采类别的采矿类产业项目。</w:t>
            </w:r>
          </w:p>
        </w:tc>
        <w:tc>
          <w:tcPr>
            <w:tcW w:w="1073" w:type="pct"/>
            <w:vMerge w:val="continue"/>
            <w:vAlign w:val="center"/>
          </w:tcPr>
          <w:p w14:paraId="666C4270">
            <w:pPr>
              <w:spacing w:line="240" w:lineRule="auto"/>
              <w:ind w:firstLine="0" w:firstLineChars="0"/>
              <w:jc w:val="center"/>
              <w:rPr>
                <w:color w:val="000000" w:themeColor="text1"/>
                <w:sz w:val="21"/>
                <w:szCs w:val="21"/>
                <w14:textFill>
                  <w14:solidFill>
                    <w14:schemeClr w14:val="tx1"/>
                  </w14:solidFill>
                </w14:textFill>
              </w:rPr>
            </w:pPr>
          </w:p>
        </w:tc>
      </w:tr>
      <w:tr w14:paraId="6815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29AC194">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5876AC98">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第三条 加快关闭矿山恢复治理。按照“谁破坏、谁治理”的要求，开展历史遗留和关闭矿山植被恢复和复垦，优先实施位于自然保护区及生态保护红线范围内，露天矿山堆场、已经硬化的工业广场等宜复耕复绿，高速公路沿线等可视范围内的三类矿山，逐步实施历史遗留和关闭矿山修复治理。</w:t>
            </w:r>
          </w:p>
        </w:tc>
        <w:tc>
          <w:tcPr>
            <w:tcW w:w="1073" w:type="pct"/>
            <w:vMerge w:val="continue"/>
            <w:vAlign w:val="center"/>
          </w:tcPr>
          <w:p w14:paraId="1626CDE9">
            <w:pPr>
              <w:spacing w:line="240" w:lineRule="auto"/>
              <w:ind w:firstLine="0" w:firstLineChars="0"/>
              <w:jc w:val="center"/>
              <w:rPr>
                <w:color w:val="000000" w:themeColor="text1"/>
                <w:sz w:val="21"/>
                <w:szCs w:val="21"/>
                <w14:textFill>
                  <w14:solidFill>
                    <w14:schemeClr w14:val="tx1"/>
                  </w14:solidFill>
                </w14:textFill>
              </w:rPr>
            </w:pPr>
          </w:p>
        </w:tc>
      </w:tr>
      <w:tr w14:paraId="4D59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BA9424D">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4AB619EE">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第四条 严把新建燃煤锅炉准入关与推进淘汰燃煤锅炉，全县建成区禁止新建20蒸吨/小时及以下的燃煤锅炉。</w:t>
            </w:r>
          </w:p>
        </w:tc>
        <w:tc>
          <w:tcPr>
            <w:tcW w:w="1073" w:type="pct"/>
            <w:vMerge w:val="continue"/>
            <w:vAlign w:val="center"/>
          </w:tcPr>
          <w:p w14:paraId="54D13498">
            <w:pPr>
              <w:spacing w:line="240" w:lineRule="auto"/>
              <w:ind w:firstLine="0" w:firstLineChars="0"/>
              <w:jc w:val="center"/>
              <w:rPr>
                <w:color w:val="000000" w:themeColor="text1"/>
                <w:sz w:val="21"/>
                <w:szCs w:val="21"/>
                <w14:textFill>
                  <w14:solidFill>
                    <w14:schemeClr w14:val="tx1"/>
                  </w14:solidFill>
                </w14:textFill>
              </w:rPr>
            </w:pPr>
          </w:p>
        </w:tc>
      </w:tr>
      <w:tr w14:paraId="7137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11931F75">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770FD6FE">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第五条 严格畜禽养殖和水产养殖禁养区、限养区管理，优化产业布局，全面禁止在重点水域从事畜禽养殖。严格执行畜禽禁养区、限养区、适养区“三区”管理规定。</w:t>
            </w:r>
          </w:p>
        </w:tc>
        <w:tc>
          <w:tcPr>
            <w:tcW w:w="1073" w:type="pct"/>
            <w:vMerge w:val="continue"/>
            <w:vAlign w:val="center"/>
          </w:tcPr>
          <w:p w14:paraId="13128AAB">
            <w:pPr>
              <w:spacing w:line="240" w:lineRule="auto"/>
              <w:ind w:firstLine="0" w:firstLineChars="0"/>
              <w:jc w:val="center"/>
              <w:rPr>
                <w:color w:val="000000" w:themeColor="text1"/>
                <w:sz w:val="21"/>
                <w:szCs w:val="21"/>
                <w14:textFill>
                  <w14:solidFill>
                    <w14:schemeClr w14:val="tx1"/>
                  </w14:solidFill>
                </w14:textFill>
              </w:rPr>
            </w:pPr>
          </w:p>
        </w:tc>
      </w:tr>
      <w:tr w14:paraId="6AFF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0519BE9F">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247" w:type="pct"/>
            <w:vAlign w:val="center"/>
          </w:tcPr>
          <w:p w14:paraId="7A333D3F">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第六条 执行重点管控单元市级总体要求第八条、第九条、第十条、第十一条、第十二条、第十三条、第十四条和第十五条。市级总体管控要求</w:t>
            </w:r>
          </w:p>
        </w:tc>
        <w:tc>
          <w:tcPr>
            <w:tcW w:w="1073" w:type="pct"/>
            <w:vMerge w:val="restart"/>
            <w:vAlign w:val="center"/>
          </w:tcPr>
          <w:p w14:paraId="74427E07">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本项目是</w:t>
            </w:r>
            <w:r>
              <w:rPr>
                <w:rFonts w:hint="eastAsia"/>
                <w:color w:val="000000" w:themeColor="text1"/>
                <w:sz w:val="21"/>
                <w:szCs w:val="21"/>
                <w14:textFill>
                  <w14:solidFill>
                    <w14:schemeClr w14:val="tx1"/>
                  </w14:solidFill>
                </w14:textFill>
              </w:rPr>
              <w:t>城镇生活污水集中处理设施</w:t>
            </w:r>
            <w:r>
              <w:rPr>
                <w:color w:val="000000" w:themeColor="text1"/>
                <w:sz w:val="21"/>
                <w:szCs w:val="21"/>
                <w14:textFill>
                  <w14:solidFill>
                    <w14:schemeClr w14:val="tx1"/>
                  </w14:solidFill>
                </w14:textFill>
              </w:rPr>
              <w:t>，切实保护区内水域环境质量</w:t>
            </w:r>
          </w:p>
        </w:tc>
      </w:tr>
      <w:tr w14:paraId="54CF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02CBF5CC">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4D07B14E">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第七条 推进阿依河、摩围山等旅游景区的污染治理，加快完善污水处理设施建设。</w:t>
            </w:r>
          </w:p>
        </w:tc>
        <w:tc>
          <w:tcPr>
            <w:tcW w:w="1073" w:type="pct"/>
            <w:vMerge w:val="continue"/>
            <w:vAlign w:val="center"/>
          </w:tcPr>
          <w:p w14:paraId="220A1AB6">
            <w:pPr>
              <w:spacing w:line="240" w:lineRule="auto"/>
              <w:ind w:firstLine="420"/>
              <w:jc w:val="center"/>
              <w:rPr>
                <w:color w:val="000000" w:themeColor="text1"/>
                <w:sz w:val="21"/>
                <w:szCs w:val="21"/>
                <w14:textFill>
                  <w14:solidFill>
                    <w14:schemeClr w14:val="tx1"/>
                  </w14:solidFill>
                </w14:textFill>
              </w:rPr>
            </w:pPr>
          </w:p>
        </w:tc>
      </w:tr>
      <w:tr w14:paraId="26C0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B53ED48">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4A51CE11">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第八条 加快补齐污水管网建设短板，到2025年，城镇生活污水集中处理率达到96%以上，乡镇达86%以上。</w:t>
            </w:r>
          </w:p>
        </w:tc>
        <w:tc>
          <w:tcPr>
            <w:tcW w:w="1073" w:type="pct"/>
            <w:vMerge w:val="continue"/>
            <w:vAlign w:val="center"/>
          </w:tcPr>
          <w:p w14:paraId="7025022B">
            <w:pPr>
              <w:spacing w:line="240" w:lineRule="auto"/>
              <w:ind w:firstLine="420"/>
              <w:jc w:val="center"/>
              <w:rPr>
                <w:color w:val="000000" w:themeColor="text1"/>
                <w:sz w:val="21"/>
                <w:szCs w:val="21"/>
                <w14:textFill>
                  <w14:solidFill>
                    <w14:schemeClr w14:val="tx1"/>
                  </w14:solidFill>
                </w14:textFill>
              </w:rPr>
            </w:pPr>
          </w:p>
        </w:tc>
      </w:tr>
      <w:tr w14:paraId="630A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53D7E832">
            <w:pPr>
              <w:spacing w:line="240" w:lineRule="auto"/>
              <w:ind w:firstLine="420"/>
              <w:jc w:val="center"/>
              <w:rPr>
                <w:color w:val="000000" w:themeColor="text1"/>
                <w:sz w:val="21"/>
                <w:szCs w:val="21"/>
                <w14:textFill>
                  <w14:solidFill>
                    <w14:schemeClr w14:val="tx1"/>
                  </w14:solidFill>
                </w14:textFill>
              </w:rPr>
            </w:pPr>
          </w:p>
        </w:tc>
        <w:tc>
          <w:tcPr>
            <w:tcW w:w="3247" w:type="pct"/>
            <w:vAlign w:val="center"/>
          </w:tcPr>
          <w:p w14:paraId="1FF0D353">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第九条 加大种植业投入结构调整力度，在乌江、郁江沿线示范推广，实现农药化肥使用量零增长。</w:t>
            </w:r>
          </w:p>
        </w:tc>
        <w:tc>
          <w:tcPr>
            <w:tcW w:w="1073" w:type="pct"/>
            <w:vMerge w:val="continue"/>
            <w:vAlign w:val="center"/>
          </w:tcPr>
          <w:p w14:paraId="75850458">
            <w:pPr>
              <w:spacing w:line="240" w:lineRule="auto"/>
              <w:ind w:firstLine="0" w:firstLineChars="0"/>
              <w:jc w:val="center"/>
              <w:rPr>
                <w:color w:val="000000" w:themeColor="text1"/>
                <w:sz w:val="21"/>
                <w:szCs w:val="21"/>
                <w14:textFill>
                  <w14:solidFill>
                    <w14:schemeClr w14:val="tx1"/>
                  </w14:solidFill>
                </w14:textFill>
              </w:rPr>
            </w:pPr>
          </w:p>
        </w:tc>
      </w:tr>
      <w:tr w14:paraId="725F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6B76213C">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6D52139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第十条 充分实施船舶废弃物接收处置及清漂，实现乌江、郁江干线以及重要支流船舶废弃物接收处置全覆盖。对所有在用船舶环保治理设施实施改造，达不到环保要求的，限期予以整改和淘汰。</w:t>
            </w:r>
          </w:p>
        </w:tc>
        <w:tc>
          <w:tcPr>
            <w:tcW w:w="1073" w:type="pct"/>
            <w:vMerge w:val="continue"/>
            <w:vAlign w:val="center"/>
          </w:tcPr>
          <w:p w14:paraId="539654C8">
            <w:pPr>
              <w:spacing w:line="240" w:lineRule="auto"/>
              <w:ind w:firstLine="0" w:firstLineChars="0"/>
              <w:jc w:val="center"/>
              <w:rPr>
                <w:color w:val="000000" w:themeColor="text1"/>
                <w:sz w:val="21"/>
                <w:szCs w:val="21"/>
                <w14:textFill>
                  <w14:solidFill>
                    <w14:schemeClr w14:val="tx1"/>
                  </w14:solidFill>
                </w14:textFill>
              </w:rPr>
            </w:pPr>
          </w:p>
        </w:tc>
      </w:tr>
      <w:tr w14:paraId="3991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Align w:val="center"/>
          </w:tcPr>
          <w:p w14:paraId="02887D09">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247" w:type="pct"/>
            <w:vAlign w:val="center"/>
          </w:tcPr>
          <w:p w14:paraId="0C900E8C">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第十一条 执行重点管控单元市级总体要求第十六条。</w:t>
            </w:r>
          </w:p>
        </w:tc>
        <w:tc>
          <w:tcPr>
            <w:tcW w:w="1073" w:type="pct"/>
            <w:vAlign w:val="center"/>
          </w:tcPr>
          <w:p w14:paraId="1CFF7A1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本项目涉及环境风险小，在可控范围</w:t>
            </w:r>
          </w:p>
        </w:tc>
      </w:tr>
      <w:tr w14:paraId="7049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restart"/>
            <w:vAlign w:val="center"/>
          </w:tcPr>
          <w:p w14:paraId="0F598E5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3247" w:type="pct"/>
            <w:vAlign w:val="center"/>
          </w:tcPr>
          <w:p w14:paraId="5BAE81F7">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第十二条 执行重点管控单元市级总体要求第十八条、第十九条、第二十条、第二十一条和第二十二条。</w:t>
            </w:r>
          </w:p>
        </w:tc>
        <w:tc>
          <w:tcPr>
            <w:tcW w:w="1073" w:type="pct"/>
            <w:vMerge w:val="restart"/>
            <w:vAlign w:val="center"/>
          </w:tcPr>
          <w:p w14:paraId="5EC2B41D">
            <w:pPr>
              <w:spacing w:line="240" w:lineRule="auto"/>
              <w:ind w:firstLine="0" w:firstLineChars="0"/>
              <w:jc w:val="center"/>
              <w:rPr>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本项目为污水处理厂建设项目，用水量仅员工生活，用量少。</w:t>
            </w:r>
          </w:p>
        </w:tc>
      </w:tr>
      <w:tr w14:paraId="1C4C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42C7C2AA">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0327BFBC">
            <w:pPr>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第十三条 严格控制高能耗、高污染项目产能扩张。提高新建项目准入门槛，审慎引入高耗能大项目，已立项项目要严格按照能效标准建设。加强茂田炉窑综合整治，提高能源利用效率。推进企业节能低碳行动，鼓励水泥、烧结砖等重点耗能行业实施能效提升计划。</w:t>
            </w:r>
          </w:p>
        </w:tc>
        <w:tc>
          <w:tcPr>
            <w:tcW w:w="1073" w:type="pct"/>
            <w:vMerge w:val="continue"/>
            <w:vAlign w:val="center"/>
          </w:tcPr>
          <w:p w14:paraId="71A95E36">
            <w:pPr>
              <w:spacing w:line="240" w:lineRule="auto"/>
              <w:ind w:firstLine="0" w:firstLineChars="0"/>
              <w:jc w:val="center"/>
              <w:rPr>
                <w:color w:val="000000" w:themeColor="text1"/>
                <w:sz w:val="21"/>
                <w:szCs w:val="21"/>
                <w14:textFill>
                  <w14:solidFill>
                    <w14:schemeClr w14:val="tx1"/>
                  </w14:solidFill>
                </w14:textFill>
              </w:rPr>
            </w:pPr>
          </w:p>
        </w:tc>
      </w:tr>
      <w:tr w14:paraId="5D0A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vMerge w:val="continue"/>
            <w:vAlign w:val="center"/>
          </w:tcPr>
          <w:p w14:paraId="7B0C0F04">
            <w:pPr>
              <w:spacing w:line="240" w:lineRule="auto"/>
              <w:ind w:firstLine="0" w:firstLineChars="0"/>
              <w:jc w:val="center"/>
              <w:rPr>
                <w:color w:val="000000" w:themeColor="text1"/>
                <w:sz w:val="21"/>
                <w:szCs w:val="21"/>
                <w14:textFill>
                  <w14:solidFill>
                    <w14:schemeClr w14:val="tx1"/>
                  </w14:solidFill>
                </w14:textFill>
              </w:rPr>
            </w:pPr>
          </w:p>
        </w:tc>
        <w:tc>
          <w:tcPr>
            <w:tcW w:w="3247" w:type="pct"/>
            <w:vAlign w:val="center"/>
          </w:tcPr>
          <w:p w14:paraId="26FFAD02">
            <w:pPr>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第十四条 利用综合标准淘汰落后产能。严格执行《产业结构调整指导目录》及有关法律法规，对落后产能项目、不予核准或备案、不得办理有关手续相关要求。</w:t>
            </w:r>
          </w:p>
        </w:tc>
        <w:tc>
          <w:tcPr>
            <w:tcW w:w="1073" w:type="pct"/>
            <w:vMerge w:val="continue"/>
            <w:vAlign w:val="center"/>
          </w:tcPr>
          <w:p w14:paraId="179AAAD0">
            <w:pPr>
              <w:spacing w:line="240" w:lineRule="auto"/>
              <w:ind w:firstLine="0" w:firstLineChars="0"/>
              <w:jc w:val="center"/>
              <w:rPr>
                <w:color w:val="000000" w:themeColor="text1"/>
                <w:sz w:val="21"/>
                <w:szCs w:val="21"/>
                <w14:textFill>
                  <w14:solidFill>
                    <w14:schemeClr w14:val="tx1"/>
                  </w14:solidFill>
                </w14:textFill>
              </w:rPr>
            </w:pPr>
          </w:p>
        </w:tc>
      </w:tr>
    </w:tbl>
    <w:p w14:paraId="13BF6F2E">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对照</w:t>
      </w:r>
      <w:r>
        <w:rPr>
          <w:rFonts w:hint="eastAsia"/>
          <w:color w:val="000000" w:themeColor="text1"/>
          <w14:textFill>
            <w14:solidFill>
              <w14:schemeClr w14:val="tx1"/>
            </w14:solidFill>
          </w14:textFill>
        </w:rPr>
        <w:t>《重庆市“三线一单”生态环境分区管控调整方案（2023年）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和《彭水自治县“三线一单”生态环境分区管控调整方案（2023年）》</w:t>
      </w:r>
      <w:r>
        <w:rPr>
          <w:rFonts w:hint="eastAsia" w:cs="Times New Roman"/>
          <w:color w:val="000000" w:themeColor="text1"/>
          <w14:textFill>
            <w14:solidFill>
              <w14:schemeClr w14:val="tx1"/>
            </w14:solidFill>
          </w14:textFill>
        </w:rPr>
        <w:t>，本项目均不涉及环境管控单元。</w:t>
      </w:r>
    </w:p>
    <w:p w14:paraId="3049B118">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总体来说，本项目符合“三线一单”环境准入要求，不存在制约项目建设的外在因素</w:t>
      </w:r>
      <w:r>
        <w:rPr>
          <w:rFonts w:cs="Times New Roman"/>
          <w:color w:val="000000" w:themeColor="text1"/>
          <w14:textFill>
            <w14:solidFill>
              <w14:schemeClr w14:val="tx1"/>
            </w14:solidFill>
          </w14:textFill>
        </w:rPr>
        <w:t>。</w:t>
      </w:r>
    </w:p>
    <w:bookmarkEnd w:id="29"/>
    <w:bookmarkEnd w:id="30"/>
    <w:bookmarkEnd w:id="31"/>
    <w:p w14:paraId="2137D412">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.3.6 </w:t>
      </w:r>
      <w:r>
        <w:rPr>
          <w:rFonts w:hint="eastAsia"/>
          <w:color w:val="000000" w:themeColor="text1"/>
          <w14:textFill>
            <w14:solidFill>
              <w14:schemeClr w14:val="tx1"/>
            </w14:solidFill>
          </w14:textFill>
        </w:rPr>
        <w:t>达标排放可行性分析</w:t>
      </w:r>
    </w:p>
    <w:p w14:paraId="541A094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本工程污水处理工艺对照《排污许可证申请与核发技术规范 水处理（试行）》（HJ</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978-2018）分析，污水处理可行性技术参照表5.3</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4796F414">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表5.3</w:t>
      </w:r>
      <w:r>
        <w:rPr>
          <w:rFonts w:cs="Times New Roman"/>
          <w:b/>
          <w:color w:val="000000" w:themeColor="text1"/>
          <w:sz w:val="21"/>
          <w:szCs w:val="21"/>
          <w14:textFill>
            <w14:solidFill>
              <w14:schemeClr w14:val="tx1"/>
            </w14:solidFill>
          </w14:textFill>
        </w:rPr>
        <w:t xml:space="preserve">-4  </w:t>
      </w:r>
      <w:r>
        <w:rPr>
          <w:rFonts w:hint="eastAsia" w:cs="Times New Roman"/>
          <w:b/>
          <w:color w:val="000000" w:themeColor="text1"/>
          <w:sz w:val="21"/>
          <w:szCs w:val="21"/>
          <w14:textFill>
            <w14:solidFill>
              <w14:schemeClr w14:val="tx1"/>
            </w14:solidFill>
          </w14:textFill>
        </w:rPr>
        <w:t>污水处理可行技术参照表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14"/>
        <w:gridCol w:w="5607"/>
      </w:tblGrid>
      <w:tr w14:paraId="5868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2734FA6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废水类别</w:t>
            </w:r>
          </w:p>
        </w:tc>
        <w:tc>
          <w:tcPr>
            <w:tcW w:w="1614" w:type="dxa"/>
            <w:shd w:val="clear" w:color="auto" w:fill="auto"/>
            <w:vAlign w:val="center"/>
          </w:tcPr>
          <w:p w14:paraId="289A1636">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执行标准</w:t>
            </w:r>
          </w:p>
        </w:tc>
        <w:tc>
          <w:tcPr>
            <w:tcW w:w="5607" w:type="dxa"/>
            <w:shd w:val="clear" w:color="auto" w:fill="auto"/>
            <w:vAlign w:val="center"/>
          </w:tcPr>
          <w:p w14:paraId="7369145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可行技术</w:t>
            </w:r>
          </w:p>
        </w:tc>
      </w:tr>
      <w:tr w14:paraId="6747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shd w:val="clear" w:color="auto" w:fill="auto"/>
            <w:vAlign w:val="center"/>
          </w:tcPr>
          <w:p w14:paraId="12D801B1">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14" w:type="dxa"/>
            <w:shd w:val="clear" w:color="auto" w:fill="auto"/>
            <w:vAlign w:val="center"/>
          </w:tcPr>
          <w:p w14:paraId="5F8F7C5A">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执行GB18918中一级标准的B标准</w:t>
            </w:r>
          </w:p>
        </w:tc>
        <w:tc>
          <w:tcPr>
            <w:tcW w:w="5607" w:type="dxa"/>
            <w:shd w:val="clear" w:color="auto" w:fill="auto"/>
            <w:vAlign w:val="center"/>
          </w:tcPr>
          <w:p w14:paraId="2EC04F48">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预处理：格栅、调节</w:t>
            </w:r>
            <w:r>
              <w:rPr>
                <w:rFonts w:hint="eastAsia"/>
                <w:color w:val="000000" w:themeColor="text1"/>
                <w:sz w:val="21"/>
                <w:szCs w:val="21"/>
                <w14:textFill>
                  <w14:solidFill>
                    <w14:schemeClr w14:val="tx1"/>
                  </w14:solidFill>
                </w14:textFill>
              </w:rPr>
              <w:t>池、沉砂池、初沉池、厌氧处理设施、气浮设施、水解酸化池、混凝沉淀池等</w:t>
            </w:r>
            <w:r>
              <w:rPr>
                <w:color w:val="000000" w:themeColor="text1"/>
                <w:sz w:val="21"/>
                <w:szCs w:val="21"/>
                <w14:textFill>
                  <w14:solidFill>
                    <w14:schemeClr w14:val="tx1"/>
                  </w14:solidFill>
                </w14:textFill>
              </w:rPr>
              <w:t>；</w:t>
            </w:r>
          </w:p>
          <w:p w14:paraId="61502EB4">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生化处理：缺氧好氧</w:t>
            </w:r>
            <w:r>
              <w:rPr>
                <w:rFonts w:hint="eastAsia"/>
                <w:color w:val="000000" w:themeColor="text1"/>
                <w:sz w:val="21"/>
                <w:szCs w:val="21"/>
                <w14:textFill>
                  <w14:solidFill>
                    <w14:schemeClr w14:val="tx1"/>
                  </w14:solidFill>
                </w14:textFill>
              </w:rPr>
              <w:t>池（</w:t>
            </w:r>
            <w:r>
              <w:rPr>
                <w:color w:val="000000" w:themeColor="text1"/>
                <w:sz w:val="21"/>
                <w:szCs w:val="21"/>
                <w14:textFill>
                  <w14:solidFill>
                    <w14:schemeClr w14:val="tx1"/>
                  </w14:solidFill>
                </w14:textFill>
              </w:rPr>
              <w:t>A/O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、厌氧缺氧好氧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A</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、序批式活性污泥、接触氧化、氧化沟、移动生物床反应器、膜生物反应器</w:t>
            </w:r>
            <w:r>
              <w:rPr>
                <w:rFonts w:hint="eastAsia"/>
                <w:color w:val="000000" w:themeColor="text1"/>
                <w:sz w:val="21"/>
                <w:szCs w:val="21"/>
                <w14:textFill>
                  <w14:solidFill>
                    <w14:schemeClr w14:val="tx1"/>
                  </w14:solidFill>
                </w14:textFill>
              </w:rPr>
              <w:t>、二沉池等</w:t>
            </w:r>
            <w:r>
              <w:rPr>
                <w:color w:val="000000" w:themeColor="text1"/>
                <w:sz w:val="21"/>
                <w:szCs w:val="21"/>
                <w14:textFill>
                  <w14:solidFill>
                    <w14:schemeClr w14:val="tx1"/>
                  </w14:solidFill>
                </w14:textFill>
              </w:rPr>
              <w:t>；</w:t>
            </w:r>
          </w:p>
          <w:p w14:paraId="2F707C24">
            <w:pPr>
              <w:spacing w:line="240" w:lineRule="auto"/>
              <w:ind w:firstLine="0" w:firstLineChars="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深度处理：混凝沉淀、过滤、曝气生物滤池、微滤、超滤、消毒（次氯酸钠、臭氧、紫外、二氧化氯）</w:t>
            </w:r>
            <w:r>
              <w:rPr>
                <w:rFonts w:hint="eastAsia"/>
                <w:color w:val="000000" w:themeColor="text1"/>
                <w:sz w:val="21"/>
                <w:szCs w:val="21"/>
                <w14:textFill>
                  <w14:solidFill>
                    <w14:schemeClr w14:val="tx1"/>
                  </w14:solidFill>
                </w14:textFill>
              </w:rPr>
              <w:t>等</w:t>
            </w:r>
            <w:r>
              <w:rPr>
                <w:color w:val="000000" w:themeColor="text1"/>
                <w:sz w:val="21"/>
                <w:szCs w:val="21"/>
                <w14:textFill>
                  <w14:solidFill>
                    <w14:schemeClr w14:val="tx1"/>
                  </w14:solidFill>
                </w14:textFill>
              </w:rPr>
              <w:t>。</w:t>
            </w:r>
          </w:p>
        </w:tc>
      </w:tr>
    </w:tbl>
    <w:p w14:paraId="63EE3841">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本工程预处理采用格栅、调节池，生化处理采用</w:t>
      </w:r>
      <w:r>
        <w:rPr>
          <w:color w:val="000000" w:themeColor="text1"/>
          <w14:textFill>
            <w14:solidFill>
              <w14:schemeClr w14:val="tx1"/>
            </w14:solidFill>
          </w14:textFill>
        </w:rPr>
        <w:t>缺氧好氧</w:t>
      </w:r>
      <w:r>
        <w:rPr>
          <w:rFonts w:hint="eastAsia"/>
          <w:color w:val="000000" w:themeColor="text1"/>
          <w14:textFill>
            <w14:solidFill>
              <w14:schemeClr w14:val="tx1"/>
            </w14:solidFill>
          </w14:textFill>
        </w:rPr>
        <w:t>池（</w:t>
      </w:r>
      <w:r>
        <w:rPr>
          <w:color w:val="000000" w:themeColor="text1"/>
          <w14:textFill>
            <w14:solidFill>
              <w14:schemeClr w14:val="tx1"/>
            </w14:solidFill>
          </w14:textFill>
        </w:rPr>
        <w:t>A/O</w:t>
      </w:r>
      <w:r>
        <w:rPr>
          <w:rFonts w:hint="eastAsia"/>
          <w:color w:val="000000" w:themeColor="text1"/>
          <w14:textFill>
            <w14:solidFill>
              <w14:schemeClr w14:val="tx1"/>
            </w14:solidFill>
          </w14:textFill>
        </w:rPr>
        <w:t>），深度处理采用沉淀池、消毒池。因此，本项目采用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处理工艺是可行的。</w:t>
      </w:r>
    </w:p>
    <w:p w14:paraId="703F289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w:t>
      </w:r>
      <w:r>
        <w:rPr>
          <w:color w:val="000000" w:themeColor="text1"/>
          <w14:textFill>
            <w14:solidFill>
              <w14:schemeClr w14:val="tx1"/>
            </w14:solidFill>
          </w14:textFill>
        </w:rPr>
        <w:t>主要建构筑物包括</w:t>
      </w:r>
      <w:r>
        <w:rPr>
          <w:rFonts w:hint="eastAsia"/>
          <w:color w:val="000000" w:themeColor="text1"/>
          <w14:textFill>
            <w14:solidFill>
              <w14:schemeClr w14:val="tx1"/>
            </w14:solidFill>
          </w14:textFill>
        </w:rPr>
        <w:t>格栅</w:t>
      </w:r>
      <w:r>
        <w:rPr>
          <w:rFonts w:hint="eastAsia"/>
          <w:color w:val="000000" w:themeColor="text1"/>
          <w:szCs w:val="21"/>
          <w14:textFill>
            <w14:solidFill>
              <w14:schemeClr w14:val="tx1"/>
            </w14:solidFill>
          </w14:textFill>
        </w:rPr>
        <w:t>、调节池、</w:t>
      </w:r>
      <w:r>
        <w:rPr>
          <w:rFonts w:hint="eastAsia"/>
          <w:color w:val="000000" w:themeColor="text1"/>
          <w14:textFill>
            <w14:solidFill>
              <w14:schemeClr w14:val="tx1"/>
            </w14:solidFill>
          </w14:textFill>
        </w:rPr>
        <w:t>A/O组合池、沉淀池、消毒池</w:t>
      </w:r>
      <w:r>
        <w:rPr>
          <w:rFonts w:hint="eastAsia"/>
          <w:color w:val="000000" w:themeColor="text1"/>
          <w:szCs w:val="21"/>
          <w14:textFill>
            <w14:solidFill>
              <w14:schemeClr w14:val="tx1"/>
            </w14:solidFill>
          </w14:textFill>
        </w:rPr>
        <w:t>、污泥池、</w:t>
      </w:r>
      <w:r>
        <w:rPr>
          <w:color w:val="000000" w:themeColor="text1"/>
          <w14:textFill>
            <w14:solidFill>
              <w14:schemeClr w14:val="tx1"/>
            </w14:solidFill>
          </w14:textFill>
        </w:rPr>
        <w:t>鼓风机房等。经各处理构筑物分级去除后COD、BOD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48137E1E">
      <w:pPr>
        <w:pStyle w:val="61"/>
        <w:spacing w:before="312"/>
      </w:pPr>
      <w:r>
        <w:rPr>
          <w:rFonts w:hint="eastAsia"/>
        </w:rPr>
        <w:t xml:space="preserve"> </w:t>
      </w:r>
      <w:bookmarkStart w:id="32" w:name="_Toc184805683"/>
      <w:r>
        <w:rPr>
          <w:rFonts w:hint="eastAsia"/>
        </w:rPr>
        <w:t>入河排污口设置方案</w:t>
      </w:r>
      <w:bookmarkEnd w:id="32"/>
    </w:p>
    <w:p w14:paraId="216168EE">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芦塘乡（板栗村）污水处理厂入河排污口设置方案：</w:t>
      </w:r>
    </w:p>
    <w:p w14:paraId="1065CDF3">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（1）入河排污口位置：</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南侧冲沟，地理坐标：</w:t>
      </w:r>
      <w:r>
        <w:rPr>
          <w:color w:val="000000" w:themeColor="text1"/>
          <w:spacing w:val="-13"/>
          <w14:textFill>
            <w14:solidFill>
              <w14:schemeClr w14:val="tx1"/>
            </w14:solidFill>
          </w14:textFill>
        </w:rPr>
        <w:t>东经：108.335650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，北纬：29.514853</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w:t>
      </w:r>
    </w:p>
    <w:p w14:paraId="3B9E7DC0">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（2）入河排污口性质：</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w:t>
      </w:r>
    </w:p>
    <w:p w14:paraId="2495D325">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（3）入河排污口类型：</w:t>
      </w:r>
      <w:r>
        <w:rPr>
          <w:color w:val="000000" w:themeColor="text1"/>
          <w14:textFill>
            <w14:solidFill>
              <w14:schemeClr w14:val="tx1"/>
            </w14:solidFill>
          </w14:textFill>
        </w:rPr>
        <w:t>城镇污水处理设施入河排污口</w:t>
      </w:r>
      <w:r>
        <w:rPr>
          <w:rFonts w:hint="eastAsia" w:cs="Times New Roman"/>
          <w:color w:val="000000" w:themeColor="text1"/>
          <w14:textFill>
            <w14:solidFill>
              <w14:schemeClr w14:val="tx1"/>
            </w14:solidFill>
          </w14:textFill>
        </w:rPr>
        <w:t>。</w:t>
      </w:r>
    </w:p>
    <w:p w14:paraId="3C6DC52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（4）入河排污口排放方式：连续排放</w:t>
      </w:r>
      <w:r>
        <w:rPr>
          <w:rFonts w:hint="eastAsia" w:cs="Times New Roman"/>
          <w:color w:val="000000" w:themeColor="text1"/>
          <w14:textFill>
            <w14:solidFill>
              <w14:schemeClr w14:val="tx1"/>
            </w14:solidFill>
          </w14:textFill>
        </w:rPr>
        <w:t>。</w:t>
      </w:r>
    </w:p>
    <w:p w14:paraId="268C2935">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（5）入河排污口入河方式：岸边</w:t>
      </w:r>
      <w:r>
        <w:rPr>
          <w:rFonts w:hint="eastAsia" w:cs="Times New Roman"/>
          <w:color w:val="000000" w:themeColor="text1"/>
          <w14:textFill>
            <w14:solidFill>
              <w14:schemeClr w14:val="tx1"/>
            </w14:solidFill>
          </w14:textFill>
        </w:rPr>
        <w:t>管道</w:t>
      </w:r>
      <w:r>
        <w:rPr>
          <w:rFonts w:cs="Times New Roman"/>
          <w:color w:val="000000" w:themeColor="text1"/>
          <w14:textFill>
            <w14:solidFill>
              <w14:schemeClr w14:val="tx1"/>
            </w14:solidFill>
          </w14:textFill>
        </w:rPr>
        <w:t>连续排放</w:t>
      </w:r>
      <w:r>
        <w:rPr>
          <w:rFonts w:hint="eastAsia" w:cs="Times New Roman"/>
          <w:color w:val="000000" w:themeColor="text1"/>
          <w14:textFill>
            <w14:solidFill>
              <w14:schemeClr w14:val="tx1"/>
            </w14:solidFill>
          </w14:textFill>
        </w:rPr>
        <w:t>。</w:t>
      </w:r>
    </w:p>
    <w:p w14:paraId="743EFFB3">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2371090</wp:posOffset>
                </wp:positionH>
                <wp:positionV relativeFrom="paragraph">
                  <wp:posOffset>228600</wp:posOffset>
                </wp:positionV>
                <wp:extent cx="1062990" cy="2321560"/>
                <wp:effectExtent l="38100" t="38100" r="3810" b="40640"/>
                <wp:wrapNone/>
                <wp:docPr id="52" name="组合 52"/>
                <wp:cNvGraphicFramePr/>
                <a:graphic xmlns:a="http://schemas.openxmlformats.org/drawingml/2006/main">
                  <a:graphicData uri="http://schemas.microsoft.com/office/word/2010/wordprocessingGroup">
                    <wpg:wgp>
                      <wpg:cNvGrpSpPr/>
                      <wpg:grpSpPr>
                        <a:xfrm>
                          <a:off x="0" y="0"/>
                          <a:ext cx="1062990" cy="2321560"/>
                          <a:chOff x="844422" y="1332901"/>
                          <a:chExt cx="1062990" cy="2321560"/>
                        </a:xfrm>
                      </wpg:grpSpPr>
                      <wps:wsp>
                        <wps:cNvPr id="48" name="直接箭头连接符 48"/>
                        <wps:cNvCnPr/>
                        <wps:spPr>
                          <a:xfrm flipH="1">
                            <a:off x="844422" y="3392289"/>
                            <a:ext cx="302153" cy="2621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文本框 2"/>
                        <wps:cNvSpPr txBox="1">
                          <a:spLocks noChangeArrowheads="1"/>
                        </wps:cNvSpPr>
                        <wps:spPr bwMode="auto">
                          <a:xfrm>
                            <a:off x="1035253" y="2954967"/>
                            <a:ext cx="872159" cy="418835"/>
                          </a:xfrm>
                          <a:prstGeom prst="rect">
                            <a:avLst/>
                          </a:prstGeom>
                          <a:solidFill>
                            <a:schemeClr val="bg1"/>
                          </a:solidFill>
                          <a:ln w="9525">
                            <a:noFill/>
                            <a:miter lim="800000"/>
                          </a:ln>
                        </wps:spPr>
                        <wps:txbx>
                          <w:txbxContent>
                            <w:p w14:paraId="0EB11B47">
                              <w:pPr>
                                <w:spacing w:line="240" w:lineRule="auto"/>
                                <w:ind w:firstLine="0" w:firstLineChars="0"/>
                                <w:jc w:val="center"/>
                                <w:rPr>
                                  <w:bCs/>
                                  <w:color w:val="FF0000"/>
                                  <w:sz w:val="21"/>
                                  <w:szCs w:val="21"/>
                                </w:rPr>
                              </w:pPr>
                              <w:r>
                                <w:rPr>
                                  <w:rFonts w:hint="eastAsia"/>
                                  <w:bCs/>
                                  <w:color w:val="FF0000"/>
                                  <w:sz w:val="21"/>
                                  <w:szCs w:val="21"/>
                                </w:rPr>
                                <w:t>污水处理厂</w:t>
                              </w:r>
                            </w:p>
                            <w:p w14:paraId="38D5F1B0">
                              <w:pPr>
                                <w:spacing w:line="240" w:lineRule="auto"/>
                                <w:ind w:firstLine="0" w:firstLineChars="0"/>
                                <w:rPr>
                                  <w:bCs/>
                                  <w:color w:val="FF0000"/>
                                  <w:sz w:val="21"/>
                                  <w:szCs w:val="21"/>
                                </w:rPr>
                              </w:pPr>
                              <w:r>
                                <w:rPr>
                                  <w:rFonts w:hint="eastAsia"/>
                                  <w:bCs/>
                                  <w:color w:val="FF0000"/>
                                  <w:sz w:val="21"/>
                                  <w:szCs w:val="21"/>
                                </w:rPr>
                                <w:t>南侧冲沟</w:t>
                              </w:r>
                            </w:p>
                          </w:txbxContent>
                        </wps:txbx>
                        <wps:bodyPr rot="0" vert="horz" wrap="square" lIns="91440" tIns="45720" rIns="91440" bIns="45720" anchor="t" anchorCtr="0">
                          <a:noAutofit/>
                        </wps:bodyPr>
                      </wps:wsp>
                      <wps:wsp>
                        <wps:cNvPr id="50" name="直接箭头连接符 50"/>
                        <wps:cNvCnPr/>
                        <wps:spPr>
                          <a:xfrm flipH="1" flipV="1">
                            <a:off x="1350293" y="1332901"/>
                            <a:ext cx="26709" cy="72468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1050998" y="1937046"/>
                            <a:ext cx="836295" cy="318770"/>
                          </a:xfrm>
                          <a:prstGeom prst="rect">
                            <a:avLst/>
                          </a:prstGeom>
                          <a:solidFill>
                            <a:schemeClr val="bg1"/>
                          </a:solidFill>
                          <a:ln w="9525">
                            <a:noFill/>
                            <a:miter lim="800000"/>
                          </a:ln>
                        </wps:spPr>
                        <wps:txbx>
                          <w:txbxContent>
                            <w:p w14:paraId="230DB4D0">
                              <w:pPr>
                                <w:ind w:firstLine="0" w:firstLineChars="0"/>
                                <w:rPr>
                                  <w:bCs/>
                                  <w:color w:val="70AD47" w:themeColor="accent6"/>
                                  <w14:textFill>
                                    <w14:solidFill>
                                      <w14:schemeClr w14:val="accent6"/>
                                    </w14:solidFill>
                                  </w14:textFill>
                                </w:rPr>
                              </w:pPr>
                              <w:r>
                                <w:rPr>
                                  <w:rFonts w:hint="eastAsia"/>
                                  <w:bCs/>
                                  <w:color w:val="70AD47" w:themeColor="accent6"/>
                                  <w14:textFill>
                                    <w14:solidFill>
                                      <w14:schemeClr w14:val="accent6"/>
                                    </w14:solidFill>
                                  </w14:textFill>
                                </w:rPr>
                                <w:t>排污管道</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86.7pt;margin-top:18pt;height:182.8pt;width:83.7pt;z-index:251660288;mso-width-relative:page;mso-height-relative:page;" coordorigin="844422,1332901" coordsize="1062990,2321560" o:gfxdata="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AiiSvr2QAAAAoBAAAPAAAAAAAAAAEAIAAAACIAAABkcnMvZG93bnJldi54bWxQSwEC&#10;FAAUAAAACACHTuJAxTK+IvQDAABkDAAADgAAAAAAAAABACAAAAAoAQAAZHJzL2Uyb0RvYy54bWxQ&#10;SwUGAAAAAAYABgBZAQAAjgcAAAAA&#10;">
                <o:lock v:ext="edit" aspectratio="f"/>
                <v:shape id="_x0000_s1026" o:spid="_x0000_s1026" o:spt="32" type="#_x0000_t32" style="position:absolute;left:844422;top:3392289;flip:x;height:262172;width:302153;" filled="f" stroked="t" coordsize="21600,21600" o:gfxdata="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djR7sAAADb&#10;AAAADwAAAAAAAAABACAAAAAiAAAAZHJzL2Rvd25yZXYueG1sUEsBAhQAFAAAAAgAh07iQDMvBZ47&#10;AAAAOQAAABAAAAAAAAAAAQAgAAAACgEAAGRycy9zaGFwZXhtbC54bWxQSwUGAAAAAAYABgBbAQAA&#10;tAMAAAAA&#10;">
                  <v:fill on="f" focussize="0,0"/>
                  <v:stroke weight="2.25pt" color="#FF0000 [3204]" miterlimit="8" joinstyle="miter" endarrow="block"/>
                  <v:imagedata o:title=""/>
                  <o:lock v:ext="edit" aspectratio="f"/>
                </v:shape>
                <v:shape id="文本框 2" o:spid="_x0000_s1026" o:spt="202" type="#_x0000_t202" style="position:absolute;left:1035253;top:2954967;height:418835;width:872159;" fillcolor="#FFFFFF [3212]" filled="t" stroked="f" coordsize="21600,21600" o:gfxdata="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su8r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0EB11B47">
                        <w:pPr>
                          <w:spacing w:line="240" w:lineRule="auto"/>
                          <w:ind w:firstLine="0" w:firstLineChars="0"/>
                          <w:jc w:val="center"/>
                          <w:rPr>
                            <w:bCs/>
                            <w:color w:val="FF0000"/>
                            <w:sz w:val="21"/>
                            <w:szCs w:val="21"/>
                          </w:rPr>
                        </w:pPr>
                        <w:r>
                          <w:rPr>
                            <w:rFonts w:hint="eastAsia"/>
                            <w:bCs/>
                            <w:color w:val="FF0000"/>
                            <w:sz w:val="21"/>
                            <w:szCs w:val="21"/>
                          </w:rPr>
                          <w:t>污水处理厂</w:t>
                        </w:r>
                      </w:p>
                      <w:p w14:paraId="38D5F1B0">
                        <w:pPr>
                          <w:spacing w:line="240" w:lineRule="auto"/>
                          <w:ind w:firstLine="0" w:firstLineChars="0"/>
                          <w:rPr>
                            <w:bCs/>
                            <w:color w:val="FF0000"/>
                            <w:sz w:val="21"/>
                            <w:szCs w:val="21"/>
                          </w:rPr>
                        </w:pPr>
                        <w:r>
                          <w:rPr>
                            <w:rFonts w:hint="eastAsia"/>
                            <w:bCs/>
                            <w:color w:val="FF0000"/>
                            <w:sz w:val="21"/>
                            <w:szCs w:val="21"/>
                          </w:rPr>
                          <w:t>南侧冲沟</w:t>
                        </w:r>
                      </w:p>
                    </w:txbxContent>
                  </v:textbox>
                </v:shape>
                <v:shape id="_x0000_s1026" o:spid="_x0000_s1026" o:spt="32" type="#_x0000_t32" style="position:absolute;left:1350293;top:1332901;flip:x y;height:724680;width:26709;" filled="f" stroked="t" coordsize="21600,21600" o:gfxdata="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UfgougAAANsA&#10;AAAPAAAAAAAAAAEAIAAAACIAAABkcnMvZG93bnJldi54bWxQSwECFAAUAAAACACHTuJAMy8FnjsA&#10;AAA5AAAAEAAAAAAAAAABACAAAAAJAQAAZHJzL3NoYXBleG1sLnhtbFBLBQYAAAAABgAGAFsBAACz&#10;AwAAAAA=&#10;">
                  <v:fill on="f" focussize="0,0"/>
                  <v:stroke weight="2.25pt" color="#92D050 [3204]" miterlimit="8" joinstyle="miter" endarrow="block"/>
                  <v:imagedata o:title=""/>
                  <o:lock v:ext="edit" aspectratio="f"/>
                </v:shape>
                <v:shape id="文本框 2" o:spid="_x0000_s1026" o:spt="202" type="#_x0000_t202" style="position:absolute;left:1050998;top:1937046;height:318770;width:836295;" fillcolor="#FFFFFF [3212]"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14:paraId="230DB4D0">
                        <w:pPr>
                          <w:ind w:firstLine="0" w:firstLineChars="0"/>
                          <w:rPr>
                            <w:bCs/>
                            <w:color w:val="70AD47" w:themeColor="accent6"/>
                            <w14:textFill>
                              <w14:solidFill>
                                <w14:schemeClr w14:val="accent6"/>
                              </w14:solidFill>
                            </w14:textFill>
                          </w:rPr>
                        </w:pPr>
                        <w:r>
                          <w:rPr>
                            <w:rFonts w:hint="eastAsia"/>
                            <w:bCs/>
                            <w:color w:val="70AD47" w:themeColor="accent6"/>
                            <w14:textFill>
                              <w14:solidFill>
                                <w14:schemeClr w14:val="accent6"/>
                              </w14:solidFill>
                            </w14:textFill>
                          </w:rPr>
                          <w:t>排污管道</w:t>
                        </w:r>
                      </w:p>
                    </w:txbxContent>
                  </v:textbox>
                </v:shape>
              </v:group>
            </w:pict>
          </mc:Fallback>
        </mc:AlternateContent>
      </w:r>
      <w:r>
        <w:rPr>
          <w:color w:val="000000" w:themeColor="text1"/>
          <w14:textFill>
            <w14:solidFill>
              <w14:schemeClr w14:val="tx1"/>
            </w14:solidFill>
          </w14:textFill>
        </w:rPr>
        <w:t xml:space="preserve"> </w:t>
      </w:r>
      <w:r>
        <w:rPr>
          <w:snapToGrid/>
          <w:color w:val="000000" w:themeColor="text1"/>
          <w14:textFill>
            <w14:solidFill>
              <w14:schemeClr w14:val="tx1"/>
            </w14:solidFill>
          </w14:textFill>
        </w:rPr>
        <w:drawing>
          <wp:inline distT="0" distB="0" distL="0" distR="0">
            <wp:extent cx="1693545" cy="269494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706071" cy="2715295"/>
                    </a:xfrm>
                    <a:prstGeom prst="rect">
                      <a:avLst/>
                    </a:prstGeom>
                  </pic:spPr>
                </pic:pic>
              </a:graphicData>
            </a:graphic>
          </wp:inline>
        </w:drawing>
      </w:r>
    </w:p>
    <w:p w14:paraId="30DE7337">
      <w:pPr>
        <w:spacing w:after="156" w:afterLines="50" w:line="240" w:lineRule="auto"/>
        <w:ind w:firstLine="0" w:firstLineChars="0"/>
        <w:jc w:val="center"/>
        <w:rPr>
          <w:rFonts w:cs="Times New Roman"/>
          <w:b/>
          <w:color w:val="000000" w:themeColor="text1"/>
          <w:sz w:val="2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b/>
          <w:color w:val="000000" w:themeColor="text1"/>
          <w:sz w:val="21"/>
          <w:szCs w:val="21"/>
          <w14:textFill>
            <w14:solidFill>
              <w14:schemeClr w14:val="tx1"/>
            </w14:solidFill>
          </w14:textFill>
        </w:rPr>
        <w:t>图</w:t>
      </w:r>
      <w:r>
        <w:rPr>
          <w:rFonts w:cs="Times New Roman"/>
          <w:b/>
          <w:color w:val="000000" w:themeColor="text1"/>
          <w:sz w:val="21"/>
          <w:szCs w:val="21"/>
          <w14:textFill>
            <w14:solidFill>
              <w14:schemeClr w14:val="tx1"/>
            </w14:solidFill>
          </w14:textFill>
        </w:rPr>
        <w:t>5.4</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入河排污口方位</w:t>
      </w:r>
    </w:p>
    <w:p w14:paraId="08CC5241">
      <w:pPr>
        <w:pStyle w:val="43"/>
        <w:ind w:left="0" w:firstLine="0"/>
        <w:rPr>
          <w:color w:val="000000" w:themeColor="text1"/>
          <w14:textFill>
            <w14:solidFill>
              <w14:schemeClr w14:val="tx1"/>
            </w14:solidFill>
          </w14:textFill>
        </w:rPr>
      </w:pPr>
      <w:bookmarkStart w:id="33" w:name="_Toc24583"/>
      <w:bookmarkStart w:id="34" w:name="_Toc16855"/>
      <w:bookmarkStart w:id="35" w:name="_Toc3684"/>
      <w:bookmarkStart w:id="36" w:name="_Toc5341"/>
      <w:bookmarkStart w:id="37" w:name="_Toc184805684"/>
      <w:bookmarkStart w:id="38" w:name="_Toc4031"/>
      <w:bookmarkStart w:id="39" w:name="_Toc289926463"/>
      <w:bookmarkStart w:id="40" w:name="_Toc339613697"/>
      <w:bookmarkStart w:id="41" w:name="_Toc301373858"/>
      <w:bookmarkStart w:id="42" w:name="_Toc289930711"/>
      <w:r>
        <w:rPr>
          <w:color w:val="000000" w:themeColor="text1"/>
          <w14:textFill>
            <w14:solidFill>
              <w14:schemeClr w14:val="tx1"/>
            </w14:solidFill>
          </w14:textFill>
        </w:rPr>
        <w:t>入河排污口设置对水功能区</w:t>
      </w:r>
      <w:r>
        <w:rPr>
          <w:rFonts w:hint="eastAsia"/>
          <w:color w:val="000000" w:themeColor="text1"/>
          <w14:textFill>
            <w14:solidFill>
              <w14:schemeClr w14:val="tx1"/>
            </w14:solidFill>
          </w14:textFill>
        </w:rPr>
        <w:t>（水域）</w:t>
      </w:r>
      <w:r>
        <w:rPr>
          <w:color w:val="000000" w:themeColor="text1"/>
          <w14:textFill>
            <w14:solidFill>
              <w14:schemeClr w14:val="tx1"/>
            </w14:solidFill>
          </w14:textFill>
        </w:rPr>
        <w:t>水质和水生态影响分析</w:t>
      </w:r>
      <w:bookmarkEnd w:id="33"/>
      <w:bookmarkEnd w:id="34"/>
      <w:bookmarkEnd w:id="35"/>
      <w:bookmarkEnd w:id="36"/>
      <w:bookmarkEnd w:id="37"/>
      <w:bookmarkEnd w:id="38"/>
    </w:p>
    <w:bookmarkEnd w:id="39"/>
    <w:bookmarkEnd w:id="40"/>
    <w:bookmarkEnd w:id="41"/>
    <w:bookmarkEnd w:id="42"/>
    <w:p w14:paraId="6F706A5A">
      <w:pPr>
        <w:pStyle w:val="61"/>
        <w:spacing w:before="312"/>
      </w:pPr>
      <w:r>
        <w:rPr>
          <w:rFonts w:hint="eastAsia"/>
        </w:rPr>
        <w:t xml:space="preserve"> </w:t>
      </w:r>
      <w:bookmarkStart w:id="43" w:name="_Toc184805685"/>
      <w:r>
        <w:rPr>
          <w:rFonts w:hint="eastAsia"/>
        </w:rPr>
        <w:t>影响范围</w:t>
      </w:r>
      <w:bookmarkEnd w:id="43"/>
    </w:p>
    <w:p w14:paraId="5C3A4F0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根据水功能区水质管理目标和水生态保护要求，结合本项目污水排放特点，选取COD、NH</w:t>
      </w:r>
      <w:r>
        <w:rPr>
          <w:rFonts w:hint="eastAsia" w:cs="Times New Roman"/>
          <w:color w:val="000000" w:themeColor="text1"/>
          <w:vertAlign w:val="subscript"/>
          <w14:textFill>
            <w14:solidFill>
              <w14:schemeClr w14:val="tx1"/>
            </w14:solidFill>
          </w14:textFill>
        </w:rPr>
        <w:t>3</w:t>
      </w:r>
      <w:r>
        <w:rPr>
          <w:rFonts w:hint="eastAsia" w:cs="Times New Roman"/>
          <w:color w:val="000000" w:themeColor="text1"/>
          <w14:textFill>
            <w14:solidFill>
              <w14:schemeClr w14:val="tx1"/>
            </w14:solidFill>
          </w14:textFill>
        </w:rPr>
        <w:t>-N作为污染评价预测因子。</w:t>
      </w:r>
    </w:p>
    <w:p w14:paraId="14F6EC7E">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项目</w:t>
      </w:r>
      <w:r>
        <w:rPr>
          <w:rFonts w:cs="Times New Roman"/>
          <w:color w:val="000000" w:themeColor="text1"/>
          <w14:textFill>
            <w14:solidFill>
              <w14:schemeClr w14:val="tx1"/>
            </w14:solidFill>
          </w14:textFill>
        </w:rPr>
        <w:t>排污口</w:t>
      </w:r>
      <w:r>
        <w:rPr>
          <w:color w:val="000000" w:themeColor="text1"/>
          <w14:textFill>
            <w14:solidFill>
              <w14:schemeClr w14:val="tx1"/>
            </w14:solidFill>
          </w14:textFill>
        </w:rPr>
        <w:t>直接受纳水体</w:t>
      </w:r>
      <w:r>
        <w:rPr>
          <w:rFonts w:hint="eastAsia"/>
          <w:color w:val="000000" w:themeColor="text1"/>
          <w14:textFill>
            <w14:solidFill>
              <w14:schemeClr w14:val="tx1"/>
            </w14:solidFill>
          </w14:textFill>
        </w:rPr>
        <w:t>小河沟</w:t>
      </w:r>
      <w:r>
        <w:rPr>
          <w:color w:val="000000" w:themeColor="text1"/>
          <w14:textFill>
            <w14:solidFill>
              <w14:schemeClr w14:val="tx1"/>
            </w14:solidFill>
          </w14:textFill>
        </w:rPr>
        <w:t>无水域功能，下游</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属于《地表水环境质量标准》（GB 3838-2002）Ⅱ类水域。根据项目主要污染物迁移转化状况和地表水对照断面、控制断面与消减断面等关心断面的要求，结合污水处理厂出水影响将主要集中在排放口下游，确定地表水评价范围为污水处理厂排放口至下游41.5km</w:t>
      </w:r>
      <w:r>
        <w:rPr>
          <w:rFonts w:hint="eastAsia" w:cs="Times New Roman"/>
          <w:color w:val="000000" w:themeColor="text1"/>
          <w14:textFill>
            <w14:solidFill>
              <w14:schemeClr w14:val="tx1"/>
            </w14:solidFill>
          </w14:textFill>
        </w:rPr>
        <w:t>。</w:t>
      </w:r>
    </w:p>
    <w:p w14:paraId="60A9AB77">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从对环境最不利的角度考虑，选择分析</w:t>
      </w:r>
      <w:r>
        <w:rPr>
          <w:rFonts w:cs="Times New Roman"/>
          <w:color w:val="000000" w:themeColor="text1"/>
          <w14:textFill>
            <w14:solidFill>
              <w14:schemeClr w14:val="tx1"/>
            </w14:solidFill>
          </w14:textFill>
        </w:rPr>
        <w:t>枯水期条件下相关污染因子COD、NH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-N的影响范围和影响程度，为分析污水排放对水功能区</w:t>
      </w:r>
      <w:r>
        <w:rPr>
          <w:rFonts w:hint="eastAsia" w:cs="Times New Roman"/>
          <w:color w:val="000000" w:themeColor="text1"/>
          <w14:textFill>
            <w14:solidFill>
              <w14:schemeClr w14:val="tx1"/>
            </w14:solidFill>
          </w14:textFill>
        </w:rPr>
        <w:t>（水域）</w:t>
      </w:r>
      <w:r>
        <w:rPr>
          <w:rFonts w:cs="Times New Roman"/>
          <w:color w:val="000000" w:themeColor="text1"/>
          <w14:textFill>
            <w14:solidFill>
              <w14:schemeClr w14:val="tx1"/>
            </w14:solidFill>
          </w14:textFill>
        </w:rPr>
        <w:t>水质、水生态以及第三者权益的影响提供依据。</w:t>
      </w:r>
    </w:p>
    <w:p w14:paraId="6445ECF8">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河流水文情况及预测参数</w:t>
      </w:r>
    </w:p>
    <w:p w14:paraId="05769CB9">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根据水文</w:t>
      </w:r>
      <w:r>
        <w:rPr>
          <w:rFonts w:hint="eastAsia" w:cs="Times New Roman"/>
          <w:color w:val="000000" w:themeColor="text1"/>
          <w14:textFill>
            <w14:solidFill>
              <w14:schemeClr w14:val="tx1"/>
            </w14:solidFill>
          </w14:textFill>
        </w:rPr>
        <w:t>信息及</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等技术资料</w:t>
      </w:r>
      <w:r>
        <w:rPr>
          <w:rFonts w:cs="Times New Roman"/>
          <w:color w:val="000000" w:themeColor="text1"/>
          <w14:textFill>
            <w14:solidFill>
              <w14:schemeClr w14:val="tx1"/>
            </w14:solidFill>
          </w14:textFill>
        </w:rPr>
        <w:t>，项目受纳水体</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枯水期</w:t>
      </w:r>
      <w:r>
        <w:rPr>
          <w:rFonts w:hint="eastAsia" w:cs="Times New Roman"/>
          <w:color w:val="000000" w:themeColor="text1"/>
          <w14:textFill>
            <w14:solidFill>
              <w14:schemeClr w14:val="tx1"/>
            </w14:solidFill>
          </w14:textFill>
        </w:rPr>
        <w:t>预测水文参数</w:t>
      </w:r>
      <w:r>
        <w:rPr>
          <w:rFonts w:cs="Times New Roman"/>
          <w:color w:val="000000" w:themeColor="text1"/>
          <w14:textFill>
            <w14:solidFill>
              <w14:schemeClr w14:val="tx1"/>
            </w14:solidFill>
          </w14:textFill>
        </w:rPr>
        <w:t>详见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w:t>
      </w:r>
    </w:p>
    <w:p w14:paraId="2A5D94A5">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1  水文参数</w:t>
      </w:r>
      <w:r>
        <w:rPr>
          <w:rFonts w:hint="eastAsia" w:cs="Times New Roman"/>
          <w:b/>
          <w:color w:val="000000" w:themeColor="text1"/>
          <w:sz w:val="21"/>
          <w:szCs w:val="21"/>
          <w14:textFill>
            <w14:solidFill>
              <w14:schemeClr w14:val="tx1"/>
            </w14:solidFill>
          </w14:textFill>
        </w:rPr>
        <w:t>统计</w:t>
      </w:r>
      <w:r>
        <w:rPr>
          <w:rFonts w:cs="Times New Roman"/>
          <w:b/>
          <w:color w:val="000000" w:themeColor="text1"/>
          <w:sz w:val="21"/>
          <w:szCs w:val="21"/>
          <w14:textFill>
            <w14:solidFill>
              <w14:schemeClr w14:val="tx1"/>
            </w14:solidFill>
          </w14:textFill>
        </w:rPr>
        <w:t>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2035"/>
        <w:gridCol w:w="2589"/>
        <w:gridCol w:w="2322"/>
      </w:tblGrid>
      <w:tr w14:paraId="13A8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3F3F2070">
            <w:pPr>
              <w:pStyle w:val="119"/>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河流</w:t>
            </w:r>
          </w:p>
        </w:tc>
        <w:tc>
          <w:tcPr>
            <w:tcW w:w="1275" w:type="dxa"/>
            <w:vAlign w:val="center"/>
          </w:tcPr>
          <w:p w14:paraId="6FDD68B4">
            <w:pPr>
              <w:pStyle w:val="119"/>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水期</w:t>
            </w:r>
          </w:p>
        </w:tc>
        <w:tc>
          <w:tcPr>
            <w:tcW w:w="1622" w:type="dxa"/>
            <w:vAlign w:val="center"/>
          </w:tcPr>
          <w:p w14:paraId="5F553CAC">
            <w:pPr>
              <w:pStyle w:val="119"/>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流量（m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/s）</w:t>
            </w:r>
          </w:p>
        </w:tc>
        <w:tc>
          <w:tcPr>
            <w:tcW w:w="1455" w:type="dxa"/>
            <w:vAlign w:val="center"/>
          </w:tcPr>
          <w:p w14:paraId="1E4EF8B6">
            <w:pPr>
              <w:pStyle w:val="119"/>
              <w:spacing w:before="24" w:after="24"/>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流速（m/s）</w:t>
            </w:r>
          </w:p>
        </w:tc>
      </w:tr>
      <w:tr w14:paraId="4A83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64F7B830">
            <w:pPr>
              <w:pStyle w:val="119"/>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郁江</w:t>
            </w:r>
          </w:p>
        </w:tc>
        <w:tc>
          <w:tcPr>
            <w:tcW w:w="1275" w:type="dxa"/>
            <w:vAlign w:val="center"/>
          </w:tcPr>
          <w:p w14:paraId="37C0BC1D">
            <w:pPr>
              <w:pStyle w:val="119"/>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枯水期</w:t>
            </w:r>
          </w:p>
        </w:tc>
        <w:tc>
          <w:tcPr>
            <w:tcW w:w="1622" w:type="dxa"/>
            <w:vAlign w:val="center"/>
          </w:tcPr>
          <w:p w14:paraId="1CA8DEA3">
            <w:pPr>
              <w:pStyle w:val="119"/>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16.5</w:t>
            </w:r>
          </w:p>
        </w:tc>
        <w:tc>
          <w:tcPr>
            <w:tcW w:w="1455" w:type="dxa"/>
            <w:vAlign w:val="center"/>
          </w:tcPr>
          <w:p w14:paraId="35F12F11">
            <w:pPr>
              <w:pStyle w:val="119"/>
              <w:spacing w:before="24" w:after="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0.52</w:t>
            </w:r>
          </w:p>
        </w:tc>
      </w:tr>
    </w:tbl>
    <w:p w14:paraId="6B39C7D4">
      <w:pPr>
        <w:spacing w:before="156" w:beforeLines="50"/>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综合衰减系数反映了有机污染物在水体作用下降解速度，与河流的水文条件，如流量、流速、河宽、水深、泥沙含量等因素有关。综合自净系数可用实测资料或水团追踪法求取，也可经类比分析确定。根据《重庆市水资源综合规划水资源保护规划》和</w:t>
      </w:r>
      <w:r>
        <w:rPr>
          <w:rFonts w:hint="eastAsia"/>
          <w:color w:val="000000" w:themeColor="text1"/>
          <w14:textFill>
            <w14:solidFill>
              <w14:schemeClr w14:val="tx1"/>
            </w14:solidFill>
          </w14:textFill>
        </w:rPr>
        <w:t>《彭水县水功能区纳污能力核定和分阶段限制排污总量控制方案报告》</w:t>
      </w:r>
      <w:r>
        <w:rPr>
          <w:rFonts w:hint="eastAsia" w:cs="Times New Roman"/>
          <w:color w:val="000000" w:themeColor="text1"/>
          <w14:textFill>
            <w14:solidFill>
              <w14:schemeClr w14:val="tx1"/>
            </w14:solidFill>
          </w14:textFill>
        </w:rPr>
        <w:t>，确定本次论证河段污染物综合衰减系数，本次评价河段降解系数见表</w:t>
      </w:r>
      <w:r>
        <w:rPr>
          <w:rFonts w:cs="Times New Roman"/>
          <w:color w:val="000000" w:themeColor="text1"/>
          <w14:textFill>
            <w14:solidFill>
              <w14:schemeClr w14:val="tx1"/>
            </w14:solidFill>
          </w14:textFill>
        </w:rPr>
        <w:t>6.1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p>
    <w:p w14:paraId="7A82DE1B">
      <w:pPr>
        <w:spacing w:before="156" w:beforeLines="50"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 xml:space="preserve"> 评价河段降解系数一览表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2007"/>
        <w:gridCol w:w="2135"/>
      </w:tblGrid>
      <w:tr w14:paraId="2090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5" w:type="dxa"/>
            <w:vAlign w:val="center"/>
          </w:tcPr>
          <w:p w14:paraId="3DA54E13">
            <w:pPr>
              <w:pStyle w:val="119"/>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评价因子</w:t>
            </w:r>
          </w:p>
        </w:tc>
        <w:tc>
          <w:tcPr>
            <w:tcW w:w="2150" w:type="dxa"/>
            <w:vAlign w:val="center"/>
          </w:tcPr>
          <w:p w14:paraId="690C3364">
            <w:pPr>
              <w:pStyle w:val="119"/>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COD</w:t>
            </w:r>
          </w:p>
        </w:tc>
        <w:tc>
          <w:tcPr>
            <w:tcW w:w="2289" w:type="dxa"/>
            <w:vAlign w:val="center"/>
          </w:tcPr>
          <w:p w14:paraId="668EC13D">
            <w:pPr>
              <w:pStyle w:val="119"/>
              <w:adjustRightInd w:val="0"/>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14:textFill>
                  <w14:solidFill>
                    <w14:schemeClr w14:val="tx1"/>
                  </w14:solidFill>
                </w14:textFill>
              </w:rPr>
              <w:t>NH</w:t>
            </w:r>
            <w:r>
              <w:rPr>
                <w:rFonts w:hint="eastAsia" w:ascii="Times New Roman" w:hAnsi="Times New Roman" w:cs="Times New Roman"/>
                <w:b/>
                <w:color w:val="000000" w:themeColor="text1"/>
                <w:sz w:val="21"/>
                <w:szCs w:val="21"/>
                <w:vertAlign w:val="subscript"/>
                <w14:textFill>
                  <w14:solidFill>
                    <w14:schemeClr w14:val="tx1"/>
                  </w14:solidFill>
                </w14:textFill>
              </w:rPr>
              <w:t>3</w:t>
            </w:r>
            <w:r>
              <w:rPr>
                <w:rFonts w:hint="eastAsia" w:ascii="Times New Roman" w:hAnsi="Times New Roman" w:cs="Times New Roman"/>
                <w:b/>
                <w:color w:val="000000" w:themeColor="text1"/>
                <w:sz w:val="21"/>
                <w:szCs w:val="21"/>
                <w14:textFill>
                  <w14:solidFill>
                    <w14:schemeClr w14:val="tx1"/>
                  </w14:solidFill>
                </w14:textFill>
              </w:rPr>
              <w:t>-N</w:t>
            </w:r>
          </w:p>
        </w:tc>
      </w:tr>
      <w:tr w14:paraId="14C4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5" w:type="dxa"/>
            <w:vAlign w:val="center"/>
          </w:tcPr>
          <w:p w14:paraId="7F41C6AF">
            <w:pPr>
              <w:pStyle w:val="119"/>
              <w:adjustRightInd w:val="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降解系数（1/d）</w:t>
            </w:r>
          </w:p>
        </w:tc>
        <w:tc>
          <w:tcPr>
            <w:tcW w:w="2150" w:type="dxa"/>
            <w:vAlign w:val="center"/>
          </w:tcPr>
          <w:p w14:paraId="5D534D01">
            <w:pPr>
              <w:pStyle w:val="119"/>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0.21</w:t>
            </w:r>
          </w:p>
        </w:tc>
        <w:tc>
          <w:tcPr>
            <w:tcW w:w="2289" w:type="dxa"/>
            <w:vAlign w:val="center"/>
          </w:tcPr>
          <w:p w14:paraId="45C3AD56">
            <w:pPr>
              <w:pStyle w:val="119"/>
              <w:adjustRightInd w:val="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0.22</w:t>
            </w:r>
          </w:p>
        </w:tc>
      </w:tr>
    </w:tbl>
    <w:p w14:paraId="16A88042">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预测模型</w:t>
      </w:r>
    </w:p>
    <w:p w14:paraId="03F91CD9">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多年枯水期平均流量为16.5m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项目废水排放量为90m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尾水排放方式为岸边连续稳定排放，评价根据《环境影响评价技术导则 地表水环境》（HJ 2.3-2018），本评价水质预测采用纵向一维数学模型进行预测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根据河流纵向一维水质模型议程的简化、分类判别条件（即：O’Connor数α和贝克来数Pe），选择相应的解析解公式</w:t>
      </w:r>
      <w:r>
        <w:rPr>
          <w:rFonts w:hint="eastAsia" w:cs="Times New Roman"/>
          <w:color w:val="000000" w:themeColor="text1"/>
          <w14:textFill>
            <w14:solidFill>
              <w14:schemeClr w14:val="tx1"/>
            </w14:solidFill>
          </w14:textFill>
        </w:rPr>
        <w:t>：</w:t>
      </w:r>
    </w:p>
    <w:p w14:paraId="036E9D75">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α=</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k</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p>
                <m:sSupPr>
                  <m:ctrlPr>
                    <w:rPr>
                      <w:rFonts w:ascii="Cambria Math" w:hAnsi="Cambria Math" w:cs="Times New Roman"/>
                      <w:i/>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u</m:t>
                  </m:r>
                  <m:ctrlPr>
                    <w:rPr>
                      <w:rFonts w:ascii="Cambria Math" w:hAnsi="Cambria Math" w:cs="Times New Roman"/>
                      <w:i/>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2</m:t>
                  </m:r>
                  <m:ctrlPr>
                    <w:rPr>
                      <w:rFonts w:ascii="Cambria Math" w:hAnsi="Cambria Math" w:cs="Times New Roman"/>
                      <w:i/>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den>
          </m:f>
        </m:oMath>
      </m:oMathPara>
    </w:p>
    <w:p w14:paraId="40EE660F">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Pe=</m:t>
          </m:r>
          <m:f>
            <m:fPr>
              <m:ctrlPr>
                <w:rPr>
                  <w:rFonts w:ascii="Cambria Math" w:hAnsi="Cambria Math" w:cs="Times New Roman"/>
                  <w:color w:val="000000" w:themeColor="text1"/>
                  <w14:textFill>
                    <w14:solidFill>
                      <w14:schemeClr w14:val="tx1"/>
                    </w14:solidFill>
                  </w14:textFill>
                </w:rPr>
              </m:ctrlPr>
            </m:fPr>
            <m:num>
              <m:r>
                <m:rPr/>
                <w:rPr>
                  <w:rFonts w:ascii="Cambria Math" w:hAnsi="Cambria Math" w:cs="Times New Roman"/>
                  <w:color w:val="000000" w:themeColor="text1"/>
                  <w14:textFill>
                    <w14:solidFill>
                      <w14:schemeClr w14:val="tx1"/>
                    </w14:solidFill>
                  </w14:textFill>
                </w:rPr>
                <m:t>uB</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14:paraId="3D6719D8">
      <w:pPr>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cs="Times New Roman"/>
          <w:color w:val="000000" w:themeColor="text1"/>
          <w14:textFill>
            <w14:solidFill>
              <w14:schemeClr w14:val="tx1"/>
            </w14:solidFill>
          </w14:textFill>
        </w:rPr>
        <w:t>α</w:t>
      </w:r>
      <w:r>
        <w:rPr>
          <w:color w:val="000000" w:themeColor="text1"/>
          <w14:textFill>
            <w14:solidFill>
              <w14:schemeClr w14:val="tx1"/>
            </w14:solidFill>
          </w14:textFill>
        </w:rPr>
        <w:t>——O’Connor数，量纲为1，表征物质离散降解通量与移流通量比值；</w:t>
      </w:r>
    </w:p>
    <w:p w14:paraId="5377CFAB">
      <w:pPr>
        <w:ind w:firstLine="1132" w:firstLineChars="472"/>
        <w:rPr>
          <w:color w:val="000000" w:themeColor="text1"/>
          <w14:textFill>
            <w14:solidFill>
              <w14:schemeClr w14:val="tx1"/>
            </w14:solidFill>
          </w14:textFill>
        </w:rPr>
      </w:pPr>
      <w:r>
        <w:rPr>
          <w:rFonts w:cs="Times New Roman"/>
          <w:color w:val="000000" w:themeColor="text1"/>
          <w14:textFill>
            <w14:solidFill>
              <w14:schemeClr w14:val="tx1"/>
            </w14:solidFill>
          </w14:textFill>
        </w:rPr>
        <w:t>Pe</w:t>
      </w:r>
      <w:r>
        <w:rPr>
          <w:color w:val="000000" w:themeColor="text1"/>
          <w14:textFill>
            <w14:solidFill>
              <w14:schemeClr w14:val="tx1"/>
            </w14:solidFill>
          </w14:textFill>
        </w:rPr>
        <w:t>——贝克来数，量纲为1，表征物质移流通量与离散通量比值；</w:t>
      </w:r>
    </w:p>
    <w:p w14:paraId="7AF1D046">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k——污染物综合衰减系数，1/s；</w:t>
      </w:r>
    </w:p>
    <w:p w14:paraId="4C2D610B">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u—断面流速，m/s</w:t>
      </w:r>
      <w:r>
        <w:rPr>
          <w:rFonts w:hint="eastAsia"/>
          <w:color w:val="000000" w:themeColor="text1"/>
          <w14:textFill>
            <w14:solidFill>
              <w14:schemeClr w14:val="tx1"/>
            </w14:solidFill>
          </w14:textFill>
        </w:rPr>
        <w:t>；</w:t>
      </w:r>
    </w:p>
    <w:p w14:paraId="7F9881DB">
      <w:pPr>
        <w:ind w:left="1133" w:leftChars="472" w:firstLine="0" w:firstLineChars="0"/>
        <w:rPr>
          <w:snapToGrid/>
          <w:color w:val="000000" w:themeColor="text1"/>
          <w14:textFill>
            <w14:solidFill>
              <w14:schemeClr w14:val="tx1"/>
            </w14:solidFill>
          </w14:textFill>
        </w:rPr>
      </w:pPr>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E</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x</m:t>
            </m:r>
            <m:ctrlPr>
              <w:rPr>
                <w:rFonts w:ascii="Cambria Math" w:hAnsi="Cambria Math" w:cs="Times New Roman"/>
                <w:i/>
                <w:color w:val="000000" w:themeColor="text1"/>
                <w14:textFill>
                  <w14:solidFill>
                    <w14:schemeClr w14:val="tx1"/>
                  </w14:solidFill>
                </w14:textFill>
              </w:rPr>
            </m:ctrlPr>
          </m:sub>
        </m:sSub>
      </m:oMath>
      <w:r>
        <w:rPr>
          <w:color w:val="000000" w:themeColor="text1"/>
          <w14:textFill>
            <w14:solidFill>
              <w14:schemeClr w14:val="tx1"/>
            </w14:solidFill>
          </w14:textFill>
        </w:rPr>
        <w:t>——污染物纵向扩散系数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/s</w:t>
      </w:r>
      <w:r>
        <w:rPr>
          <w:snapToGrid/>
          <w:color w:val="000000" w:themeColor="text1"/>
          <w14:textFill>
            <w14:solidFill>
              <w14:schemeClr w14:val="tx1"/>
            </w14:solidFill>
          </w14:textFill>
        </w:rPr>
        <w:t>；</w:t>
      </w:r>
    </w:p>
    <w:p w14:paraId="343D3C6C">
      <w:pPr>
        <w:ind w:left="1133" w:leftChars="472" w:firstLine="0" w:firstLineChars="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B——水面宽度，m。</w:t>
      </w:r>
    </w:p>
    <w:p w14:paraId="04FAC087">
      <w:pPr>
        <w:ind w:firstLine="48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地表水环境》（HJ 2.3-2018），当α≤0.027、Pe≥1，适用对流降解模型</w:t>
      </w:r>
      <w:r>
        <w:rPr>
          <w:rFonts w:hint="eastAsia"/>
          <w:color w:val="000000" w:themeColor="text1"/>
          <w14:textFill>
            <w14:solidFill>
              <w14:schemeClr w14:val="tx1"/>
            </w14:solidFill>
          </w14:textFill>
        </w:rPr>
        <w:t>：</w:t>
      </w:r>
    </w:p>
    <w:p w14:paraId="3BCBEB42">
      <w:pPr>
        <w:ind w:firstLine="480"/>
        <w:jc w:val="center"/>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C</m:t>
        </m:r>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func>
          <m:funcPr>
            <m:ctrlPr>
              <w:rPr>
                <w:rFonts w:ascii="Cambria Math" w:hAnsi="Cambria Math"/>
                <w:color w:val="000000" w:themeColor="text1"/>
                <w14:textFill>
                  <w14:solidFill>
                    <w14:schemeClr w14:val="tx1"/>
                  </w14:solidFill>
                </w14:textFill>
              </w:rPr>
            </m:ctrlPr>
          </m:funcPr>
          <m:fName>
            <m:r>
              <m:rPr/>
              <w:rPr>
                <w:rFonts w:ascii="Cambria Math" w:hAnsi="Cambria Math"/>
                <w:color w:val="000000" w:themeColor="text1"/>
                <w14:textFill>
                  <w14:solidFill>
                    <w14:schemeClr w14:val="tx1"/>
                  </w14:solidFill>
                </w14:textFill>
              </w:rPr>
              <m:t>exp</m:t>
            </m:r>
            <m:ctrlPr>
              <w:rPr>
                <w:rFonts w:ascii="Cambria Math" w:hAnsi="Cambria Math"/>
                <w:color w:val="000000" w:themeColor="text1"/>
                <w14:textFill>
                  <w14:solidFill>
                    <w14:schemeClr w14:val="tx1"/>
                  </w14:solidFill>
                </w14:textFill>
              </w:rPr>
            </m:ctrlPr>
          </m:fName>
          <m:e>
            <m:r>
              <m:rPr>
                <m:sty m:val="p"/>
              </m:rPr>
              <w:rPr>
                <w:rFonts w:ascii="Cambria Math" w:hAns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func>
        <m:r>
          <m:rPr>
            <m:sty m:val="p"/>
          </m:rPr>
          <w:rPr>
            <w:rFonts w:ascii="Cambria Math" w:hAns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kx</m:t>
            </m:r>
            <m:ctrlPr>
              <w:rPr>
                <w:rFonts w:ascii="Cambria Math" w:hAnsi="Cambria Math"/>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u</m:t>
            </m:r>
            <m:ctrlPr>
              <w:rPr>
                <w:rFonts w:ascii="Cambria Math" w:hAnsi="Cambria Math"/>
                <w:color w:val="000000" w:themeColor="text1"/>
                <w14:textFill>
                  <w14:solidFill>
                    <w14:schemeClr w14:val="tx1"/>
                  </w14:solidFill>
                </w14:textFill>
              </w:rPr>
            </m:ctrlPr>
          </m:den>
        </m:f>
        <m:r>
          <m:rPr>
            <m:sty m:val="p"/>
          </m:rPr>
          <w:rPr>
            <w:rFonts w:ascii="Cambria Math" w:hAnsi="Cambria Math"/>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x</m:t>
        </m:r>
        <m:r>
          <m:rPr>
            <m:sty m:val="p"/>
          </m:rPr>
          <w:rPr>
            <w:rFonts w:ascii="Cambria Math" w:hAnsi="Cambria Math"/>
            <w:color w:val="000000" w:themeColor="text1"/>
            <w14:textFill>
              <w14:solidFill>
                <w14:schemeClr w14:val="tx1"/>
              </w14:solidFill>
            </w14:textFill>
          </w:rPr>
          <m:t>≥0</m:t>
        </m:r>
      </m:oMath>
      <w:r>
        <w:rPr>
          <w:color w:val="000000" w:themeColor="text1"/>
          <w14:textFill>
            <w14:solidFill>
              <w14:schemeClr w14:val="tx1"/>
            </w14:solidFill>
          </w14:textFill>
        </w:rPr>
        <w:t>；</w:t>
      </w:r>
    </w:p>
    <w:p w14:paraId="38CBCC52">
      <w:pPr>
        <w:ind w:firstLine="480"/>
        <w:rPr>
          <w:color w:val="000000" w:themeColor="text1"/>
          <w14:textFill>
            <w14:solidFill>
              <w14:schemeClr w14:val="tx1"/>
            </w14:solidFill>
          </w14:textFill>
        </w:rPr>
      </w:pPr>
      <m:oMathPara>
        <m:oMathParaPr>
          <m:jc m:val="center"/>
        </m:oMathPara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0</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Q</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color w:val="000000" w:themeColor="text1"/>
                  <w14:textFill>
                    <w14:solidFill>
                      <w14:schemeClr w14:val="tx1"/>
                    </w14:solidFill>
                  </w14:textFill>
                </w:rPr>
              </m:ctrlPr>
            </m:sub>
          </m:sSub>
          <m:r>
            <m:rPr>
              <m:sty m:val="p"/>
            </m:rPr>
            <w:rPr>
              <w:rFonts w:ascii="Cambria Math" w:hAnsi="Cambria Math"/>
              <w:color w:val="000000" w:themeColor="text1"/>
              <w14:textFill>
                <w14:solidFill>
                  <w14:schemeClr w14:val="tx1"/>
                </w14:solidFill>
              </w14:textFill>
            </w:rPr>
            <m:t>)</m:t>
          </m:r>
        </m:oMath>
      </m:oMathPara>
    </w:p>
    <w:p w14:paraId="299C4BD1">
      <w:pPr>
        <w:ind w:firstLine="480"/>
        <w:rPr>
          <w:color w:val="000000" w:themeColor="text1"/>
          <w14:textFill>
            <w14:solidFill>
              <w14:schemeClr w14:val="tx1"/>
            </w14:solidFill>
          </w14:textFill>
        </w:rPr>
      </w:pPr>
      <w:r>
        <w:rPr>
          <w:color w:val="000000" w:themeColor="text1"/>
          <w14:textFill>
            <w14:solidFill>
              <w14:schemeClr w14:val="tx1"/>
            </w14:solidFill>
          </w14:textFill>
        </w:rPr>
        <w:t>式中：C——预测断面的污染物浓度，mg/L；</w:t>
      </w:r>
    </w:p>
    <w:p w14:paraId="4DC90F56">
      <w:pPr>
        <w:ind w:firstLine="1132" w:firstLineChars="472"/>
        <w:rPr>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0</m:t>
            </m:r>
            <m:ctrlPr>
              <w:rPr>
                <w:rFonts w:ascii="Cambria Math" w:hAnsi="Cambria Math"/>
                <w:i/>
                <w:color w:val="000000" w:themeColor="text1"/>
                <w14:textFill>
                  <w14:solidFill>
                    <w14:schemeClr w14:val="tx1"/>
                  </w14:solidFill>
                </w14:textFill>
              </w:rPr>
            </m:ctrlPr>
          </m:sub>
        </m:sSub>
      </m:oMath>
      <w:r>
        <w:rPr>
          <w:color w:val="000000" w:themeColor="text1"/>
          <w14:textFill>
            <w14:solidFill>
              <w14:schemeClr w14:val="tx1"/>
            </w14:solidFill>
          </w14:textFill>
        </w:rPr>
        <w:t>——初始断面的污染物混合浓度，mg/L；</w:t>
      </w:r>
    </w:p>
    <w:p w14:paraId="1ECA1E0F">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 xml:space="preserve">k——污染物综合衰减系数，1/s； </w:t>
      </w:r>
    </w:p>
    <w:p w14:paraId="0787353B">
      <w:pPr>
        <w:ind w:left="1133" w:leftChars="472" w:firstLine="0" w:firstLineChars="0"/>
        <w:rPr>
          <w:snapToGrid/>
          <w:color w:val="000000" w:themeColor="text1"/>
          <w14:textFill>
            <w14:solidFill>
              <w14:schemeClr w14:val="tx1"/>
            </w14:solidFill>
          </w14:textFill>
        </w:rPr>
      </w:pPr>
      <w:r>
        <w:rPr>
          <w:color w:val="000000" w:themeColor="text1"/>
          <w14:textFill>
            <w14:solidFill>
              <w14:schemeClr w14:val="tx1"/>
            </w14:solidFill>
          </w14:textFill>
        </w:rPr>
        <w:t>x——河流</w:t>
      </w:r>
      <w:r>
        <w:rPr>
          <w:snapToGrid/>
          <w:color w:val="000000" w:themeColor="text1"/>
          <w14:textFill>
            <w14:solidFill>
              <w14:schemeClr w14:val="tx1"/>
            </w14:solidFill>
          </w14:textFill>
        </w:rPr>
        <w:t>沿程坐标，m；x=0指排放口处，x&gt;0指排放口下游段，x&lt;0指排放口上游段；</w:t>
      </w:r>
    </w:p>
    <w:p w14:paraId="747452F7">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u——断面平均流速，m/s；</w:t>
      </w:r>
    </w:p>
    <w:p w14:paraId="2CB46F70">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p</w:t>
      </w:r>
      <w:r>
        <w:rPr>
          <w:color w:val="000000" w:themeColor="text1"/>
          <w14:textFill>
            <w14:solidFill>
              <w14:schemeClr w14:val="tx1"/>
            </w14:solidFill>
          </w14:textFill>
        </w:rPr>
        <w:t>——分别为污水的污染物浓度（mg/L）和流量（m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2F284993">
      <w:pPr>
        <w:ind w:firstLine="1132" w:firstLineChars="472"/>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、Q</w:t>
      </w:r>
      <w:r>
        <w:rPr>
          <w:color w:val="000000" w:themeColor="text1"/>
          <w:sz w:val="16"/>
          <w:szCs w:val="16"/>
          <w14:textFill>
            <w14:solidFill>
              <w14:schemeClr w14:val="tx1"/>
            </w14:solidFill>
          </w14:textFill>
        </w:rPr>
        <w:t>h</w:t>
      </w:r>
      <w:r>
        <w:rPr>
          <w:color w:val="000000" w:themeColor="text1"/>
          <w14:textFill>
            <w14:solidFill>
              <w14:schemeClr w14:val="tx1"/>
            </w14:solidFill>
          </w14:textFill>
        </w:rPr>
        <w:t>——分别为上游河段污染物浓度（mg/L）和流量（m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14:paraId="4B581BE1">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污染源强</w:t>
      </w:r>
    </w:p>
    <w:p w14:paraId="1F34434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本次论证的污染物源强见表6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p>
    <w:p w14:paraId="7AEF3587">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.1</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污染物源强</w:t>
      </w:r>
    </w:p>
    <w:tbl>
      <w:tblPr>
        <w:tblStyle w:val="30"/>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268"/>
        <w:gridCol w:w="1510"/>
        <w:gridCol w:w="2424"/>
        <w:gridCol w:w="2320"/>
      </w:tblGrid>
      <w:tr w14:paraId="6C76D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Merge w:val="restart"/>
            <w:vAlign w:val="center"/>
          </w:tcPr>
          <w:p w14:paraId="72F4F32A">
            <w:pPr>
              <w:pStyle w:val="102"/>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项目</w:t>
            </w:r>
          </w:p>
        </w:tc>
        <w:tc>
          <w:tcPr>
            <w:tcW w:w="886" w:type="pct"/>
            <w:vMerge w:val="restart"/>
            <w:vAlign w:val="center"/>
          </w:tcPr>
          <w:p w14:paraId="4116B907">
            <w:pPr>
              <w:pStyle w:val="102"/>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排放量（m</w:t>
            </w:r>
            <w:r>
              <w:rPr>
                <w:b/>
                <w:color w:val="000000" w:themeColor="text1"/>
                <w:sz w:val="22"/>
                <w:vertAlign w:val="superscript"/>
                <w14:textFill>
                  <w14:solidFill>
                    <w14:schemeClr w14:val="tx1"/>
                  </w14:solidFill>
                </w14:textFill>
              </w:rPr>
              <w:t>3</w:t>
            </w:r>
            <w:r>
              <w:rPr>
                <w:b/>
                <w:color w:val="000000" w:themeColor="text1"/>
                <w:sz w:val="22"/>
                <w14:textFill>
                  <w14:solidFill>
                    <w14:schemeClr w14:val="tx1"/>
                  </w14:solidFill>
                </w14:textFill>
              </w:rPr>
              <w:t>/d）</w:t>
            </w:r>
          </w:p>
        </w:tc>
        <w:tc>
          <w:tcPr>
            <w:tcW w:w="2783" w:type="pct"/>
            <w:gridSpan w:val="2"/>
            <w:vAlign w:val="center"/>
          </w:tcPr>
          <w:p w14:paraId="0970E231">
            <w:pPr>
              <w:pStyle w:val="102"/>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污染物</w:t>
            </w:r>
          </w:p>
        </w:tc>
      </w:tr>
      <w:tr w14:paraId="3420D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Merge w:val="continue"/>
            <w:vAlign w:val="center"/>
          </w:tcPr>
          <w:p w14:paraId="5C178AF9">
            <w:pPr>
              <w:pStyle w:val="102"/>
              <w:adjustRightInd w:val="0"/>
              <w:snapToGrid w:val="0"/>
              <w:spacing w:line="240" w:lineRule="auto"/>
              <w:rPr>
                <w:b/>
                <w:color w:val="000000" w:themeColor="text1"/>
                <w:sz w:val="22"/>
                <w14:textFill>
                  <w14:solidFill>
                    <w14:schemeClr w14:val="tx1"/>
                  </w14:solidFill>
                </w14:textFill>
              </w:rPr>
            </w:pPr>
          </w:p>
        </w:tc>
        <w:tc>
          <w:tcPr>
            <w:tcW w:w="886" w:type="pct"/>
            <w:vMerge w:val="continue"/>
            <w:vAlign w:val="center"/>
          </w:tcPr>
          <w:p w14:paraId="42EF0BF5">
            <w:pPr>
              <w:pStyle w:val="102"/>
              <w:adjustRightInd w:val="0"/>
              <w:snapToGrid w:val="0"/>
              <w:spacing w:line="240" w:lineRule="auto"/>
              <w:rPr>
                <w:b/>
                <w:color w:val="000000" w:themeColor="text1"/>
                <w:sz w:val="22"/>
                <w14:textFill>
                  <w14:solidFill>
                    <w14:schemeClr w14:val="tx1"/>
                  </w14:solidFill>
                </w14:textFill>
              </w:rPr>
            </w:pPr>
          </w:p>
        </w:tc>
        <w:tc>
          <w:tcPr>
            <w:tcW w:w="1422" w:type="pct"/>
            <w:vAlign w:val="center"/>
          </w:tcPr>
          <w:p w14:paraId="53E8AF4A">
            <w:pPr>
              <w:pStyle w:val="102"/>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COD（mg/L）</w:t>
            </w:r>
          </w:p>
        </w:tc>
        <w:tc>
          <w:tcPr>
            <w:tcW w:w="1360" w:type="pct"/>
            <w:vAlign w:val="center"/>
          </w:tcPr>
          <w:p w14:paraId="10D0D6B0">
            <w:pPr>
              <w:pStyle w:val="102"/>
              <w:adjustRightInd w:val="0"/>
              <w:snapToGrid w:val="0"/>
              <w:spacing w:line="240" w:lineRule="auto"/>
              <w:rPr>
                <w:b/>
                <w:color w:val="000000" w:themeColor="text1"/>
                <w:sz w:val="22"/>
                <w14:textFill>
                  <w14:solidFill>
                    <w14:schemeClr w14:val="tx1"/>
                  </w14:solidFill>
                </w14:textFill>
              </w:rPr>
            </w:pPr>
            <w:r>
              <w:rPr>
                <w:b/>
                <w:color w:val="000000" w:themeColor="text1"/>
                <w:sz w:val="22"/>
                <w14:textFill>
                  <w14:solidFill>
                    <w14:schemeClr w14:val="tx1"/>
                  </w14:solidFill>
                </w14:textFill>
              </w:rPr>
              <w:t>NH</w:t>
            </w:r>
            <w:r>
              <w:rPr>
                <w:b/>
                <w:color w:val="000000" w:themeColor="text1"/>
                <w:sz w:val="22"/>
                <w:vertAlign w:val="subscript"/>
                <w14:textFill>
                  <w14:solidFill>
                    <w14:schemeClr w14:val="tx1"/>
                  </w14:solidFill>
                </w14:textFill>
              </w:rPr>
              <w:t>3</w:t>
            </w:r>
            <w:r>
              <w:rPr>
                <w:b/>
                <w:color w:val="000000" w:themeColor="text1"/>
                <w:sz w:val="22"/>
                <w14:textFill>
                  <w14:solidFill>
                    <w14:schemeClr w14:val="tx1"/>
                  </w14:solidFill>
                </w14:textFill>
              </w:rPr>
              <w:t>-N（mg/L）</w:t>
            </w:r>
          </w:p>
        </w:tc>
      </w:tr>
      <w:tr w14:paraId="6160C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Align w:val="center"/>
          </w:tcPr>
          <w:p w14:paraId="15F1CF14">
            <w:pPr>
              <w:pStyle w:val="102"/>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正常排放情况</w:t>
            </w:r>
          </w:p>
        </w:tc>
        <w:tc>
          <w:tcPr>
            <w:tcW w:w="886" w:type="pct"/>
            <w:vMerge w:val="restart"/>
            <w:vAlign w:val="center"/>
          </w:tcPr>
          <w:p w14:paraId="5FE307CD">
            <w:pPr>
              <w:pStyle w:val="102"/>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90</w:t>
            </w:r>
          </w:p>
        </w:tc>
        <w:tc>
          <w:tcPr>
            <w:tcW w:w="1422" w:type="pct"/>
            <w:vAlign w:val="center"/>
          </w:tcPr>
          <w:p w14:paraId="0C8763AD">
            <w:pPr>
              <w:pStyle w:val="102"/>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60</w:t>
            </w:r>
          </w:p>
        </w:tc>
        <w:tc>
          <w:tcPr>
            <w:tcW w:w="1360" w:type="pct"/>
            <w:vAlign w:val="center"/>
          </w:tcPr>
          <w:p w14:paraId="7A6B782C">
            <w:pPr>
              <w:pStyle w:val="102"/>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8</w:t>
            </w:r>
          </w:p>
        </w:tc>
      </w:tr>
      <w:tr w14:paraId="027EB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31" w:type="pct"/>
            <w:vAlign w:val="center"/>
          </w:tcPr>
          <w:p w14:paraId="01A16745">
            <w:pPr>
              <w:pStyle w:val="102"/>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非正常排放情况</w:t>
            </w:r>
          </w:p>
        </w:tc>
        <w:tc>
          <w:tcPr>
            <w:tcW w:w="886" w:type="pct"/>
            <w:vMerge w:val="continue"/>
            <w:vAlign w:val="center"/>
          </w:tcPr>
          <w:p w14:paraId="7E0D05B5">
            <w:pPr>
              <w:pStyle w:val="102"/>
              <w:adjustRightInd w:val="0"/>
              <w:snapToGrid w:val="0"/>
              <w:spacing w:line="240" w:lineRule="auto"/>
              <w:rPr>
                <w:color w:val="000000" w:themeColor="text1"/>
                <w:sz w:val="22"/>
                <w14:textFill>
                  <w14:solidFill>
                    <w14:schemeClr w14:val="tx1"/>
                  </w14:solidFill>
                </w14:textFill>
              </w:rPr>
            </w:pPr>
          </w:p>
        </w:tc>
        <w:tc>
          <w:tcPr>
            <w:tcW w:w="1422" w:type="pct"/>
            <w:vAlign w:val="center"/>
          </w:tcPr>
          <w:p w14:paraId="22BFFCFB">
            <w:pPr>
              <w:pStyle w:val="102"/>
              <w:adjustRightInd w:val="0"/>
              <w:snapToGrid w:val="0"/>
              <w:spacing w:line="240" w:lineRule="auto"/>
              <w:rPr>
                <w:bCs/>
                <w:color w:val="000000" w:themeColor="text1"/>
                <w:sz w:val="22"/>
                <w14:textFill>
                  <w14:solidFill>
                    <w14:schemeClr w14:val="tx1"/>
                  </w14:solidFill>
                </w14:textFill>
              </w:rPr>
            </w:pPr>
            <w:r>
              <w:rPr>
                <w:bCs/>
                <w:color w:val="000000" w:themeColor="text1"/>
                <w:sz w:val="22"/>
                <w14:textFill>
                  <w14:solidFill>
                    <w14:schemeClr w14:val="tx1"/>
                  </w14:solidFill>
                </w14:textFill>
              </w:rPr>
              <w:t>350</w:t>
            </w:r>
          </w:p>
        </w:tc>
        <w:tc>
          <w:tcPr>
            <w:tcW w:w="1360" w:type="pct"/>
            <w:vAlign w:val="center"/>
          </w:tcPr>
          <w:p w14:paraId="5DE58A8A">
            <w:pPr>
              <w:pStyle w:val="102"/>
              <w:adjustRightInd w:val="0"/>
              <w:snapToGrid w:val="0"/>
              <w:spacing w:line="240" w:lineRule="auto"/>
              <w:rPr>
                <w:color w:val="000000" w:themeColor="text1"/>
                <w:sz w:val="22"/>
                <w14:textFill>
                  <w14:solidFill>
                    <w14:schemeClr w14:val="tx1"/>
                  </w14:solidFill>
                </w14:textFill>
              </w:rPr>
            </w:pPr>
            <w:r>
              <w:rPr>
                <w:color w:val="000000" w:themeColor="text1"/>
                <w:sz w:val="22"/>
                <w14:textFill>
                  <w14:solidFill>
                    <w14:schemeClr w14:val="tx1"/>
                  </w14:solidFill>
                </w14:textFill>
              </w:rPr>
              <w:t>30</w:t>
            </w:r>
          </w:p>
        </w:tc>
      </w:tr>
    </w:tbl>
    <w:p w14:paraId="6F38EEA3">
      <w:pPr>
        <w:spacing w:before="156" w:beforeLines="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因芦塘乡污水处理厂排污口位于本次论证排污口下游约</w:t>
      </w:r>
      <w:r>
        <w:rPr>
          <w:color w:val="000000" w:themeColor="text1"/>
          <w14:textFill>
            <w14:solidFill>
              <w14:schemeClr w14:val="tx1"/>
            </w14:solidFill>
          </w14:textFill>
        </w:rPr>
        <w:t>10000m</w:t>
      </w:r>
      <w:r>
        <w:rPr>
          <w:rFonts w:hint="eastAsia"/>
          <w:color w:val="000000" w:themeColor="text1"/>
          <w14:textFill>
            <w14:solidFill>
              <w14:schemeClr w14:val="tx1"/>
            </w14:solidFill>
          </w14:textFill>
        </w:rPr>
        <w:t>处、桑拓镇污水处理厂排污口位于本次论证排污口下游约</w:t>
      </w:r>
      <w:r>
        <w:rPr>
          <w:color w:val="000000" w:themeColor="text1"/>
          <w14:textFill>
            <w14:solidFill>
              <w14:schemeClr w14:val="tx1"/>
            </w14:solidFill>
          </w14:textFill>
        </w:rPr>
        <w:t>14000m</w:t>
      </w:r>
      <w:r>
        <w:rPr>
          <w:rFonts w:hint="eastAsia"/>
          <w:color w:val="000000" w:themeColor="text1"/>
          <w14:textFill>
            <w14:solidFill>
              <w14:schemeClr w14:val="tx1"/>
            </w14:solidFill>
          </w14:textFill>
        </w:rPr>
        <w:t>处、鞍子镇污水处理厂排污口位于本次论证排污口下游约</w:t>
      </w:r>
      <w:r>
        <w:rPr>
          <w:color w:val="000000" w:themeColor="text1"/>
          <w14:textFill>
            <w14:solidFill>
              <w14:schemeClr w14:val="tx1"/>
            </w14:solidFill>
          </w14:textFill>
        </w:rPr>
        <w:t>22000m</w:t>
      </w:r>
      <w:r>
        <w:rPr>
          <w:rFonts w:hint="eastAsia"/>
          <w:color w:val="000000" w:themeColor="text1"/>
          <w14:textFill>
            <w14:solidFill>
              <w14:schemeClr w14:val="tx1"/>
            </w14:solidFill>
          </w14:textFill>
        </w:rPr>
        <w:t>处、梅子垭镇污水处理厂排污口位于本次论证排污口下游约</w:t>
      </w:r>
      <w:r>
        <w:rPr>
          <w:color w:val="000000" w:themeColor="text1"/>
          <w14:textFill>
            <w14:solidFill>
              <w14:schemeClr w14:val="tx1"/>
            </w14:solidFill>
          </w14:textFill>
        </w:rPr>
        <w:t>22000m</w:t>
      </w:r>
      <w:r>
        <w:rPr>
          <w:rFonts w:hint="eastAsia"/>
          <w:color w:val="000000" w:themeColor="text1"/>
          <w14:textFill>
            <w14:solidFill>
              <w14:schemeClr w14:val="tx1"/>
            </w14:solidFill>
          </w14:textFill>
        </w:rPr>
        <w:t>处，本次预测按排污口下游</w:t>
      </w:r>
      <w:r>
        <w:rPr>
          <w:color w:val="000000" w:themeColor="text1"/>
          <w14:textFill>
            <w14:solidFill>
              <w14:schemeClr w14:val="tx1"/>
            </w14:solidFill>
          </w14:textFill>
        </w:rPr>
        <w:t>100~10000m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10000~14000m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14000~22000m</w:t>
      </w:r>
      <w:r>
        <w:rPr>
          <w:rFonts w:hint="eastAsia"/>
          <w:color w:val="000000" w:themeColor="text1"/>
          <w14:textFill>
            <w14:solidFill>
              <w14:schemeClr w14:val="tx1"/>
            </w14:solidFill>
          </w14:textFill>
        </w:rPr>
        <w:t>分段预测，分别在下游</w:t>
      </w:r>
      <w:r>
        <w:rPr>
          <w:color w:val="000000" w:themeColor="text1"/>
          <w14:textFill>
            <w14:solidFill>
              <w14:schemeClr w14:val="tx1"/>
            </w14:solidFill>
          </w14:textFill>
        </w:rPr>
        <w:t>10000m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14000m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22000m</w:t>
      </w:r>
      <w:r>
        <w:rPr>
          <w:rFonts w:hint="eastAsia"/>
          <w:color w:val="000000" w:themeColor="text1"/>
          <w14:textFill>
            <w14:solidFill>
              <w14:schemeClr w14:val="tx1"/>
            </w14:solidFill>
          </w14:textFill>
        </w:rPr>
        <w:t>处叠加诸佛乡污水处理厂、桑拓镇污水处理厂、鞍子镇污水处理厂和梅子垭镇污水处理厂污染物浓度，下游各叠加污水处理厂的污染物源强见表</w:t>
      </w:r>
      <w:r>
        <w:rPr>
          <w:color w:val="000000" w:themeColor="text1"/>
          <w14:textFill>
            <w14:solidFill>
              <w14:schemeClr w14:val="tx1"/>
            </w14:solidFill>
          </w14:textFill>
        </w:rPr>
        <w:t>4.3-1</w:t>
      </w:r>
      <w:r>
        <w:rPr>
          <w:rFonts w:hint="eastAsia"/>
          <w:color w:val="000000" w:themeColor="text1"/>
          <w14:textFill>
            <w14:solidFill>
              <w14:schemeClr w14:val="tx1"/>
            </w14:solidFill>
          </w14:textFill>
        </w:rPr>
        <w:t>。</w:t>
      </w:r>
    </w:p>
    <w:p w14:paraId="524B1C77">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预测结果</w:t>
      </w:r>
    </w:p>
    <w:p w14:paraId="3054D5E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（1）尾水正常排放预测结果</w:t>
      </w:r>
    </w:p>
    <w:p w14:paraId="670D4A12">
      <w:pPr>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根据河流纵向一维水质模型中</w:t>
      </w:r>
      <w:r>
        <w:rPr>
          <w:rFonts w:hint="eastAsia"/>
          <w:color w:val="000000" w:themeColor="text1"/>
          <w14:textFill>
            <w14:solidFill>
              <w14:schemeClr w14:val="tx1"/>
            </w14:solidFill>
          </w14:textFill>
        </w:rPr>
        <w:t>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p>
    <w:p w14:paraId="354520E8">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 xml:space="preserve">4  </w:t>
      </w:r>
      <w:r>
        <w:rPr>
          <w:rFonts w:hint="eastAsia" w:hAnsi="宋体"/>
          <w:b/>
          <w:color w:val="000000" w:themeColor="text1"/>
          <w:sz w:val="21"/>
          <w:szCs w:val="21"/>
          <w14:textFill>
            <w14:solidFill>
              <w14:schemeClr w14:val="tx1"/>
            </w14:solidFill>
          </w14:textFill>
        </w:rPr>
        <w:t>正常工况下污染物沿程消减情况         单位：mg/L</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1593D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0C892C4B">
            <w:pPr>
              <w:pStyle w:val="119"/>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6F98273E">
            <w:pPr>
              <w:pStyle w:val="119"/>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25E4AF8F">
            <w:pPr>
              <w:pStyle w:val="119"/>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3677EE7F">
            <w:pPr>
              <w:pStyle w:val="119"/>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191B9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B05E05A">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5BD1F58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15.00284</w:t>
            </w:r>
          </w:p>
        </w:tc>
        <w:tc>
          <w:tcPr>
            <w:tcW w:w="2765" w:type="dxa"/>
            <w:tcBorders>
              <w:top w:val="single" w:color="auto" w:sz="4" w:space="0"/>
              <w:left w:val="single" w:color="auto" w:sz="4" w:space="0"/>
              <w:bottom w:val="single" w:color="auto" w:sz="4" w:space="0"/>
              <w:right w:val="single" w:color="auto" w:sz="4" w:space="0"/>
            </w:tcBorders>
            <w:vAlign w:val="center"/>
          </w:tcPr>
          <w:p w14:paraId="57977F6F">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0.500473</w:t>
            </w:r>
          </w:p>
        </w:tc>
      </w:tr>
      <w:tr w14:paraId="578602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473C61D">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2A7094A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14.99583</w:t>
            </w:r>
          </w:p>
        </w:tc>
        <w:tc>
          <w:tcPr>
            <w:tcW w:w="2765" w:type="dxa"/>
            <w:tcBorders>
              <w:top w:val="single" w:color="auto" w:sz="4" w:space="0"/>
              <w:left w:val="single" w:color="auto" w:sz="4" w:space="0"/>
              <w:bottom w:val="single" w:color="auto" w:sz="4" w:space="0"/>
              <w:right w:val="single" w:color="auto" w:sz="4" w:space="0"/>
            </w:tcBorders>
            <w:vAlign w:val="center"/>
          </w:tcPr>
          <w:p w14:paraId="4D9D1F2F">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0.500228</w:t>
            </w:r>
          </w:p>
        </w:tc>
      </w:tr>
      <w:tr w14:paraId="5204A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994C156">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1119B4E9">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14.98882</w:t>
            </w:r>
          </w:p>
        </w:tc>
        <w:tc>
          <w:tcPr>
            <w:tcW w:w="2765" w:type="dxa"/>
            <w:tcBorders>
              <w:top w:val="single" w:color="auto" w:sz="4" w:space="0"/>
              <w:left w:val="single" w:color="auto" w:sz="4" w:space="0"/>
              <w:bottom w:val="single" w:color="auto" w:sz="4" w:space="0"/>
              <w:right w:val="single" w:color="auto" w:sz="4" w:space="0"/>
            </w:tcBorders>
            <w:vAlign w:val="center"/>
          </w:tcPr>
          <w:p w14:paraId="30BFC1D6">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0.499983</w:t>
            </w:r>
          </w:p>
        </w:tc>
      </w:tr>
      <w:tr w14:paraId="1DF2B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4E10F17">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4B08557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14.97481</w:t>
            </w:r>
          </w:p>
        </w:tc>
        <w:tc>
          <w:tcPr>
            <w:tcW w:w="2765" w:type="dxa"/>
            <w:tcBorders>
              <w:top w:val="single" w:color="auto" w:sz="4" w:space="0"/>
              <w:left w:val="single" w:color="auto" w:sz="4" w:space="0"/>
              <w:bottom w:val="single" w:color="auto" w:sz="4" w:space="0"/>
              <w:right w:val="single" w:color="auto" w:sz="4" w:space="0"/>
            </w:tcBorders>
            <w:vAlign w:val="center"/>
          </w:tcPr>
          <w:p w14:paraId="7341D780">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0.499493</w:t>
            </w:r>
          </w:p>
        </w:tc>
      </w:tr>
      <w:tr w14:paraId="65ACD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F8DE471">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4C3882E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14.96082</w:t>
            </w:r>
          </w:p>
        </w:tc>
        <w:tc>
          <w:tcPr>
            <w:tcW w:w="2765" w:type="dxa"/>
            <w:tcBorders>
              <w:top w:val="single" w:color="auto" w:sz="4" w:space="0"/>
              <w:left w:val="single" w:color="auto" w:sz="4" w:space="0"/>
              <w:bottom w:val="single" w:color="auto" w:sz="4" w:space="0"/>
              <w:right w:val="single" w:color="auto" w:sz="4" w:space="0"/>
            </w:tcBorders>
            <w:vAlign w:val="center"/>
          </w:tcPr>
          <w:p w14:paraId="6A14739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0.499004</w:t>
            </w:r>
          </w:p>
        </w:tc>
      </w:tr>
      <w:tr w14:paraId="3B98D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7FDA532">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51470C2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14.94684</w:t>
            </w:r>
          </w:p>
        </w:tc>
        <w:tc>
          <w:tcPr>
            <w:tcW w:w="2765" w:type="dxa"/>
            <w:tcBorders>
              <w:top w:val="single" w:color="auto" w:sz="4" w:space="0"/>
              <w:left w:val="single" w:color="auto" w:sz="4" w:space="0"/>
              <w:bottom w:val="single" w:color="auto" w:sz="4" w:space="0"/>
              <w:right w:val="single" w:color="auto" w:sz="4" w:space="0"/>
            </w:tcBorders>
            <w:vAlign w:val="center"/>
          </w:tcPr>
          <w:p w14:paraId="19D96178">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0.498516</w:t>
            </w:r>
          </w:p>
        </w:tc>
      </w:tr>
      <w:tr w14:paraId="0BB9E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B81FF0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13B088A3">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14.93287</w:t>
            </w:r>
          </w:p>
        </w:tc>
        <w:tc>
          <w:tcPr>
            <w:tcW w:w="2765" w:type="dxa"/>
            <w:tcBorders>
              <w:top w:val="single" w:color="auto" w:sz="4" w:space="0"/>
              <w:left w:val="single" w:color="auto" w:sz="4" w:space="0"/>
              <w:bottom w:val="single" w:color="auto" w:sz="4" w:space="0"/>
              <w:right w:val="single" w:color="auto" w:sz="4" w:space="0"/>
            </w:tcBorders>
            <w:vAlign w:val="center"/>
          </w:tcPr>
          <w:p w14:paraId="24CF8D0C">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0.498028</w:t>
            </w:r>
          </w:p>
        </w:tc>
      </w:tr>
      <w:tr w14:paraId="1DA0FF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91E915A">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7DE54610">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14.89802</w:t>
            </w:r>
          </w:p>
        </w:tc>
        <w:tc>
          <w:tcPr>
            <w:tcW w:w="2765" w:type="dxa"/>
            <w:tcBorders>
              <w:top w:val="single" w:color="auto" w:sz="4" w:space="0"/>
              <w:left w:val="single" w:color="auto" w:sz="4" w:space="0"/>
              <w:bottom w:val="single" w:color="auto" w:sz="4" w:space="0"/>
              <w:right w:val="single" w:color="auto" w:sz="4" w:space="0"/>
            </w:tcBorders>
            <w:vAlign w:val="center"/>
          </w:tcPr>
          <w:p w14:paraId="274A1FF6">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0.49681</w:t>
            </w:r>
          </w:p>
        </w:tc>
      </w:tr>
      <w:tr w14:paraId="0C2C5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35BAAA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043EB31C">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14.86324</w:t>
            </w:r>
          </w:p>
        </w:tc>
        <w:tc>
          <w:tcPr>
            <w:tcW w:w="2765" w:type="dxa"/>
            <w:tcBorders>
              <w:top w:val="single" w:color="auto" w:sz="4" w:space="0"/>
              <w:left w:val="single" w:color="auto" w:sz="4" w:space="0"/>
              <w:bottom w:val="single" w:color="auto" w:sz="4" w:space="0"/>
              <w:right w:val="single" w:color="auto" w:sz="4" w:space="0"/>
            </w:tcBorders>
            <w:vAlign w:val="center"/>
          </w:tcPr>
          <w:p w14:paraId="33BB389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0.495595</w:t>
            </w:r>
          </w:p>
        </w:tc>
      </w:tr>
      <w:tr w14:paraId="57131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37EAF79">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5C4CCA0C">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14.82854</w:t>
            </w:r>
          </w:p>
        </w:tc>
        <w:tc>
          <w:tcPr>
            <w:tcW w:w="2765" w:type="dxa"/>
            <w:tcBorders>
              <w:top w:val="single" w:color="auto" w:sz="4" w:space="0"/>
              <w:left w:val="single" w:color="auto" w:sz="4" w:space="0"/>
              <w:bottom w:val="single" w:color="auto" w:sz="4" w:space="0"/>
              <w:right w:val="single" w:color="auto" w:sz="4" w:space="0"/>
            </w:tcBorders>
            <w:vAlign w:val="center"/>
          </w:tcPr>
          <w:p w14:paraId="08A389FA">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0.494383</w:t>
            </w:r>
          </w:p>
        </w:tc>
      </w:tr>
      <w:tr w14:paraId="6C646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7A3308D">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2DB9AEB8">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14.79393</w:t>
            </w:r>
          </w:p>
        </w:tc>
        <w:tc>
          <w:tcPr>
            <w:tcW w:w="2765" w:type="dxa"/>
            <w:tcBorders>
              <w:top w:val="single" w:color="auto" w:sz="4" w:space="0"/>
              <w:left w:val="single" w:color="auto" w:sz="4" w:space="0"/>
              <w:bottom w:val="single" w:color="auto" w:sz="4" w:space="0"/>
              <w:right w:val="single" w:color="auto" w:sz="4" w:space="0"/>
            </w:tcBorders>
            <w:vAlign w:val="center"/>
          </w:tcPr>
          <w:p w14:paraId="036225C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0.493174</w:t>
            </w:r>
          </w:p>
        </w:tc>
      </w:tr>
      <w:tr w14:paraId="62069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79EFFBB">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3C129D9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14.75939</w:t>
            </w:r>
          </w:p>
        </w:tc>
        <w:tc>
          <w:tcPr>
            <w:tcW w:w="2765" w:type="dxa"/>
            <w:tcBorders>
              <w:top w:val="single" w:color="auto" w:sz="4" w:space="0"/>
              <w:left w:val="single" w:color="auto" w:sz="4" w:space="0"/>
              <w:bottom w:val="single" w:color="auto" w:sz="4" w:space="0"/>
              <w:right w:val="single" w:color="auto" w:sz="4" w:space="0"/>
            </w:tcBorders>
            <w:vAlign w:val="center"/>
          </w:tcPr>
          <w:p w14:paraId="16E2330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0.491968</w:t>
            </w:r>
          </w:p>
        </w:tc>
      </w:tr>
      <w:tr w14:paraId="74B0F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1D91619">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4072B13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14.72494</w:t>
            </w:r>
          </w:p>
        </w:tc>
        <w:tc>
          <w:tcPr>
            <w:tcW w:w="2765" w:type="dxa"/>
            <w:tcBorders>
              <w:top w:val="single" w:color="auto" w:sz="4" w:space="0"/>
              <w:left w:val="single" w:color="auto" w:sz="4" w:space="0"/>
              <w:bottom w:val="single" w:color="auto" w:sz="4" w:space="0"/>
              <w:right w:val="single" w:color="auto" w:sz="4" w:space="0"/>
            </w:tcBorders>
            <w:vAlign w:val="center"/>
          </w:tcPr>
          <w:p w14:paraId="242AA407">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0.490765</w:t>
            </w:r>
          </w:p>
        </w:tc>
      </w:tr>
      <w:tr w14:paraId="70587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C61ACBC">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12735E2A">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14.69057</w:t>
            </w:r>
          </w:p>
        </w:tc>
        <w:tc>
          <w:tcPr>
            <w:tcW w:w="2765" w:type="dxa"/>
            <w:tcBorders>
              <w:top w:val="single" w:color="auto" w:sz="4" w:space="0"/>
              <w:left w:val="single" w:color="auto" w:sz="4" w:space="0"/>
              <w:bottom w:val="single" w:color="auto" w:sz="4" w:space="0"/>
              <w:right w:val="single" w:color="auto" w:sz="4" w:space="0"/>
            </w:tcBorders>
            <w:vAlign w:val="center"/>
          </w:tcPr>
          <w:p w14:paraId="615C5F5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0.489565</w:t>
            </w:r>
          </w:p>
        </w:tc>
      </w:tr>
      <w:tr w14:paraId="3342B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6D0B7AB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01EFBB20">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14.65627</w:t>
            </w:r>
          </w:p>
        </w:tc>
        <w:tc>
          <w:tcPr>
            <w:tcW w:w="2765" w:type="dxa"/>
            <w:tcBorders>
              <w:top w:val="single" w:color="auto" w:sz="4" w:space="0"/>
              <w:left w:val="single" w:color="auto" w:sz="4" w:space="0"/>
              <w:bottom w:val="single" w:color="auto" w:sz="4" w:space="0"/>
              <w:right w:val="single" w:color="auto" w:sz="4" w:space="0"/>
            </w:tcBorders>
            <w:vAlign w:val="center"/>
          </w:tcPr>
          <w:p w14:paraId="62B96BE1">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0.488368</w:t>
            </w:r>
          </w:p>
        </w:tc>
      </w:tr>
    </w:tbl>
    <w:p w14:paraId="7FA6BC44">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正常浓度排放下，在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口下游100m</w:t>
      </w:r>
      <w:r>
        <w:rPr>
          <w:rFonts w:hint="eastAsia"/>
          <w:color w:val="000000" w:themeColor="text1"/>
          <w14:textFill>
            <w14:solidFill>
              <w14:schemeClr w14:val="tx1"/>
            </w14:solidFill>
          </w14:textFill>
        </w:rPr>
        <w:t>内，</w:t>
      </w:r>
      <w:r>
        <w:rPr>
          <w:rFonts w:hint="eastAsia" w:cs="Times New Roman"/>
          <w:color w:val="000000" w:themeColor="text1"/>
          <w14:textFill>
            <w14:solidFill>
              <w14:schemeClr w14:val="tx1"/>
            </w14:solidFill>
          </w14:textFill>
        </w:rPr>
        <w:t>经过河道自净作用，恢复到背景浓度。对郁江水质影响甚微，经</w:t>
      </w:r>
      <w:r>
        <w:rPr>
          <w:color w:val="000000" w:themeColor="text1"/>
          <w14:textFill>
            <w14:solidFill>
              <w14:schemeClr w14:val="tx1"/>
            </w14:solidFill>
          </w14:textFill>
        </w:rPr>
        <w:t>河段衰减后的污染物浓度值低于《地表水环境质量标准》（GB 3838-2002）中Ⅱ类水质限值（COD：15mg/L，NH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-N：0.5mg/L）</w:t>
      </w:r>
      <w:r>
        <w:rPr>
          <w:rFonts w:hint="eastAsia"/>
          <w:color w:val="000000" w:themeColor="text1"/>
          <w14:textFill>
            <w14:solidFill>
              <w14:schemeClr w14:val="tx1"/>
            </w14:solidFill>
          </w14:textFill>
        </w:rPr>
        <w:t>，不会对下游</w:t>
      </w:r>
      <w:r>
        <w:rPr>
          <w:rFonts w:hint="eastAsia" w:cs="Times New Roman"/>
          <w:color w:val="000000" w:themeColor="text1"/>
          <w14:textFill>
            <w14:solidFill>
              <w14:schemeClr w14:val="tx1"/>
            </w14:solidFill>
          </w14:textFill>
        </w:rPr>
        <w:t>汉葭街道芦渡沟彭水县自来水厂和</w:t>
      </w:r>
      <w:r>
        <w:rPr>
          <w:rFonts w:cs="Times New Roman"/>
          <w:color w:val="000000" w:themeColor="text1"/>
          <w14:textFill>
            <w14:solidFill>
              <w14:schemeClr w14:val="tx1"/>
            </w14:solidFill>
          </w14:textFill>
        </w:rPr>
        <w:t>县自来水厂关口泵站提水工程</w:t>
      </w:r>
      <w:r>
        <w:rPr>
          <w:rFonts w:hint="eastAsia" w:cs="Times New Roman"/>
          <w:color w:val="000000" w:themeColor="text1"/>
          <w14:textFill>
            <w14:solidFill>
              <w14:schemeClr w14:val="tx1"/>
            </w14:solidFill>
          </w14:textFill>
        </w:rPr>
        <w:t>为饮用水取水口等饮用水源地造成影响</w:t>
      </w:r>
      <w:r>
        <w:rPr>
          <w:rFonts w:hint="eastAsia"/>
          <w:color w:val="000000" w:themeColor="text1"/>
          <w14:textFill>
            <w14:solidFill>
              <w14:schemeClr w14:val="tx1"/>
            </w14:solidFill>
          </w14:textFill>
        </w:rPr>
        <w:t>。</w:t>
      </w:r>
    </w:p>
    <w:p w14:paraId="4AA9F3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（2）尾水非正常排放预测结果</w:t>
      </w:r>
    </w:p>
    <w:p w14:paraId="056D35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根据河流纵向一维水质模型中对流扩散降解模型公式计算，郁江枯水位时段评价段评价因子预测浓度值见表</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14:paraId="4DE6A0F9">
      <w:pPr>
        <w:spacing w:line="240" w:lineRule="auto"/>
        <w:ind w:firstLine="0" w:firstLineChars="0"/>
        <w:jc w:val="center"/>
        <w:rPr>
          <w:rFonts w:hAnsi="宋体"/>
          <w:b/>
          <w:color w:val="000000" w:themeColor="text1"/>
          <w:sz w:val="21"/>
          <w:szCs w:val="21"/>
          <w14:textFill>
            <w14:solidFill>
              <w14:schemeClr w14:val="tx1"/>
            </w14:solidFill>
          </w14:textFill>
        </w:rPr>
      </w:pPr>
      <w:r>
        <w:rPr>
          <w:rFonts w:hint="eastAsia" w:hAnsi="宋体"/>
          <w:b/>
          <w:color w:val="000000" w:themeColor="text1"/>
          <w:sz w:val="21"/>
          <w:szCs w:val="21"/>
          <w14:textFill>
            <w14:solidFill>
              <w14:schemeClr w14:val="tx1"/>
            </w14:solidFill>
          </w14:textFill>
        </w:rPr>
        <w:t>表</w:t>
      </w:r>
      <w:r>
        <w:rPr>
          <w:rFonts w:hAnsi="宋体"/>
          <w:b/>
          <w:color w:val="000000" w:themeColor="text1"/>
          <w:sz w:val="21"/>
          <w:szCs w:val="21"/>
          <w14:textFill>
            <w14:solidFill>
              <w14:schemeClr w14:val="tx1"/>
            </w14:solidFill>
          </w14:textFill>
        </w:rPr>
        <w:t>6.1</w:t>
      </w:r>
      <w:r>
        <w:rPr>
          <w:rFonts w:hint="eastAsia" w:hAnsi="宋体"/>
          <w:b/>
          <w:color w:val="000000" w:themeColor="text1"/>
          <w:sz w:val="21"/>
          <w:szCs w:val="21"/>
          <w14:textFill>
            <w14:solidFill>
              <w14:schemeClr w14:val="tx1"/>
            </w14:solidFill>
          </w14:textFill>
        </w:rPr>
        <w:t>-</w:t>
      </w:r>
      <w:r>
        <w:rPr>
          <w:rFonts w:hAnsi="宋体"/>
          <w:b/>
          <w:color w:val="000000" w:themeColor="text1"/>
          <w:sz w:val="21"/>
          <w:szCs w:val="21"/>
          <w14:textFill>
            <w14:solidFill>
              <w14:schemeClr w14:val="tx1"/>
            </w14:solidFill>
          </w14:textFill>
        </w:rPr>
        <w:t>5</w:t>
      </w:r>
      <w:r>
        <w:rPr>
          <w:rFonts w:hint="eastAsia" w:hAnsi="宋体"/>
          <w:b/>
          <w:color w:val="000000" w:themeColor="text1"/>
          <w:sz w:val="21"/>
          <w:szCs w:val="21"/>
          <w14:textFill>
            <w14:solidFill>
              <w14:schemeClr w14:val="tx1"/>
            </w14:solidFill>
          </w14:textFill>
        </w:rPr>
        <w:t xml:space="preserve"> </w:t>
      </w:r>
      <w:r>
        <w:rPr>
          <w:rFonts w:hAnsi="宋体"/>
          <w:b/>
          <w:color w:val="000000" w:themeColor="text1"/>
          <w:sz w:val="21"/>
          <w:szCs w:val="21"/>
          <w14:textFill>
            <w14:solidFill>
              <w14:schemeClr w14:val="tx1"/>
            </w14:solidFill>
          </w14:textFill>
        </w:rPr>
        <w:t xml:space="preserve"> </w:t>
      </w:r>
      <w:r>
        <w:rPr>
          <w:rFonts w:hint="eastAsia" w:hAnsi="宋体"/>
          <w:b/>
          <w:color w:val="000000" w:themeColor="text1"/>
          <w:sz w:val="21"/>
          <w:szCs w:val="21"/>
          <w14:textFill>
            <w14:solidFill>
              <w14:schemeClr w14:val="tx1"/>
            </w14:solidFill>
          </w14:textFill>
        </w:rPr>
        <w:t>非正常工况下污染物沿程消减情况         单位：mg/L</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0"/>
        <w:gridCol w:w="2840"/>
      </w:tblGrid>
      <w:tr w14:paraId="17C12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766" w:type="dxa"/>
            <w:tcBorders>
              <w:top w:val="single" w:color="auto" w:sz="4" w:space="0"/>
              <w:left w:val="single" w:color="auto" w:sz="4" w:space="0"/>
              <w:bottom w:val="single" w:color="auto" w:sz="4" w:space="0"/>
              <w:right w:val="single" w:color="auto" w:sz="4" w:space="0"/>
              <w:tl2br w:val="single" w:color="auto" w:sz="4" w:space="0"/>
            </w:tcBorders>
            <w:vAlign w:val="center"/>
          </w:tcPr>
          <w:p w14:paraId="16ABDB8C">
            <w:pPr>
              <w:pStyle w:val="119"/>
              <w:jc w:val="righ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污染物</w:t>
            </w:r>
          </w:p>
          <w:p w14:paraId="4D9E4DA6">
            <w:pPr>
              <w:pStyle w:val="119"/>
              <w:jc w:val="left"/>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距离（m）</w:t>
            </w:r>
          </w:p>
        </w:tc>
        <w:tc>
          <w:tcPr>
            <w:tcW w:w="2765" w:type="dxa"/>
            <w:tcBorders>
              <w:top w:val="single" w:color="auto" w:sz="4" w:space="0"/>
              <w:left w:val="single" w:color="auto" w:sz="4" w:space="0"/>
              <w:bottom w:val="single" w:color="auto" w:sz="4" w:space="0"/>
              <w:right w:val="single" w:color="auto" w:sz="4" w:space="0"/>
            </w:tcBorders>
            <w:vAlign w:val="center"/>
          </w:tcPr>
          <w:p w14:paraId="489381FE">
            <w:pPr>
              <w:pStyle w:val="119"/>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COD</w:t>
            </w:r>
          </w:p>
        </w:tc>
        <w:tc>
          <w:tcPr>
            <w:tcW w:w="2765" w:type="dxa"/>
            <w:tcBorders>
              <w:top w:val="single" w:color="auto" w:sz="4" w:space="0"/>
              <w:left w:val="single" w:color="auto" w:sz="4" w:space="0"/>
              <w:bottom w:val="single" w:color="auto" w:sz="4" w:space="0"/>
              <w:right w:val="single" w:color="auto" w:sz="4" w:space="0"/>
            </w:tcBorders>
            <w:vAlign w:val="center"/>
          </w:tcPr>
          <w:p w14:paraId="77B54F86">
            <w:pPr>
              <w:pStyle w:val="119"/>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NH</w:t>
            </w:r>
            <w:r>
              <w:rPr>
                <w:rFonts w:ascii="Times New Roman" w:hAnsi="Times New Roman" w:cs="Times New Roman"/>
                <w:b/>
                <w:color w:val="000000" w:themeColor="text1"/>
                <w:sz w:val="21"/>
                <w:szCs w:val="21"/>
                <w:vertAlign w:val="subscript"/>
                <w14:textFill>
                  <w14:solidFill>
                    <w14:schemeClr w14:val="tx1"/>
                  </w14:solidFill>
                </w14:textFill>
              </w:rPr>
              <w:t>3</w:t>
            </w:r>
            <w:r>
              <w:rPr>
                <w:rFonts w:ascii="Times New Roman" w:hAnsi="Times New Roman" w:cs="Times New Roman"/>
                <w:b/>
                <w:color w:val="000000" w:themeColor="text1"/>
                <w:sz w:val="21"/>
                <w:szCs w:val="21"/>
                <w14:textFill>
                  <w14:solidFill>
                    <w14:schemeClr w14:val="tx1"/>
                  </w14:solidFill>
                </w14:textFill>
              </w:rPr>
              <w:t>-N</w:t>
            </w:r>
          </w:p>
        </w:tc>
      </w:tr>
      <w:tr w14:paraId="0E100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B4A7473">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w:t>
            </w:r>
          </w:p>
        </w:tc>
        <w:tc>
          <w:tcPr>
            <w:tcW w:w="2765" w:type="dxa"/>
            <w:tcBorders>
              <w:top w:val="single" w:color="auto" w:sz="4" w:space="0"/>
              <w:left w:val="single" w:color="auto" w:sz="4" w:space="0"/>
              <w:bottom w:val="single" w:color="auto" w:sz="4" w:space="0"/>
              <w:right w:val="single" w:color="auto" w:sz="4" w:space="0"/>
            </w:tcBorders>
            <w:vAlign w:val="center"/>
          </w:tcPr>
          <w:p w14:paraId="32DD79E3">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15.02111</w:t>
            </w:r>
          </w:p>
        </w:tc>
        <w:tc>
          <w:tcPr>
            <w:tcW w:w="2765" w:type="dxa"/>
            <w:tcBorders>
              <w:top w:val="single" w:color="auto" w:sz="4" w:space="0"/>
              <w:left w:val="single" w:color="auto" w:sz="4" w:space="0"/>
              <w:bottom w:val="single" w:color="auto" w:sz="4" w:space="0"/>
              <w:right w:val="single" w:color="auto" w:sz="4" w:space="0"/>
            </w:tcBorders>
            <w:vAlign w:val="center"/>
          </w:tcPr>
          <w:p w14:paraId="6D14144B">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0.501859</w:t>
            </w:r>
          </w:p>
        </w:tc>
      </w:tr>
      <w:tr w14:paraId="21B29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6331AB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w:t>
            </w:r>
          </w:p>
        </w:tc>
        <w:tc>
          <w:tcPr>
            <w:tcW w:w="2765" w:type="dxa"/>
            <w:tcBorders>
              <w:top w:val="single" w:color="auto" w:sz="4" w:space="0"/>
              <w:left w:val="single" w:color="auto" w:sz="4" w:space="0"/>
              <w:bottom w:val="single" w:color="auto" w:sz="4" w:space="0"/>
              <w:right w:val="single" w:color="auto" w:sz="4" w:space="0"/>
            </w:tcBorders>
            <w:vAlign w:val="center"/>
          </w:tcPr>
          <w:p w14:paraId="2EB9BEF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15.01409</w:t>
            </w:r>
          </w:p>
        </w:tc>
        <w:tc>
          <w:tcPr>
            <w:tcW w:w="2765" w:type="dxa"/>
            <w:tcBorders>
              <w:top w:val="single" w:color="auto" w:sz="4" w:space="0"/>
              <w:left w:val="single" w:color="auto" w:sz="4" w:space="0"/>
              <w:bottom w:val="single" w:color="auto" w:sz="4" w:space="0"/>
              <w:right w:val="single" w:color="auto" w:sz="4" w:space="0"/>
            </w:tcBorders>
            <w:vAlign w:val="center"/>
          </w:tcPr>
          <w:p w14:paraId="633D8D5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0.501614</w:t>
            </w:r>
          </w:p>
        </w:tc>
      </w:tr>
      <w:tr w14:paraId="79046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3140D481">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w:t>
            </w:r>
          </w:p>
        </w:tc>
        <w:tc>
          <w:tcPr>
            <w:tcW w:w="2765" w:type="dxa"/>
            <w:tcBorders>
              <w:top w:val="single" w:color="auto" w:sz="4" w:space="0"/>
              <w:left w:val="single" w:color="auto" w:sz="4" w:space="0"/>
              <w:bottom w:val="single" w:color="auto" w:sz="4" w:space="0"/>
              <w:right w:val="single" w:color="auto" w:sz="4" w:space="0"/>
            </w:tcBorders>
            <w:vAlign w:val="center"/>
          </w:tcPr>
          <w:p w14:paraId="6D3112C3">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15.00708</w:t>
            </w:r>
          </w:p>
        </w:tc>
        <w:tc>
          <w:tcPr>
            <w:tcW w:w="2765" w:type="dxa"/>
            <w:tcBorders>
              <w:top w:val="single" w:color="auto" w:sz="4" w:space="0"/>
              <w:left w:val="single" w:color="auto" w:sz="4" w:space="0"/>
              <w:bottom w:val="single" w:color="auto" w:sz="4" w:space="0"/>
              <w:right w:val="single" w:color="auto" w:sz="4" w:space="0"/>
            </w:tcBorders>
            <w:vAlign w:val="center"/>
          </w:tcPr>
          <w:p w14:paraId="593A5B7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0.501368</w:t>
            </w:r>
          </w:p>
        </w:tc>
      </w:tr>
      <w:tr w14:paraId="62230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6C70D1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w:t>
            </w:r>
          </w:p>
        </w:tc>
        <w:tc>
          <w:tcPr>
            <w:tcW w:w="2765" w:type="dxa"/>
            <w:tcBorders>
              <w:top w:val="single" w:color="auto" w:sz="4" w:space="0"/>
              <w:left w:val="single" w:color="auto" w:sz="4" w:space="0"/>
              <w:bottom w:val="single" w:color="auto" w:sz="4" w:space="0"/>
              <w:right w:val="single" w:color="auto" w:sz="4" w:space="0"/>
            </w:tcBorders>
            <w:vAlign w:val="center"/>
          </w:tcPr>
          <w:p w14:paraId="2482DF4F">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14.99306</w:t>
            </w:r>
          </w:p>
        </w:tc>
        <w:tc>
          <w:tcPr>
            <w:tcW w:w="2765" w:type="dxa"/>
            <w:tcBorders>
              <w:top w:val="single" w:color="auto" w:sz="4" w:space="0"/>
              <w:left w:val="single" w:color="auto" w:sz="4" w:space="0"/>
              <w:bottom w:val="single" w:color="auto" w:sz="4" w:space="0"/>
              <w:right w:val="single" w:color="auto" w:sz="4" w:space="0"/>
            </w:tcBorders>
            <w:vAlign w:val="center"/>
          </w:tcPr>
          <w:p w14:paraId="21C0BD79">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0.500877</w:t>
            </w:r>
          </w:p>
        </w:tc>
      </w:tr>
      <w:tr w14:paraId="7B5E6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2CFC3FC">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600</w:t>
            </w:r>
          </w:p>
        </w:tc>
        <w:tc>
          <w:tcPr>
            <w:tcW w:w="2765" w:type="dxa"/>
            <w:tcBorders>
              <w:top w:val="single" w:color="auto" w:sz="4" w:space="0"/>
              <w:left w:val="single" w:color="auto" w:sz="4" w:space="0"/>
              <w:bottom w:val="single" w:color="auto" w:sz="4" w:space="0"/>
              <w:right w:val="single" w:color="auto" w:sz="4" w:space="0"/>
            </w:tcBorders>
            <w:vAlign w:val="center"/>
          </w:tcPr>
          <w:p w14:paraId="6BE9403B">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14.97905</w:t>
            </w:r>
          </w:p>
        </w:tc>
        <w:tc>
          <w:tcPr>
            <w:tcW w:w="2765" w:type="dxa"/>
            <w:tcBorders>
              <w:top w:val="single" w:color="auto" w:sz="4" w:space="0"/>
              <w:left w:val="single" w:color="auto" w:sz="4" w:space="0"/>
              <w:bottom w:val="single" w:color="auto" w:sz="4" w:space="0"/>
              <w:right w:val="single" w:color="auto" w:sz="4" w:space="0"/>
            </w:tcBorders>
            <w:vAlign w:val="center"/>
          </w:tcPr>
          <w:p w14:paraId="2503299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0.500387</w:t>
            </w:r>
          </w:p>
        </w:tc>
      </w:tr>
      <w:tr w14:paraId="7BFB2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4DA60473">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800</w:t>
            </w:r>
          </w:p>
        </w:tc>
        <w:tc>
          <w:tcPr>
            <w:tcW w:w="2765" w:type="dxa"/>
            <w:tcBorders>
              <w:top w:val="single" w:color="auto" w:sz="4" w:space="0"/>
              <w:left w:val="single" w:color="auto" w:sz="4" w:space="0"/>
              <w:bottom w:val="single" w:color="auto" w:sz="4" w:space="0"/>
              <w:right w:val="single" w:color="auto" w:sz="4" w:space="0"/>
            </w:tcBorders>
            <w:vAlign w:val="center"/>
          </w:tcPr>
          <w:p w14:paraId="1A7F40FB">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14.96505</w:t>
            </w:r>
          </w:p>
        </w:tc>
        <w:tc>
          <w:tcPr>
            <w:tcW w:w="2765" w:type="dxa"/>
            <w:tcBorders>
              <w:top w:val="single" w:color="auto" w:sz="4" w:space="0"/>
              <w:left w:val="single" w:color="auto" w:sz="4" w:space="0"/>
              <w:bottom w:val="single" w:color="auto" w:sz="4" w:space="0"/>
              <w:right w:val="single" w:color="auto" w:sz="4" w:space="0"/>
            </w:tcBorders>
            <w:vAlign w:val="center"/>
          </w:tcPr>
          <w:p w14:paraId="058D239F">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0.499897</w:t>
            </w:r>
          </w:p>
        </w:tc>
      </w:tr>
      <w:tr w14:paraId="186FE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34DDB4F">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1000</w:t>
            </w:r>
          </w:p>
        </w:tc>
        <w:tc>
          <w:tcPr>
            <w:tcW w:w="2765" w:type="dxa"/>
            <w:tcBorders>
              <w:top w:val="single" w:color="auto" w:sz="4" w:space="0"/>
              <w:left w:val="single" w:color="auto" w:sz="4" w:space="0"/>
              <w:bottom w:val="single" w:color="auto" w:sz="4" w:space="0"/>
              <w:right w:val="single" w:color="auto" w:sz="4" w:space="0"/>
            </w:tcBorders>
            <w:vAlign w:val="center"/>
          </w:tcPr>
          <w:p w14:paraId="3D2F10B2">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14.95107</w:t>
            </w:r>
          </w:p>
        </w:tc>
        <w:tc>
          <w:tcPr>
            <w:tcW w:w="2765" w:type="dxa"/>
            <w:tcBorders>
              <w:top w:val="single" w:color="auto" w:sz="4" w:space="0"/>
              <w:left w:val="single" w:color="auto" w:sz="4" w:space="0"/>
              <w:bottom w:val="single" w:color="auto" w:sz="4" w:space="0"/>
              <w:right w:val="single" w:color="auto" w:sz="4" w:space="0"/>
            </w:tcBorders>
            <w:vAlign w:val="center"/>
          </w:tcPr>
          <w:p w14:paraId="35FE99E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0.499408</w:t>
            </w:r>
          </w:p>
        </w:tc>
      </w:tr>
      <w:tr w14:paraId="60382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7949FCF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1500</w:t>
            </w:r>
          </w:p>
        </w:tc>
        <w:tc>
          <w:tcPr>
            <w:tcW w:w="2765" w:type="dxa"/>
            <w:tcBorders>
              <w:top w:val="single" w:color="auto" w:sz="4" w:space="0"/>
              <w:left w:val="single" w:color="auto" w:sz="4" w:space="0"/>
              <w:bottom w:val="single" w:color="auto" w:sz="4" w:space="0"/>
              <w:right w:val="single" w:color="auto" w:sz="4" w:space="0"/>
            </w:tcBorders>
            <w:vAlign w:val="center"/>
          </w:tcPr>
          <w:p w14:paraId="2ABAF24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14.91617</w:t>
            </w:r>
          </w:p>
        </w:tc>
        <w:tc>
          <w:tcPr>
            <w:tcW w:w="2765" w:type="dxa"/>
            <w:tcBorders>
              <w:top w:val="single" w:color="auto" w:sz="4" w:space="0"/>
              <w:left w:val="single" w:color="auto" w:sz="4" w:space="0"/>
              <w:bottom w:val="single" w:color="auto" w:sz="4" w:space="0"/>
              <w:right w:val="single" w:color="auto" w:sz="4" w:space="0"/>
            </w:tcBorders>
            <w:vAlign w:val="center"/>
          </w:tcPr>
          <w:p w14:paraId="77DC15D6">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0.498187</w:t>
            </w:r>
          </w:p>
        </w:tc>
      </w:tr>
      <w:tr w14:paraId="4AC38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1D6978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2000</w:t>
            </w:r>
          </w:p>
        </w:tc>
        <w:tc>
          <w:tcPr>
            <w:tcW w:w="2765" w:type="dxa"/>
            <w:tcBorders>
              <w:top w:val="single" w:color="auto" w:sz="4" w:space="0"/>
              <w:left w:val="single" w:color="auto" w:sz="4" w:space="0"/>
              <w:bottom w:val="single" w:color="auto" w:sz="4" w:space="0"/>
              <w:right w:val="single" w:color="auto" w:sz="4" w:space="0"/>
            </w:tcBorders>
            <w:vAlign w:val="center"/>
          </w:tcPr>
          <w:p w14:paraId="1E856AC1">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14.88135</w:t>
            </w:r>
          </w:p>
        </w:tc>
        <w:tc>
          <w:tcPr>
            <w:tcW w:w="2765" w:type="dxa"/>
            <w:tcBorders>
              <w:top w:val="single" w:color="auto" w:sz="4" w:space="0"/>
              <w:left w:val="single" w:color="auto" w:sz="4" w:space="0"/>
              <w:bottom w:val="single" w:color="auto" w:sz="4" w:space="0"/>
              <w:right w:val="single" w:color="auto" w:sz="4" w:space="0"/>
            </w:tcBorders>
            <w:vAlign w:val="center"/>
          </w:tcPr>
          <w:p w14:paraId="7B5BEAF6">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0.496968</w:t>
            </w:r>
          </w:p>
        </w:tc>
      </w:tr>
      <w:tr w14:paraId="1F759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02C5C32">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2500</w:t>
            </w:r>
          </w:p>
        </w:tc>
        <w:tc>
          <w:tcPr>
            <w:tcW w:w="2765" w:type="dxa"/>
            <w:tcBorders>
              <w:top w:val="single" w:color="auto" w:sz="4" w:space="0"/>
              <w:left w:val="single" w:color="auto" w:sz="4" w:space="0"/>
              <w:bottom w:val="single" w:color="auto" w:sz="4" w:space="0"/>
              <w:right w:val="single" w:color="auto" w:sz="4" w:space="0"/>
            </w:tcBorders>
            <w:vAlign w:val="center"/>
          </w:tcPr>
          <w:p w14:paraId="5722F4F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14.84661</w:t>
            </w:r>
          </w:p>
        </w:tc>
        <w:tc>
          <w:tcPr>
            <w:tcW w:w="2765" w:type="dxa"/>
            <w:tcBorders>
              <w:top w:val="single" w:color="auto" w:sz="4" w:space="0"/>
              <w:left w:val="single" w:color="auto" w:sz="4" w:space="0"/>
              <w:bottom w:val="single" w:color="auto" w:sz="4" w:space="0"/>
              <w:right w:val="single" w:color="auto" w:sz="4" w:space="0"/>
            </w:tcBorders>
            <w:vAlign w:val="center"/>
          </w:tcPr>
          <w:p w14:paraId="28D41A4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0.495753</w:t>
            </w:r>
          </w:p>
        </w:tc>
      </w:tr>
      <w:tr w14:paraId="3FF0FE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20479BFA">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3000</w:t>
            </w:r>
          </w:p>
        </w:tc>
        <w:tc>
          <w:tcPr>
            <w:tcW w:w="2765" w:type="dxa"/>
            <w:tcBorders>
              <w:top w:val="single" w:color="auto" w:sz="4" w:space="0"/>
              <w:left w:val="single" w:color="auto" w:sz="4" w:space="0"/>
              <w:bottom w:val="single" w:color="auto" w:sz="4" w:space="0"/>
              <w:right w:val="single" w:color="auto" w:sz="4" w:space="0"/>
            </w:tcBorders>
            <w:vAlign w:val="center"/>
          </w:tcPr>
          <w:p w14:paraId="068F91B8">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14.81195</w:t>
            </w:r>
          </w:p>
        </w:tc>
        <w:tc>
          <w:tcPr>
            <w:tcW w:w="2765" w:type="dxa"/>
            <w:tcBorders>
              <w:top w:val="single" w:color="auto" w:sz="4" w:space="0"/>
              <w:left w:val="single" w:color="auto" w:sz="4" w:space="0"/>
              <w:bottom w:val="single" w:color="auto" w:sz="4" w:space="0"/>
              <w:right w:val="single" w:color="auto" w:sz="4" w:space="0"/>
            </w:tcBorders>
            <w:vAlign w:val="center"/>
          </w:tcPr>
          <w:p w14:paraId="4EF300EA">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0.494541</w:t>
            </w:r>
          </w:p>
        </w:tc>
      </w:tr>
      <w:tr w14:paraId="40A474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50C0A0D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3500</w:t>
            </w:r>
          </w:p>
        </w:tc>
        <w:tc>
          <w:tcPr>
            <w:tcW w:w="2765" w:type="dxa"/>
            <w:tcBorders>
              <w:top w:val="single" w:color="auto" w:sz="4" w:space="0"/>
              <w:left w:val="single" w:color="auto" w:sz="4" w:space="0"/>
              <w:bottom w:val="single" w:color="auto" w:sz="4" w:space="0"/>
              <w:right w:val="single" w:color="auto" w:sz="4" w:space="0"/>
            </w:tcBorders>
            <w:vAlign w:val="center"/>
          </w:tcPr>
          <w:p w14:paraId="3D70F629">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14.77737</w:t>
            </w:r>
          </w:p>
        </w:tc>
        <w:tc>
          <w:tcPr>
            <w:tcW w:w="2765" w:type="dxa"/>
            <w:tcBorders>
              <w:top w:val="single" w:color="auto" w:sz="4" w:space="0"/>
              <w:left w:val="single" w:color="auto" w:sz="4" w:space="0"/>
              <w:bottom w:val="single" w:color="auto" w:sz="4" w:space="0"/>
              <w:right w:val="single" w:color="auto" w:sz="4" w:space="0"/>
            </w:tcBorders>
            <w:vAlign w:val="center"/>
          </w:tcPr>
          <w:p w14:paraId="0236FE28">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0.493331</w:t>
            </w:r>
          </w:p>
        </w:tc>
      </w:tr>
      <w:tr w14:paraId="12518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826FDA1">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4000</w:t>
            </w:r>
          </w:p>
        </w:tc>
        <w:tc>
          <w:tcPr>
            <w:tcW w:w="2765" w:type="dxa"/>
            <w:tcBorders>
              <w:top w:val="single" w:color="auto" w:sz="4" w:space="0"/>
              <w:left w:val="single" w:color="auto" w:sz="4" w:space="0"/>
              <w:bottom w:val="single" w:color="auto" w:sz="4" w:space="0"/>
              <w:right w:val="single" w:color="auto" w:sz="4" w:space="0"/>
            </w:tcBorders>
            <w:vAlign w:val="center"/>
          </w:tcPr>
          <w:p w14:paraId="2AD24A23">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14.74288</w:t>
            </w:r>
          </w:p>
        </w:tc>
        <w:tc>
          <w:tcPr>
            <w:tcW w:w="2765" w:type="dxa"/>
            <w:tcBorders>
              <w:top w:val="single" w:color="auto" w:sz="4" w:space="0"/>
              <w:left w:val="single" w:color="auto" w:sz="4" w:space="0"/>
              <w:bottom w:val="single" w:color="auto" w:sz="4" w:space="0"/>
              <w:right w:val="single" w:color="auto" w:sz="4" w:space="0"/>
            </w:tcBorders>
            <w:vAlign w:val="center"/>
          </w:tcPr>
          <w:p w14:paraId="47A8BB1F">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0.492125</w:t>
            </w:r>
          </w:p>
        </w:tc>
      </w:tr>
      <w:tr w14:paraId="2B44F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1A31E16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4500</w:t>
            </w:r>
          </w:p>
        </w:tc>
        <w:tc>
          <w:tcPr>
            <w:tcW w:w="2765" w:type="dxa"/>
            <w:tcBorders>
              <w:top w:val="single" w:color="auto" w:sz="4" w:space="0"/>
              <w:left w:val="single" w:color="auto" w:sz="4" w:space="0"/>
              <w:bottom w:val="single" w:color="auto" w:sz="4" w:space="0"/>
              <w:right w:val="single" w:color="auto" w:sz="4" w:space="0"/>
            </w:tcBorders>
            <w:vAlign w:val="center"/>
          </w:tcPr>
          <w:p w14:paraId="10838AF2">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14.70846</w:t>
            </w:r>
          </w:p>
        </w:tc>
        <w:tc>
          <w:tcPr>
            <w:tcW w:w="2765" w:type="dxa"/>
            <w:tcBorders>
              <w:top w:val="single" w:color="auto" w:sz="4" w:space="0"/>
              <w:left w:val="single" w:color="auto" w:sz="4" w:space="0"/>
              <w:bottom w:val="single" w:color="auto" w:sz="4" w:space="0"/>
              <w:right w:val="single" w:color="auto" w:sz="4" w:space="0"/>
            </w:tcBorders>
            <w:vAlign w:val="center"/>
          </w:tcPr>
          <w:p w14:paraId="465D2553">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0.490922</w:t>
            </w:r>
          </w:p>
        </w:tc>
      </w:tr>
      <w:tr w14:paraId="0C9C4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66" w:type="dxa"/>
            <w:tcBorders>
              <w:top w:val="single" w:color="auto" w:sz="4" w:space="0"/>
              <w:left w:val="single" w:color="auto" w:sz="4" w:space="0"/>
              <w:bottom w:val="single" w:color="auto" w:sz="4" w:space="0"/>
              <w:right w:val="single" w:color="auto" w:sz="4" w:space="0"/>
            </w:tcBorders>
            <w:vAlign w:val="center"/>
          </w:tcPr>
          <w:p w14:paraId="06B61F54">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5000</w:t>
            </w:r>
          </w:p>
        </w:tc>
        <w:tc>
          <w:tcPr>
            <w:tcW w:w="2765" w:type="dxa"/>
            <w:tcBorders>
              <w:top w:val="single" w:color="auto" w:sz="4" w:space="0"/>
              <w:left w:val="single" w:color="auto" w:sz="4" w:space="0"/>
              <w:bottom w:val="single" w:color="auto" w:sz="4" w:space="0"/>
              <w:right w:val="single" w:color="auto" w:sz="4" w:space="0"/>
            </w:tcBorders>
            <w:vAlign w:val="center"/>
          </w:tcPr>
          <w:p w14:paraId="7FA4671E">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14.67413</w:t>
            </w:r>
          </w:p>
        </w:tc>
        <w:tc>
          <w:tcPr>
            <w:tcW w:w="2765" w:type="dxa"/>
            <w:tcBorders>
              <w:top w:val="single" w:color="auto" w:sz="4" w:space="0"/>
              <w:left w:val="single" w:color="auto" w:sz="4" w:space="0"/>
              <w:bottom w:val="single" w:color="auto" w:sz="4" w:space="0"/>
              <w:right w:val="single" w:color="auto" w:sz="4" w:space="0"/>
            </w:tcBorders>
            <w:vAlign w:val="center"/>
          </w:tcPr>
          <w:p w14:paraId="42547685">
            <w:pPr>
              <w:pStyle w:val="102"/>
              <w:adjustRightInd w:val="0"/>
              <w:snapToGrid w:val="0"/>
              <w:spacing w:line="240" w:lineRule="auto"/>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0.489721</w:t>
            </w:r>
          </w:p>
        </w:tc>
      </w:tr>
    </w:tbl>
    <w:p w14:paraId="62FE8E7E">
      <w:pPr>
        <w:spacing w:before="156" w:beforeLines="50"/>
        <w:ind w:firstLine="480"/>
        <w:rPr>
          <w:color w:val="000000" w:themeColor="text1"/>
          <w14:textFill>
            <w14:solidFill>
              <w14:schemeClr w14:val="tx1"/>
            </w14:solidFill>
          </w14:textFill>
        </w:rPr>
      </w:pPr>
      <w:r>
        <w:rPr>
          <w:color w:val="000000" w:themeColor="text1"/>
          <w14:textFill>
            <w14:solidFill>
              <w14:schemeClr w14:val="tx1"/>
            </w14:solidFill>
          </w14:textFill>
        </w:rPr>
        <w:t>经计算和预测，</w:t>
      </w:r>
      <w:r>
        <w:rPr>
          <w:rFonts w:hint="eastAsia"/>
          <w:color w:val="000000" w:themeColor="text1"/>
          <w14:textFill>
            <w14:solidFill>
              <w14:schemeClr w14:val="tx1"/>
            </w14:solidFill>
          </w14:textFill>
        </w:rPr>
        <w:t>事故状态下，在</w:t>
      </w:r>
      <w:r>
        <w:rPr>
          <w:color w:val="000000" w:themeColor="text1"/>
          <w14:textFill>
            <w14:solidFill>
              <w14:schemeClr w14:val="tx1"/>
            </w14:solidFill>
          </w14:textFill>
        </w:rPr>
        <w:t>入河</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口下游800m米</w:t>
      </w:r>
      <w:r>
        <w:rPr>
          <w:rFonts w:hint="eastAsia"/>
          <w:color w:val="000000" w:themeColor="text1"/>
          <w14:textFill>
            <w14:solidFill>
              <w14:schemeClr w14:val="tx1"/>
            </w14:solidFill>
          </w14:textFill>
        </w:rPr>
        <w:t>处才能</w:t>
      </w:r>
      <w:r>
        <w:rPr>
          <w:rFonts w:hint="eastAsia" w:cs="Times New Roman"/>
          <w:color w:val="000000" w:themeColor="text1"/>
          <w14:textFill>
            <w14:solidFill>
              <w14:schemeClr w14:val="tx1"/>
            </w14:solidFill>
          </w14:textFill>
        </w:rPr>
        <w:t>经过河道自净作用，恢复到背景浓度。因此，事故排放</w:t>
      </w:r>
      <w:r>
        <w:rPr>
          <w:rFonts w:hint="eastAsia"/>
          <w:color w:val="000000" w:themeColor="text1"/>
          <w14:textFill>
            <w14:solidFill>
              <w14:schemeClr w14:val="tx1"/>
            </w14:solidFill>
          </w14:textFill>
        </w:rPr>
        <w:t>会对郁江造成污染，</w:t>
      </w:r>
      <w:r>
        <w:rPr>
          <w:rFonts w:hint="eastAsia" w:cs="Times New Roman"/>
          <w:color w:val="000000" w:themeColor="text1"/>
          <w14:textFill>
            <w14:solidFill>
              <w14:schemeClr w14:val="tx1"/>
            </w14:solidFill>
          </w14:textFill>
        </w:rPr>
        <w:t>对郁江水质产生影响。</w:t>
      </w:r>
    </w:p>
    <w:p w14:paraId="0DCFD1F2">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评价结论</w:t>
      </w:r>
    </w:p>
    <w:p w14:paraId="3D9C1E35">
      <w:pPr>
        <w:spacing w:before="5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根据预测结果，废水未经处理直接排放将会对郁江水质产生不利影响，因此，</w:t>
      </w:r>
      <w:r>
        <w:rPr>
          <w:color w:val="000000" w:themeColor="text1"/>
          <w14:textFill>
            <w14:solidFill>
              <w14:schemeClr w14:val="tx1"/>
            </w14:solidFill>
          </w14:textFill>
        </w:rPr>
        <w:t>必须加强污水处理厂的设备及设施的运行管理，</w:t>
      </w:r>
      <w:r>
        <w:rPr>
          <w:rFonts w:hint="eastAsia"/>
          <w:color w:val="000000" w:themeColor="text1"/>
          <w14:textFill>
            <w14:solidFill>
              <w14:schemeClr w14:val="tx1"/>
            </w14:solidFill>
          </w14:textFill>
        </w:rPr>
        <w:t>杜绝废水未经处理直接排放的情况发生。</w:t>
      </w:r>
    </w:p>
    <w:p w14:paraId="52581E09">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为切实保护</w:t>
      </w:r>
      <w:r>
        <w:rPr>
          <w:rFonts w:hint="eastAsia" w:cs="Times New Roman"/>
          <w:color w:val="000000" w:themeColor="text1"/>
          <w14:textFill>
            <w14:solidFill>
              <w14:schemeClr w14:val="tx1"/>
            </w14:solidFill>
          </w14:textFill>
        </w:rPr>
        <w:t>受纳水体及下游</w:t>
      </w:r>
      <w:r>
        <w:rPr>
          <w:rFonts w:cs="Times New Roman"/>
          <w:color w:val="000000" w:themeColor="text1"/>
          <w14:textFill>
            <w14:solidFill>
              <w14:schemeClr w14:val="tx1"/>
            </w14:solidFill>
          </w14:textFill>
        </w:rPr>
        <w:t>地表水环境，本论证报告提出</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要求</w:t>
      </w:r>
      <w:r>
        <w:rPr>
          <w:rFonts w:hint="eastAsia"/>
          <w:color w:val="000000" w:themeColor="text1"/>
          <w14:textFill>
            <w14:solidFill>
              <w14:schemeClr w14:val="tx1"/>
            </w14:solidFill>
          </w14:textFill>
        </w:rPr>
        <w:t>芦塘乡（板栗村）污水处理厂</w:t>
      </w:r>
      <w:r>
        <w:rPr>
          <w:rFonts w:hint="eastAsia" w:cs="Times New Roman"/>
          <w:color w:val="000000" w:themeColor="text1"/>
          <w14:textFill>
            <w14:solidFill>
              <w14:schemeClr w14:val="tx1"/>
            </w14:solidFill>
          </w14:textFill>
        </w:rPr>
        <w:t>采取措施，降低事故发生和事故排放的概率：</w:t>
      </w:r>
    </w:p>
    <w:p w14:paraId="60AAB26B">
      <w:pPr>
        <w:widowControl/>
        <w:ind w:firstLine="480"/>
        <w:rPr>
          <w:bCs/>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强化自身环境管理，做好污水收集工作：污水处理厂区自身废水全部排入污水处理设施进行处理，不得随意直接外排</w:t>
      </w:r>
      <w:r>
        <w:rPr>
          <w:rFonts w:hint="eastAsia"/>
          <w:bCs/>
          <w:color w:val="000000" w:themeColor="text1"/>
          <w14:textFill>
            <w14:solidFill>
              <w14:schemeClr w14:val="tx1"/>
            </w14:solidFill>
          </w14:textFill>
        </w:rPr>
        <w:t>。</w:t>
      </w:r>
    </w:p>
    <w:p w14:paraId="3FDF571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加强对污水处理设施的管理，</w:t>
      </w:r>
      <w:r>
        <w:rPr>
          <w:rFonts w:hint="eastAsia" w:cs="Times New Roman"/>
          <w:color w:val="000000" w:themeColor="text1"/>
          <w14:textFill>
            <w14:solidFill>
              <w14:schemeClr w14:val="tx1"/>
            </w14:solidFill>
          </w14:textFill>
        </w:rPr>
        <w:t>若出现浓度超标</w:t>
      </w:r>
      <w:r>
        <w:rPr>
          <w:rFonts w:hint="eastAsia"/>
          <w:color w:val="000000" w:themeColor="text1"/>
          <w14:textFill>
            <w14:solidFill>
              <w14:schemeClr w14:val="tx1"/>
            </w14:solidFill>
          </w14:textFill>
        </w:rPr>
        <w:t>及时查找原因，保证达标排放</w:t>
      </w:r>
      <w:r>
        <w:rPr>
          <w:rFonts w:hint="eastAsia" w:cs="Times New Roman"/>
          <w:color w:val="000000" w:themeColor="text1"/>
          <w14:textFill>
            <w14:solidFill>
              <w14:schemeClr w14:val="tx1"/>
            </w14:solidFill>
          </w14:textFill>
        </w:rPr>
        <w:t>。</w:t>
      </w:r>
    </w:p>
    <w:p w14:paraId="27D19607">
      <w:pPr>
        <w:widowControl/>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严格水质准入要求。做好进水水质监测工作。</w:t>
      </w:r>
    </w:p>
    <w:p w14:paraId="66F9A74A">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做好风险排污预防。本项目工艺具有对负荷变化适应能力较强，出水稳定等优点，在正常运行状态下发生风险排污的可能性小，风险排污往往发生在出现机械故障或停电之时。建议厂方针对不同类型可能发生的突发环境事故，制定不同的应急措施，在事故发生时分别启动相应的措施。</w:t>
      </w:r>
    </w:p>
    <w:p w14:paraId="025BB9AB">
      <w:pPr>
        <w:pStyle w:val="61"/>
        <w:spacing w:before="312"/>
      </w:pPr>
      <w:r>
        <w:rPr>
          <w:rFonts w:hint="eastAsia"/>
        </w:rPr>
        <w:t xml:space="preserve"> </w:t>
      </w:r>
      <w:bookmarkStart w:id="44" w:name="_Toc184805686"/>
      <w:r>
        <w:rPr>
          <w:rFonts w:hint="eastAsia"/>
        </w:rPr>
        <w:t>对水域纳污能力及水质影响分析</w:t>
      </w:r>
      <w:bookmarkEnd w:id="44"/>
    </w:p>
    <w:p w14:paraId="4063D2A1">
      <w:pPr>
        <w:pStyle w:val="45"/>
        <w:rPr>
          <w:color w:val="000000" w:themeColor="text1"/>
          <w14:textFill>
            <w14:solidFill>
              <w14:schemeClr w14:val="tx1"/>
            </w14:solidFill>
          </w14:textFill>
        </w:rPr>
      </w:pPr>
      <w:bookmarkStart w:id="45" w:name="_Ref127223765"/>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.2.1 </w:t>
      </w:r>
      <w:r>
        <w:rPr>
          <w:rFonts w:hint="eastAsia"/>
          <w:color w:val="000000" w:themeColor="text1"/>
          <w14:textFill>
            <w14:solidFill>
              <w14:schemeClr w14:val="tx1"/>
            </w14:solidFill>
          </w14:textFill>
        </w:rPr>
        <w:t>对纳污能力和限排总量影响分析</w:t>
      </w:r>
      <w:bookmarkEnd w:id="45"/>
    </w:p>
    <w:p w14:paraId="186B971B">
      <w:pPr>
        <w:ind w:firstLine="480"/>
        <w:rPr>
          <w:color w:val="000000" w:themeColor="text1"/>
          <w:kern w:val="2"/>
          <w14:textFill>
            <w14:solidFill>
              <w14:schemeClr w14:val="tx1"/>
            </w14:solidFill>
          </w14:textFill>
        </w:rPr>
      </w:pPr>
      <w:r>
        <w:rPr>
          <w:color w:val="000000" w:themeColor="text1"/>
          <w14:textFill>
            <w14:solidFill>
              <w14:schemeClr w14:val="tx1"/>
            </w14:solidFill>
          </w14:textFill>
        </w:rPr>
        <w:t>本项目工程排污口位于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，排污口所在区域为</w:t>
      </w:r>
      <w:r>
        <w:rPr>
          <w:rFonts w:hint="eastAsia"/>
          <w:color w:val="000000" w:themeColor="text1"/>
          <w14:textFill>
            <w14:solidFill>
              <w14:schemeClr w14:val="tx1"/>
            </w14:solidFill>
          </w14:textFill>
        </w:rPr>
        <w:t>“郁江彭水保家镇景观娱乐、饮用水源区”</w:t>
      </w:r>
      <w:r>
        <w:rPr>
          <w:rFonts w:hint="eastAsia" w:ascii="宋体" w:hAnsi="宋体"/>
          <w:color w:val="000000" w:themeColor="text1"/>
          <w14:textFill>
            <w14:solidFill>
              <w14:schemeClr w14:val="tx1"/>
            </w14:solidFill>
          </w14:textFill>
        </w:rPr>
        <w:t>二级功能区</w:t>
      </w:r>
      <w:r>
        <w:rPr>
          <w:color w:val="000000" w:themeColor="text1"/>
          <w14:textFill>
            <w14:solidFill>
              <w14:schemeClr w14:val="tx1"/>
            </w14:solidFill>
          </w14:textFill>
        </w:rPr>
        <w:t>，水域功能类别为Ⅱ类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水质目标为Ⅱ类</w:t>
      </w:r>
      <w:r>
        <w:rPr>
          <w:rFonts w:hint="eastAsia"/>
          <w:color w:val="000000" w:themeColor="text1"/>
          <w14:textFill>
            <w14:solidFill>
              <w14:schemeClr w14:val="tx1"/>
            </w14:solidFill>
          </w14:textFill>
        </w:rPr>
        <w:t>，现状水质为</w:t>
      </w:r>
      <w:r>
        <w:rPr>
          <w:color w:val="000000" w:themeColor="text1"/>
          <w14:textFill>
            <w14:solidFill>
              <w14:schemeClr w14:val="tx1"/>
            </w14:solidFill>
          </w14:textFill>
        </w:rPr>
        <w:t>Ⅱ类</w:t>
      </w:r>
      <w:r>
        <w:rPr>
          <w:rFonts w:hint="eastAsia"/>
          <w:color w:val="000000" w:themeColor="text1"/>
          <w14:textFill>
            <w14:solidFill>
              <w14:schemeClr w14:val="tx1"/>
            </w14:solidFill>
          </w14:textFill>
        </w:rPr>
        <w:t>，其</w:t>
      </w:r>
      <w:r>
        <w:rPr>
          <w:color w:val="000000" w:themeColor="text1"/>
          <w14:textFill>
            <w14:solidFill>
              <w14:schemeClr w14:val="tx1"/>
            </w14:solidFill>
          </w14:textFill>
        </w:rPr>
        <w:t>环境容量为COD</w:t>
      </w:r>
      <w:r>
        <w:rPr>
          <w:color w:val="000000" w:themeColor="text1"/>
          <w:kern w:val="2"/>
          <w14:textFill>
            <w14:solidFill>
              <w14:schemeClr w14:val="tx1"/>
            </w14:solidFill>
          </w14:textFill>
        </w:rPr>
        <w:t>2493.90t/a、</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color w:val="000000" w:themeColor="text1"/>
          <w:kern w:val="2"/>
          <w14:textFill>
            <w14:solidFill>
              <w14:schemeClr w14:val="tx1"/>
            </w14:solidFill>
          </w14:textFill>
        </w:rPr>
        <w:t>67.85t/a</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限制排放量为COD</w:t>
      </w:r>
      <w:r>
        <w:rPr>
          <w:rFonts w:cs="Times New Roman"/>
          <w:color w:val="000000" w:themeColor="text1"/>
          <w14:textFill>
            <w14:solidFill>
              <w14:schemeClr w14:val="tx1"/>
            </w14:solidFill>
          </w14:textFill>
        </w:rPr>
        <w:t>748.17</w:t>
      </w:r>
      <w:r>
        <w:rPr>
          <w:color w:val="000000" w:themeColor="text1"/>
          <w:kern w:val="2"/>
          <w14:textFill>
            <w14:solidFill>
              <w14:schemeClr w14:val="tx1"/>
            </w14:solidFill>
          </w14:textFill>
        </w:rPr>
        <w:t>t/a，NH</w:t>
      </w:r>
      <w:r>
        <w:rPr>
          <w:color w:val="000000" w:themeColor="text1"/>
          <w:kern w:val="2"/>
          <w:vertAlign w:val="subscript"/>
          <w14:textFill>
            <w14:solidFill>
              <w14:schemeClr w14:val="tx1"/>
            </w14:solidFill>
          </w14:textFill>
        </w:rPr>
        <w:t>3</w:t>
      </w:r>
      <w:r>
        <w:rPr>
          <w:color w:val="000000" w:themeColor="text1"/>
          <w:kern w:val="2"/>
          <w14:textFill>
            <w14:solidFill>
              <w14:schemeClr w14:val="tx1"/>
            </w14:solidFill>
          </w14:textFill>
        </w:rPr>
        <w:t>-N51.85t/a。</w:t>
      </w:r>
    </w:p>
    <w:p w14:paraId="62A24701">
      <w:pPr>
        <w:ind w:firstLine="480"/>
        <w:rPr>
          <w:color w:val="000000" w:themeColor="text1"/>
          <w14:textFill>
            <w14:solidFill>
              <w14:schemeClr w14:val="tx1"/>
            </w14:solidFill>
          </w14:textFill>
        </w:rPr>
      </w:pPr>
      <w:r>
        <w:rPr>
          <w:color w:val="000000" w:themeColor="text1"/>
          <w14:textFill>
            <w14:solidFill>
              <w14:schemeClr w14:val="tx1"/>
            </w14:solidFill>
          </w14:textFill>
        </w:rPr>
        <w:t>按照设计浓度来计算</w:t>
      </w:r>
      <w:r>
        <w:rPr>
          <w:rFonts w:hint="eastAsia"/>
          <w:color w:val="000000" w:themeColor="text1"/>
          <w14:textFill>
            <w14:solidFill>
              <w14:schemeClr w14:val="tx1"/>
            </w14:solidFill>
          </w14:textFill>
        </w:rPr>
        <w:t>项目总的污染物排放</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芦塘乡（板栗村）污水处理厂</w:t>
      </w:r>
      <w:r>
        <w:rPr>
          <w:rFonts w:cs="Times New Roman"/>
          <w:color w:val="000000" w:themeColor="text1"/>
          <w14:textFill>
            <w14:solidFill>
              <w14:schemeClr w14:val="tx1"/>
            </w14:solidFill>
          </w14:textFill>
        </w:rPr>
        <w:t>设计规模为90m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/d，COD设计排放浓度为60mg/L，</w:t>
      </w:r>
      <w:r>
        <w:rPr>
          <w:rFonts w:cs="Times New Roman"/>
          <w:bCs/>
          <w:color w:val="000000" w:themeColor="text1"/>
          <w14:textFill>
            <w14:solidFill>
              <w14:schemeClr w14:val="tx1"/>
            </w14:solidFill>
          </w14:textFill>
        </w:rPr>
        <w:t>NH</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-N</w:t>
      </w:r>
      <w:r>
        <w:rPr>
          <w:rFonts w:cs="Times New Roman"/>
          <w:color w:val="000000" w:themeColor="text1"/>
          <w14:textFill>
            <w14:solidFill>
              <w14:schemeClr w14:val="tx1"/>
            </w14:solidFill>
          </w14:textFill>
        </w:rPr>
        <w:t>设计排放浓度为8mg/L，设计年排放时间为365天连续排放。则设计年排放量计算如下：</w:t>
      </w:r>
    </w:p>
    <w:p w14:paraId="56AF1C74">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COD年排放量=90×365×60÷10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=1.971t/a；</w:t>
      </w:r>
    </w:p>
    <w:p w14:paraId="61DA387D">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N</w:t>
      </w:r>
      <w:r>
        <w:rPr>
          <w:rFonts w:cs="Times New Roman"/>
          <w:color w:val="000000" w:themeColor="text1"/>
          <w14:textFill>
            <w14:solidFill>
              <w14:schemeClr w14:val="tx1"/>
            </w14:solidFill>
          </w14:textFill>
        </w:rPr>
        <w:t>年排放量=90×365×8÷10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=0.2628t/a</w:t>
      </w:r>
      <w:r>
        <w:rPr>
          <w:rFonts w:hint="eastAsia" w:cs="Times New Roman"/>
          <w:color w:val="000000" w:themeColor="text1"/>
          <w14:textFill>
            <w14:solidFill>
              <w14:schemeClr w14:val="tx1"/>
            </w14:solidFill>
          </w14:textFill>
        </w:rPr>
        <w:t>。</w:t>
      </w:r>
    </w:p>
    <w:p w14:paraId="5FD039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根据资料查阅和现场踏勘，</w:t>
      </w:r>
      <w:r>
        <w:rPr>
          <w:rFonts w:cs="Times New Roman"/>
          <w:color w:val="000000" w:themeColor="text1"/>
          <w14:textFill>
            <w14:solidFill>
              <w14:schemeClr w14:val="tx1"/>
            </w14:solidFill>
          </w14:textFill>
        </w:rPr>
        <w:t>本项目所处的</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w:t>
      </w:r>
      <w:r>
        <w:rPr>
          <w:rFonts w:hint="eastAsia" w:cs="Times New Roman"/>
          <w:color w:val="000000" w:themeColor="text1"/>
          <w14:textFill>
            <w14:solidFill>
              <w14:schemeClr w14:val="tx1"/>
            </w14:solidFill>
          </w14:textFill>
        </w:rPr>
        <w:t>还</w:t>
      </w:r>
      <w:r>
        <w:rPr>
          <w:rFonts w:hint="eastAsia"/>
          <w:color w:val="000000" w:themeColor="text1"/>
          <w14:textFill>
            <w14:solidFill>
              <w14:schemeClr w14:val="tx1"/>
            </w14:solidFill>
          </w14:textFill>
        </w:rPr>
        <w:t>有乔梓乡（合心村）污水处理厂、保家镇污水处理厂、彭水职教中心污水处理厂、岩东乡（堰塘村）污水处理厂、彭水一中（芦渡湖）污水处理厂的入河排污口，其污染物排放情况见表</w:t>
      </w:r>
      <w:r>
        <w:rPr>
          <w:color w:val="000000" w:themeColor="text1"/>
          <w14:textFill>
            <w14:solidFill>
              <w14:schemeClr w14:val="tx1"/>
            </w14:solidFill>
          </w14:textFill>
        </w:rPr>
        <w:t>6.2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14:paraId="575C036A">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w:t>
      </w:r>
      <w:r>
        <w:rPr>
          <w:rFonts w:cs="Times New Roman"/>
          <w:b/>
          <w:color w:val="000000" w:themeColor="text1"/>
          <w:sz w:val="21"/>
          <w:szCs w:val="21"/>
          <w14:textFill>
            <w14:solidFill>
              <w14:schemeClr w14:val="tx1"/>
            </w14:solidFill>
          </w14:textFill>
        </w:rPr>
        <w:t>6.2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1  </w:t>
      </w:r>
      <w:r>
        <w:rPr>
          <w:rFonts w:hint="eastAsia" w:cs="Times New Roman"/>
          <w:b/>
          <w:color w:val="000000" w:themeColor="text1"/>
          <w:sz w:val="21"/>
          <w:szCs w:val="21"/>
          <w14:textFill>
            <w14:solidFill>
              <w14:schemeClr w14:val="tx1"/>
            </w14:solidFill>
          </w14:textFill>
        </w:rPr>
        <w:t>水功能区其他入河排污口污染物排放状况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88"/>
        <w:gridCol w:w="1673"/>
        <w:gridCol w:w="1807"/>
        <w:gridCol w:w="1914"/>
      </w:tblGrid>
      <w:tr w14:paraId="74C5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2" w:type="dxa"/>
            <w:vAlign w:val="center"/>
          </w:tcPr>
          <w:p w14:paraId="735C4A1F">
            <w:pPr>
              <w:pStyle w:val="59"/>
              <w:adjustRightInd w:val="0"/>
              <w:snapToGrid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945" w:type="dxa"/>
            <w:vAlign w:val="center"/>
          </w:tcPr>
          <w:p w14:paraId="57410597">
            <w:pPr>
              <w:pStyle w:val="59"/>
              <w:adjustRightInd w:val="0"/>
              <w:snapToGrid w:val="0"/>
              <w:rPr>
                <w:b/>
                <w:color w:val="000000" w:themeColor="text1"/>
                <w14:textFill>
                  <w14:solidFill>
                    <w14:schemeClr w14:val="tx1"/>
                  </w14:solidFill>
                </w14:textFill>
              </w:rPr>
            </w:pPr>
            <w:r>
              <w:rPr>
                <w:rFonts w:hint="eastAsia"/>
                <w:b/>
                <w:color w:val="000000" w:themeColor="text1"/>
                <w14:textFill>
                  <w14:solidFill>
                    <w14:schemeClr w14:val="tx1"/>
                  </w14:solidFill>
                </w14:textFill>
              </w:rPr>
              <w:t>排水单位</w:t>
            </w:r>
          </w:p>
        </w:tc>
        <w:tc>
          <w:tcPr>
            <w:tcW w:w="1363" w:type="dxa"/>
            <w:vAlign w:val="center"/>
          </w:tcPr>
          <w:p w14:paraId="624EEB6B">
            <w:pPr>
              <w:pStyle w:val="59"/>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水量（</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472" w:type="dxa"/>
            <w:vAlign w:val="center"/>
          </w:tcPr>
          <w:p w14:paraId="5E7D389F">
            <w:pPr>
              <w:pStyle w:val="59"/>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COD（</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1559" w:type="dxa"/>
            <w:vAlign w:val="center"/>
          </w:tcPr>
          <w:p w14:paraId="6F947879">
            <w:pPr>
              <w:pStyle w:val="59"/>
              <w:adjustRightInd w:val="0"/>
              <w:snapToGrid w:val="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NH</w:t>
            </w:r>
            <w:r>
              <w:rPr>
                <w:b/>
                <w:color w:val="000000" w:themeColor="text1"/>
                <w:szCs w:val="21"/>
                <w:vertAlign w:val="subscript"/>
                <w14:textFill>
                  <w14:solidFill>
                    <w14:schemeClr w14:val="tx1"/>
                  </w14:solidFill>
                </w14:textFill>
              </w:rPr>
              <w:t>3</w:t>
            </w:r>
            <w:r>
              <w:rPr>
                <w:b/>
                <w:color w:val="000000" w:themeColor="text1"/>
                <w:szCs w:val="21"/>
                <w14:textFill>
                  <w14:solidFill>
                    <w14:schemeClr w14:val="tx1"/>
                  </w14:solidFill>
                </w14:textFill>
              </w:rPr>
              <w:t>-N</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14:paraId="09F6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0BE06F52">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45" w:type="dxa"/>
            <w:vAlign w:val="center"/>
          </w:tcPr>
          <w:p w14:paraId="2B5DC183">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乔梓乡（合心村）污水处理厂</w:t>
            </w:r>
          </w:p>
        </w:tc>
        <w:tc>
          <w:tcPr>
            <w:tcW w:w="1363" w:type="dxa"/>
            <w:vAlign w:val="center"/>
          </w:tcPr>
          <w:p w14:paraId="58441BA3">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3800</w:t>
            </w:r>
          </w:p>
        </w:tc>
        <w:tc>
          <w:tcPr>
            <w:tcW w:w="1472" w:type="dxa"/>
            <w:vAlign w:val="center"/>
          </w:tcPr>
          <w:p w14:paraId="1A33881F">
            <w:pPr>
              <w:pStyle w:val="59"/>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.628</w:t>
            </w:r>
          </w:p>
        </w:tc>
        <w:tc>
          <w:tcPr>
            <w:tcW w:w="1559" w:type="dxa"/>
            <w:vAlign w:val="center"/>
          </w:tcPr>
          <w:p w14:paraId="1C3C54E2">
            <w:pPr>
              <w:pStyle w:val="59"/>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.3504</w:t>
            </w:r>
          </w:p>
        </w:tc>
      </w:tr>
      <w:tr w14:paraId="1F5E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6C07BC3">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5" w:type="dxa"/>
            <w:vAlign w:val="center"/>
          </w:tcPr>
          <w:p w14:paraId="14F14651">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4D564C95">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47500</w:t>
            </w:r>
          </w:p>
        </w:tc>
        <w:tc>
          <w:tcPr>
            <w:tcW w:w="1472" w:type="dxa"/>
            <w:vAlign w:val="center"/>
          </w:tcPr>
          <w:p w14:paraId="0B7742D8">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2.85</w:t>
            </w:r>
          </w:p>
        </w:tc>
        <w:tc>
          <w:tcPr>
            <w:tcW w:w="1559" w:type="dxa"/>
            <w:vAlign w:val="center"/>
          </w:tcPr>
          <w:p w14:paraId="437F5D49">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.38</w:t>
            </w:r>
          </w:p>
        </w:tc>
      </w:tr>
      <w:tr w14:paraId="67C3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6A709DE0">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5" w:type="dxa"/>
            <w:vAlign w:val="center"/>
          </w:tcPr>
          <w:p w14:paraId="52FB27ED">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岩东乡（堰塘村）污水处理厂</w:t>
            </w:r>
          </w:p>
        </w:tc>
        <w:tc>
          <w:tcPr>
            <w:tcW w:w="1363" w:type="dxa"/>
            <w:vAlign w:val="center"/>
          </w:tcPr>
          <w:p w14:paraId="277D1CB5">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9200</w:t>
            </w:r>
          </w:p>
        </w:tc>
        <w:tc>
          <w:tcPr>
            <w:tcW w:w="1472" w:type="dxa"/>
            <w:vAlign w:val="center"/>
          </w:tcPr>
          <w:p w14:paraId="208C057C">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.752</w:t>
            </w:r>
          </w:p>
        </w:tc>
        <w:tc>
          <w:tcPr>
            <w:tcW w:w="1559" w:type="dxa"/>
            <w:vAlign w:val="center"/>
          </w:tcPr>
          <w:p w14:paraId="769FD629">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.2336</w:t>
            </w:r>
          </w:p>
        </w:tc>
      </w:tr>
      <w:tr w14:paraId="372A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705D6B0F">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5" w:type="dxa"/>
            <w:vAlign w:val="center"/>
          </w:tcPr>
          <w:p w14:paraId="1489D1C9">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保家镇污水处理厂</w:t>
            </w:r>
          </w:p>
        </w:tc>
        <w:tc>
          <w:tcPr>
            <w:tcW w:w="1363" w:type="dxa"/>
            <w:vAlign w:val="center"/>
          </w:tcPr>
          <w:p w14:paraId="356A56A8">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095000</w:t>
            </w:r>
          </w:p>
        </w:tc>
        <w:tc>
          <w:tcPr>
            <w:tcW w:w="1472" w:type="dxa"/>
            <w:vAlign w:val="center"/>
          </w:tcPr>
          <w:p w14:paraId="7CA020C6">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5DFA389F">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8.76</w:t>
            </w:r>
          </w:p>
        </w:tc>
      </w:tr>
      <w:tr w14:paraId="6DEF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138644E9">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5" w:type="dxa"/>
            <w:vAlign w:val="center"/>
          </w:tcPr>
          <w:p w14:paraId="6295B8CF">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彭水职教中心污水处理厂</w:t>
            </w:r>
          </w:p>
        </w:tc>
        <w:tc>
          <w:tcPr>
            <w:tcW w:w="1363" w:type="dxa"/>
            <w:vAlign w:val="center"/>
          </w:tcPr>
          <w:p w14:paraId="55D91062">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09500</w:t>
            </w:r>
          </w:p>
        </w:tc>
        <w:tc>
          <w:tcPr>
            <w:tcW w:w="1472" w:type="dxa"/>
            <w:vAlign w:val="center"/>
          </w:tcPr>
          <w:p w14:paraId="0669ADF3">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.57</w:t>
            </w:r>
          </w:p>
        </w:tc>
        <w:tc>
          <w:tcPr>
            <w:tcW w:w="1559" w:type="dxa"/>
            <w:vAlign w:val="center"/>
          </w:tcPr>
          <w:p w14:paraId="54336423">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.6425</w:t>
            </w:r>
          </w:p>
        </w:tc>
      </w:tr>
      <w:tr w14:paraId="5C31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2" w:type="dxa"/>
            <w:vAlign w:val="center"/>
          </w:tcPr>
          <w:p w14:paraId="2F4AC0F3">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5" w:type="dxa"/>
            <w:vAlign w:val="center"/>
          </w:tcPr>
          <w:p w14:paraId="33767B66">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彭水一中（芦渡湖）污水处理厂</w:t>
            </w:r>
          </w:p>
        </w:tc>
        <w:tc>
          <w:tcPr>
            <w:tcW w:w="1363" w:type="dxa"/>
            <w:vAlign w:val="center"/>
          </w:tcPr>
          <w:p w14:paraId="69E1B173">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12500</w:t>
            </w:r>
          </w:p>
        </w:tc>
        <w:tc>
          <w:tcPr>
            <w:tcW w:w="1472" w:type="dxa"/>
            <w:vAlign w:val="center"/>
          </w:tcPr>
          <w:p w14:paraId="3CA84671">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c>
          <w:tcPr>
            <w:tcW w:w="1559" w:type="dxa"/>
            <w:vAlign w:val="center"/>
          </w:tcPr>
          <w:p w14:paraId="753FD70C">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.5625</w:t>
            </w:r>
          </w:p>
        </w:tc>
      </w:tr>
      <w:tr w14:paraId="7363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gridSpan w:val="2"/>
            <w:vAlign w:val="center"/>
          </w:tcPr>
          <w:p w14:paraId="23B5B611">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3" w:type="dxa"/>
            <w:vAlign w:val="center"/>
          </w:tcPr>
          <w:p w14:paraId="53C4EBD2">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737500</w:t>
            </w:r>
          </w:p>
        </w:tc>
        <w:tc>
          <w:tcPr>
            <w:tcW w:w="1472" w:type="dxa"/>
            <w:vAlign w:val="center"/>
          </w:tcPr>
          <w:p w14:paraId="1384A5E4">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55.125</w:t>
            </w:r>
          </w:p>
        </w:tc>
        <w:tc>
          <w:tcPr>
            <w:tcW w:w="1559" w:type="dxa"/>
            <w:vAlign w:val="center"/>
          </w:tcPr>
          <w:p w14:paraId="4F5AA2F6">
            <w:pPr>
              <w:pStyle w:val="59"/>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19.929</w:t>
            </w:r>
          </w:p>
        </w:tc>
      </w:tr>
    </w:tbl>
    <w:p w14:paraId="44BA62DA">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“郁江彭水保家镇景观娱乐、饮用水源区”的</w:t>
      </w:r>
      <w:r>
        <w:rPr>
          <w:rFonts w:cs="Times New Roman"/>
          <w:color w:val="000000" w:themeColor="text1"/>
          <w14:textFill>
            <w14:solidFill>
              <w14:schemeClr w14:val="tx1"/>
            </w14:solidFill>
          </w14:textFill>
        </w:rPr>
        <w:t>范围内现有</w:t>
      </w:r>
      <w:r>
        <w:rPr>
          <w:rFonts w:hint="eastAsia" w:cs="Times New Roman"/>
          <w:color w:val="000000" w:themeColor="text1"/>
          <w14:textFill>
            <w14:solidFill>
              <w14:schemeClr w14:val="tx1"/>
            </w14:solidFill>
          </w14:textFill>
        </w:rPr>
        <w:t>其他</w:t>
      </w:r>
      <w:r>
        <w:rPr>
          <w:rFonts w:cs="Times New Roman"/>
          <w:color w:val="000000" w:themeColor="text1"/>
          <w14:textFill>
            <w14:solidFill>
              <w14:schemeClr w14:val="tx1"/>
            </w14:solidFill>
          </w14:textFill>
        </w:rPr>
        <w:t>排污</w:t>
      </w:r>
      <w:r>
        <w:rPr>
          <w:rFonts w:hint="eastAsia" w:cs="Times New Roman"/>
          <w:color w:val="000000" w:themeColor="text1"/>
          <w14:textFill>
            <w14:solidFill>
              <w14:schemeClr w14:val="tx1"/>
            </w14:solidFill>
          </w14:textFill>
        </w:rPr>
        <w:t>单位</w:t>
      </w:r>
      <w:r>
        <w:rPr>
          <w:rFonts w:cs="Times New Roman"/>
          <w:color w:val="000000" w:themeColor="text1"/>
          <w14:textFill>
            <w14:solidFill>
              <w14:schemeClr w14:val="tx1"/>
            </w14:solidFill>
          </w14:textFill>
        </w:rPr>
        <w:t>污染物排放COD、NH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-N排放量合计分别为155.125t/a、19.929t/a。</w:t>
      </w:r>
    </w:p>
    <w:p w14:paraId="32CFD8DF">
      <w:pPr>
        <w:widowControl/>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入河排污口水功能区污染物排放汇总情况</w:t>
      </w:r>
      <w:r>
        <w:rPr>
          <w:rFonts w:cs="Times New Roman"/>
          <w:color w:val="000000" w:themeColor="text1"/>
          <w14:textFill>
            <w14:solidFill>
              <w14:schemeClr w14:val="tx1"/>
            </w14:solidFill>
          </w14:textFill>
        </w:rPr>
        <w:t>见</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p>
    <w:p w14:paraId="782913DB">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 xml:space="preserve">2  </w:t>
      </w:r>
      <w:r>
        <w:rPr>
          <w:rFonts w:hint="eastAsia" w:cs="Times New Roman"/>
          <w:b/>
          <w:color w:val="000000" w:themeColor="text1"/>
          <w:sz w:val="21"/>
          <w:szCs w:val="21"/>
          <w14:textFill>
            <w14:solidFill>
              <w14:schemeClr w14:val="tx1"/>
            </w14:solidFill>
          </w14:textFill>
        </w:rPr>
        <w:t>入河排污口水功能区污染物排放汇总一览表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1"/>
        <w:gridCol w:w="1553"/>
        <w:gridCol w:w="1534"/>
        <w:gridCol w:w="935"/>
        <w:gridCol w:w="1019"/>
        <w:gridCol w:w="1019"/>
        <w:gridCol w:w="955"/>
      </w:tblGrid>
      <w:tr w14:paraId="5750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Align w:val="center"/>
          </w:tcPr>
          <w:p w14:paraId="79FA0131">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计算方法</w:t>
            </w:r>
          </w:p>
        </w:tc>
        <w:tc>
          <w:tcPr>
            <w:tcW w:w="819" w:type="dxa"/>
            <w:vAlign w:val="center"/>
          </w:tcPr>
          <w:p w14:paraId="5D90055D">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污染指标</w:t>
            </w:r>
          </w:p>
        </w:tc>
        <w:tc>
          <w:tcPr>
            <w:tcW w:w="1512" w:type="dxa"/>
            <w:vAlign w:val="center"/>
          </w:tcPr>
          <w:p w14:paraId="43F87919">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其他排污单位</w:t>
            </w:r>
            <w:r>
              <w:rPr>
                <w:b/>
                <w:color w:val="000000" w:themeColor="text1"/>
                <w:sz w:val="21"/>
                <w:szCs w:val="21"/>
                <w14:textFill>
                  <w14:solidFill>
                    <w14:schemeClr w14:val="tx1"/>
                  </w14:solidFill>
                </w14:textFill>
              </w:rPr>
              <w:t>入河负荷量（t/a）</w:t>
            </w:r>
          </w:p>
        </w:tc>
        <w:tc>
          <w:tcPr>
            <w:tcW w:w="1493" w:type="dxa"/>
            <w:vAlign w:val="center"/>
          </w:tcPr>
          <w:p w14:paraId="35B883E2">
            <w:pPr>
              <w:spacing w:line="240" w:lineRule="auto"/>
              <w:ind w:firstLine="0" w:firstLineChars="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芦塘乡（板栗村）污水处理厂</w:t>
            </w:r>
            <w:r>
              <w:rPr>
                <w:b/>
                <w:color w:val="000000" w:themeColor="text1"/>
                <w:sz w:val="21"/>
                <w:szCs w:val="21"/>
                <w14:textFill>
                  <w14:solidFill>
                    <w14:schemeClr w14:val="tx1"/>
                  </w14:solidFill>
                </w14:textFill>
              </w:rPr>
              <w:t>入河负荷量（t/a）</w:t>
            </w:r>
          </w:p>
        </w:tc>
        <w:tc>
          <w:tcPr>
            <w:tcW w:w="910" w:type="dxa"/>
            <w:vAlign w:val="center"/>
          </w:tcPr>
          <w:p w14:paraId="693E5EE5">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合计（t/a）</w:t>
            </w:r>
          </w:p>
        </w:tc>
        <w:tc>
          <w:tcPr>
            <w:tcW w:w="992" w:type="dxa"/>
            <w:vAlign w:val="center"/>
          </w:tcPr>
          <w:p w14:paraId="542C8DDB">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纳污能力（t/a）</w:t>
            </w:r>
          </w:p>
        </w:tc>
        <w:tc>
          <w:tcPr>
            <w:tcW w:w="992" w:type="dxa"/>
            <w:vAlign w:val="center"/>
          </w:tcPr>
          <w:p w14:paraId="7D748C2E">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限排总量（t/a）</w:t>
            </w:r>
          </w:p>
        </w:tc>
        <w:tc>
          <w:tcPr>
            <w:tcW w:w="930" w:type="dxa"/>
            <w:vAlign w:val="center"/>
          </w:tcPr>
          <w:p w14:paraId="0F6BA843">
            <w:pPr>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14:paraId="6EA5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restart"/>
            <w:vAlign w:val="center"/>
          </w:tcPr>
          <w:p w14:paraId="06A0EE9F">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w:t>
            </w:r>
            <w:r>
              <w:rPr>
                <w:color w:val="000000" w:themeColor="text1"/>
                <w:sz w:val="21"/>
                <w:szCs w:val="21"/>
                <w14:textFill>
                  <w14:solidFill>
                    <w14:schemeClr w14:val="tx1"/>
                  </w14:solidFill>
                </w14:textFill>
              </w:rPr>
              <w:t>设计浓度计算</w:t>
            </w:r>
          </w:p>
        </w:tc>
        <w:tc>
          <w:tcPr>
            <w:tcW w:w="819" w:type="dxa"/>
            <w:vAlign w:val="center"/>
          </w:tcPr>
          <w:p w14:paraId="281B7D10">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p>
        </w:tc>
        <w:tc>
          <w:tcPr>
            <w:tcW w:w="1512" w:type="dxa"/>
            <w:vAlign w:val="center"/>
          </w:tcPr>
          <w:p w14:paraId="478B3D40">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55.125</w:t>
            </w:r>
          </w:p>
        </w:tc>
        <w:tc>
          <w:tcPr>
            <w:tcW w:w="1493" w:type="dxa"/>
            <w:vAlign w:val="center"/>
          </w:tcPr>
          <w:p w14:paraId="277F8DFE">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1.971</w:t>
            </w:r>
          </w:p>
        </w:tc>
        <w:tc>
          <w:tcPr>
            <w:tcW w:w="910" w:type="dxa"/>
            <w:vAlign w:val="center"/>
          </w:tcPr>
          <w:p w14:paraId="31253591">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157.096</w:t>
            </w:r>
          </w:p>
        </w:tc>
        <w:tc>
          <w:tcPr>
            <w:tcW w:w="992" w:type="dxa"/>
            <w:vAlign w:val="center"/>
          </w:tcPr>
          <w:p w14:paraId="58460C5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2493.90</w:t>
            </w:r>
          </w:p>
        </w:tc>
        <w:tc>
          <w:tcPr>
            <w:tcW w:w="992" w:type="dxa"/>
            <w:vAlign w:val="center"/>
          </w:tcPr>
          <w:p w14:paraId="6FBA516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748.17</w:t>
            </w:r>
          </w:p>
        </w:tc>
        <w:tc>
          <w:tcPr>
            <w:tcW w:w="930" w:type="dxa"/>
            <w:vAlign w:val="center"/>
          </w:tcPr>
          <w:p w14:paraId="68C5130E">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r w14:paraId="06B1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8" w:type="dxa"/>
            <w:vMerge w:val="continue"/>
            <w:vAlign w:val="center"/>
          </w:tcPr>
          <w:p w14:paraId="6A19A9CE">
            <w:pPr>
              <w:spacing w:line="240" w:lineRule="auto"/>
              <w:ind w:firstLine="0" w:firstLineChars="0"/>
              <w:jc w:val="center"/>
              <w:rPr>
                <w:color w:val="000000" w:themeColor="text1"/>
                <w:sz w:val="21"/>
                <w:szCs w:val="21"/>
                <w14:textFill>
                  <w14:solidFill>
                    <w14:schemeClr w14:val="tx1"/>
                  </w14:solidFill>
                </w14:textFill>
              </w:rPr>
            </w:pPr>
          </w:p>
        </w:tc>
        <w:tc>
          <w:tcPr>
            <w:tcW w:w="819" w:type="dxa"/>
            <w:vAlign w:val="center"/>
          </w:tcPr>
          <w:p w14:paraId="1178A29C">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NH</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N</w:t>
            </w:r>
          </w:p>
        </w:tc>
        <w:tc>
          <w:tcPr>
            <w:tcW w:w="1512" w:type="dxa"/>
            <w:vAlign w:val="center"/>
          </w:tcPr>
          <w:p w14:paraId="32FD5D95">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19.929</w:t>
            </w:r>
          </w:p>
        </w:tc>
        <w:tc>
          <w:tcPr>
            <w:tcW w:w="1493" w:type="dxa"/>
            <w:vAlign w:val="center"/>
          </w:tcPr>
          <w:p w14:paraId="719D0913">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0.2628</w:t>
            </w:r>
          </w:p>
        </w:tc>
        <w:tc>
          <w:tcPr>
            <w:tcW w:w="910" w:type="dxa"/>
            <w:vAlign w:val="center"/>
          </w:tcPr>
          <w:p w14:paraId="0ABADD15">
            <w:pPr>
              <w:spacing w:line="240" w:lineRule="auto"/>
              <w:ind w:firstLine="0" w:firstLineChars="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20.1918</w:t>
            </w:r>
          </w:p>
        </w:tc>
        <w:tc>
          <w:tcPr>
            <w:tcW w:w="992" w:type="dxa"/>
            <w:vAlign w:val="center"/>
          </w:tcPr>
          <w:p w14:paraId="5979C724">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67.85</w:t>
            </w:r>
          </w:p>
        </w:tc>
        <w:tc>
          <w:tcPr>
            <w:tcW w:w="992" w:type="dxa"/>
            <w:vAlign w:val="center"/>
          </w:tcPr>
          <w:p w14:paraId="510FB46E">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51.85</w:t>
            </w:r>
          </w:p>
        </w:tc>
        <w:tc>
          <w:tcPr>
            <w:tcW w:w="930" w:type="dxa"/>
            <w:vAlign w:val="center"/>
          </w:tcPr>
          <w:p w14:paraId="3CB106B5">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满足</w:t>
            </w:r>
          </w:p>
        </w:tc>
      </w:tr>
    </w:tbl>
    <w:p w14:paraId="41A1A95B">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采用设计排放浓度的计算结果，</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rFonts w:hint="eastAsia" w:cs="Times New Roman"/>
          <w:color w:val="000000" w:themeColor="text1"/>
          <w14:textFill>
            <w14:solidFill>
              <w14:schemeClr w14:val="tx1"/>
            </w14:solidFill>
          </w14:textFill>
        </w:rPr>
        <w:t>的</w:t>
      </w:r>
      <w:r>
        <w:rPr>
          <w:rFonts w:cs="Times New Roman"/>
          <w:color w:val="000000" w:themeColor="text1"/>
          <w14:textFill>
            <w14:solidFill>
              <w14:schemeClr w14:val="tx1"/>
            </w14:solidFill>
          </w14:textFill>
        </w:rPr>
        <w:t>入河量满足水功能区纳污能力的要求。</w:t>
      </w:r>
    </w:p>
    <w:p w14:paraId="204D0F63">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根据</w:t>
      </w:r>
      <w:r>
        <w:rPr>
          <w:rFonts w:hint="eastAsia" w:cs="Times New Roman"/>
          <w:color w:val="000000" w:themeColor="text1"/>
          <w:szCs w:val="22"/>
          <w14:textFill>
            <w14:solidFill>
              <w14:schemeClr w14:val="tx1"/>
            </w14:solidFill>
          </w14:textFill>
        </w:rPr>
        <w:t>《彭水自治县生态环境保护“十四五”规划和二〇三五年远景目标》：“十四五”期间，保障水环境安全，重点实施沿河排污口整治、城镇管网完善、码头船舶污染控制、工业企业污染等综合整治。全面摸清彭水段乌江、郁江入河排污口底数，制定整治方案并持续推进整改，到2025年完成全县所有排污口排查，完成乌江及郁江干流沿线排污口规范化建设。加快补齐污水管网建设短板，推进污水集中处理设施新、改、扩建工作，到2025年，城镇生活污水收集率达到96%以上，乡镇达86%以上。”</w:t>
      </w:r>
    </w:p>
    <w:p w14:paraId="034679AC">
      <w:pPr>
        <w:widowControl/>
        <w:ind w:firstLine="48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本项目的建设</w:t>
      </w:r>
      <w:r>
        <w:rPr>
          <w:rFonts w:hint="eastAsia" w:cs="Times New Roman"/>
          <w:color w:val="000000" w:themeColor="text1"/>
          <w:szCs w:val="22"/>
          <w14:textFill>
            <w14:solidFill>
              <w14:schemeClr w14:val="tx1"/>
            </w14:solidFill>
          </w14:textFill>
        </w:rPr>
        <w:t>增加了彭水苗族土家族自治县污水处理能力，使未经处理直接流入郁江的废污水进一步减少，</w:t>
      </w:r>
      <w:r>
        <w:rPr>
          <w:rFonts w:cs="Times New Roman"/>
          <w:color w:val="000000" w:themeColor="text1"/>
          <w:szCs w:val="22"/>
          <w14:textFill>
            <w14:solidFill>
              <w14:schemeClr w14:val="tx1"/>
            </w14:solidFill>
          </w14:textFill>
        </w:rPr>
        <w:t>具体</w:t>
      </w:r>
      <w:r>
        <w:rPr>
          <w:rFonts w:hint="eastAsia" w:cs="Times New Roman"/>
          <w:color w:val="000000" w:themeColor="text1"/>
          <w:szCs w:val="22"/>
          <w14:textFill>
            <w14:solidFill>
              <w14:schemeClr w14:val="tx1"/>
            </w14:solidFill>
          </w14:textFill>
        </w:rPr>
        <w:t>污染物</w:t>
      </w:r>
      <w:r>
        <w:rPr>
          <w:rFonts w:cs="Times New Roman"/>
          <w:color w:val="000000" w:themeColor="text1"/>
          <w:szCs w:val="22"/>
          <w14:textFill>
            <w14:solidFill>
              <w14:schemeClr w14:val="tx1"/>
            </w14:solidFill>
          </w14:textFill>
        </w:rPr>
        <w:t>削减量见</w:t>
      </w:r>
      <w:r>
        <w:rPr>
          <w:rFonts w:hint="eastAsia" w:cs="Times New Roman"/>
          <w:color w:val="000000" w:themeColor="text1"/>
          <w:szCs w:val="22"/>
          <w14:textFill>
            <w14:solidFill>
              <w14:schemeClr w14:val="tx1"/>
            </w14:solidFill>
          </w14:textFill>
        </w:rPr>
        <w:t>表6</w:t>
      </w:r>
      <w:r>
        <w:rPr>
          <w:rFonts w:cs="Times New Roman"/>
          <w:color w:val="000000" w:themeColor="text1"/>
          <w:szCs w:val="22"/>
          <w14:textFill>
            <w14:solidFill>
              <w14:schemeClr w14:val="tx1"/>
            </w14:solidFill>
          </w14:textFill>
        </w:rPr>
        <w:t>.2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3。</w:t>
      </w:r>
    </w:p>
    <w:p w14:paraId="54AAFF09">
      <w:pPr>
        <w:spacing w:line="240" w:lineRule="auto"/>
        <w:ind w:firstLine="0" w:firstLineChars="0"/>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表6</w:t>
      </w:r>
      <w:r>
        <w:rPr>
          <w:rFonts w:cs="Times New Roman"/>
          <w:b/>
          <w:color w:val="000000" w:themeColor="text1"/>
          <w:sz w:val="21"/>
          <w:szCs w:val="21"/>
          <w14:textFill>
            <w14:solidFill>
              <w14:schemeClr w14:val="tx1"/>
            </w14:solidFill>
          </w14:textFill>
        </w:rPr>
        <w:t>.2</w:t>
      </w:r>
      <w:r>
        <w:rPr>
          <w:rFonts w:hint="eastAsia" w:cs="Times New Roman"/>
          <w:b/>
          <w:color w:val="000000" w:themeColor="text1"/>
          <w:sz w:val="21"/>
          <w:szCs w:val="21"/>
          <w14:textFill>
            <w14:solidFill>
              <w14:schemeClr w14:val="tx1"/>
            </w14:solidFill>
          </w14:textFill>
        </w:rPr>
        <w:t>-</w:t>
      </w:r>
      <w:r>
        <w:rPr>
          <w:rFonts w:cs="Times New Roman"/>
          <w:b/>
          <w:color w:val="000000" w:themeColor="text1"/>
          <w:sz w:val="21"/>
          <w:szCs w:val="21"/>
          <w14:textFill>
            <w14:solidFill>
              <w14:schemeClr w14:val="tx1"/>
            </w14:solidFill>
          </w14:textFill>
        </w:rPr>
        <w:t>3   排放污染物种类及</w:t>
      </w:r>
      <w:r>
        <w:rPr>
          <w:rFonts w:hint="eastAsia" w:cs="Times New Roman"/>
          <w:b/>
          <w:color w:val="000000" w:themeColor="text1"/>
          <w:sz w:val="21"/>
          <w:szCs w:val="21"/>
          <w14:textFill>
            <w14:solidFill>
              <w14:schemeClr w14:val="tx1"/>
            </w14:solidFill>
          </w14:textFill>
        </w:rPr>
        <w:t>削减量</w:t>
      </w:r>
      <w:r>
        <w:rPr>
          <w:rFonts w:cs="Times New Roman"/>
          <w:b/>
          <w:color w:val="000000" w:themeColor="text1"/>
          <w:sz w:val="21"/>
          <w:szCs w:val="21"/>
          <w14:textFill>
            <w14:solidFill>
              <w14:schemeClr w14:val="tx1"/>
            </w14:solidFill>
          </w14:textFill>
        </w:rPr>
        <w:t>（按一级B标核算）</w:t>
      </w:r>
    </w:p>
    <w:tbl>
      <w:tblPr>
        <w:tblStyle w:val="3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367"/>
        <w:gridCol w:w="1231"/>
        <w:gridCol w:w="1262"/>
        <w:gridCol w:w="2108"/>
        <w:gridCol w:w="1231"/>
      </w:tblGrid>
      <w:tr w14:paraId="49F2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97" w:type="dxa"/>
            <w:vAlign w:val="center"/>
          </w:tcPr>
          <w:p w14:paraId="7CC98BF3">
            <w:pPr>
              <w:pStyle w:val="59"/>
              <w:rPr>
                <w:b/>
                <w:color w:val="000000" w:themeColor="text1"/>
                <w14:textFill>
                  <w14:solidFill>
                    <w14:schemeClr w14:val="tx1"/>
                  </w14:solidFill>
                </w14:textFill>
              </w:rPr>
            </w:pPr>
            <w:r>
              <w:rPr>
                <w:b/>
                <w:color w:val="000000" w:themeColor="text1"/>
                <w14:textFill>
                  <w14:solidFill>
                    <w14:schemeClr w14:val="tx1"/>
                  </w14:solidFill>
                </w14:textFill>
              </w:rPr>
              <w:t>指标</w:t>
            </w:r>
          </w:p>
        </w:tc>
        <w:tc>
          <w:tcPr>
            <w:tcW w:w="1367" w:type="dxa"/>
            <w:vAlign w:val="center"/>
          </w:tcPr>
          <w:p w14:paraId="67F4ED92">
            <w:pPr>
              <w:pStyle w:val="59"/>
              <w:rPr>
                <w:b/>
                <w:color w:val="000000" w:themeColor="text1"/>
                <w14:textFill>
                  <w14:solidFill>
                    <w14:schemeClr w14:val="tx1"/>
                  </w14:solidFill>
                </w14:textFill>
              </w:rPr>
            </w:pPr>
            <w:r>
              <w:rPr>
                <w:b/>
                <w:color w:val="000000" w:themeColor="text1"/>
                <w14:textFill>
                  <w14:solidFill>
                    <w14:schemeClr w14:val="tx1"/>
                  </w14:solidFill>
                </w14:textFill>
              </w:rPr>
              <w:t>进水浓度</w:t>
            </w:r>
          </w:p>
          <w:p w14:paraId="38A9DFA8">
            <w:pPr>
              <w:pStyle w:val="59"/>
              <w:rPr>
                <w:b/>
                <w:color w:val="000000" w:themeColor="text1"/>
                <w14:textFill>
                  <w14:solidFill>
                    <w14:schemeClr w14:val="tx1"/>
                  </w14:solidFill>
                </w14:textFill>
              </w:rPr>
            </w:pP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1231" w:type="dxa"/>
            <w:vAlign w:val="center"/>
          </w:tcPr>
          <w:p w14:paraId="38446336">
            <w:pPr>
              <w:pStyle w:val="59"/>
              <w:rPr>
                <w:b/>
                <w:color w:val="000000" w:themeColor="text1"/>
                <w14:textFill>
                  <w14:solidFill>
                    <w14:schemeClr w14:val="tx1"/>
                  </w14:solidFill>
                </w14:textFill>
              </w:rPr>
            </w:pPr>
            <w:r>
              <w:rPr>
                <w:b/>
                <w:color w:val="000000" w:themeColor="text1"/>
                <w14:textFill>
                  <w14:solidFill>
                    <w14:schemeClr w14:val="tx1"/>
                  </w14:solidFill>
                </w14:textFill>
              </w:rPr>
              <w:t>产生量</w:t>
            </w:r>
          </w:p>
          <w:p w14:paraId="400E8965">
            <w:pPr>
              <w:pStyle w:val="59"/>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62" w:type="dxa"/>
            <w:vAlign w:val="center"/>
          </w:tcPr>
          <w:p w14:paraId="554A4948">
            <w:pPr>
              <w:pStyle w:val="59"/>
              <w:rPr>
                <w:b/>
                <w:color w:val="000000" w:themeColor="text1"/>
                <w14:textFill>
                  <w14:solidFill>
                    <w14:schemeClr w14:val="tx1"/>
                  </w14:solidFill>
                </w14:textFill>
              </w:rPr>
            </w:pPr>
            <w:r>
              <w:rPr>
                <w:b/>
                <w:color w:val="000000" w:themeColor="text1"/>
                <w14:textFill>
                  <w14:solidFill>
                    <w14:schemeClr w14:val="tx1"/>
                  </w14:solidFill>
                </w14:textFill>
              </w:rPr>
              <w:t>排放浓度</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mg/L</w:t>
            </w:r>
            <w:r>
              <w:rPr>
                <w:rFonts w:hint="eastAsia"/>
                <w:b/>
                <w:color w:val="000000" w:themeColor="text1"/>
                <w14:textFill>
                  <w14:solidFill>
                    <w14:schemeClr w14:val="tx1"/>
                  </w14:solidFill>
                </w14:textFill>
              </w:rPr>
              <w:t>）</w:t>
            </w:r>
          </w:p>
        </w:tc>
        <w:tc>
          <w:tcPr>
            <w:tcW w:w="2108" w:type="dxa"/>
            <w:vAlign w:val="center"/>
          </w:tcPr>
          <w:p w14:paraId="7BF05F83">
            <w:pPr>
              <w:pStyle w:val="59"/>
              <w:rPr>
                <w:b/>
                <w:color w:val="000000" w:themeColor="text1"/>
                <w14:textFill>
                  <w14:solidFill>
                    <w14:schemeClr w14:val="tx1"/>
                  </w14:solidFill>
                </w14:textFill>
              </w:rPr>
            </w:pPr>
            <w:r>
              <w:rPr>
                <w:b/>
                <w:color w:val="000000" w:themeColor="text1"/>
                <w14:textFill>
                  <w14:solidFill>
                    <w14:schemeClr w14:val="tx1"/>
                  </w14:solidFill>
                </w14:textFill>
              </w:rPr>
              <w:t>排放量</w:t>
            </w:r>
          </w:p>
          <w:p w14:paraId="624ABC75">
            <w:pPr>
              <w:pStyle w:val="59"/>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231" w:type="dxa"/>
            <w:vAlign w:val="center"/>
          </w:tcPr>
          <w:p w14:paraId="7931F100">
            <w:pPr>
              <w:pStyle w:val="59"/>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削减量（t/a）</w:t>
            </w:r>
          </w:p>
        </w:tc>
      </w:tr>
      <w:tr w14:paraId="12D5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0E843C57">
            <w:pPr>
              <w:widowControl/>
              <w:autoSpaceDE/>
              <w:autoSpaceDN/>
              <w:spacing w:line="240" w:lineRule="auto"/>
              <w:ind w:firstLine="0" w:firstLineChars="0"/>
              <w:jc w:val="center"/>
              <w:textAlignment w:val="auto"/>
              <w:rPr>
                <w:snapToGrid/>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废水量</w:t>
            </w:r>
          </w:p>
        </w:tc>
        <w:tc>
          <w:tcPr>
            <w:tcW w:w="1367" w:type="dxa"/>
            <w:vAlign w:val="center"/>
          </w:tcPr>
          <w:p w14:paraId="6FC358B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231" w:type="dxa"/>
            <w:vAlign w:val="center"/>
          </w:tcPr>
          <w:p w14:paraId="639245CC">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21900</w:t>
            </w:r>
          </w:p>
        </w:tc>
        <w:tc>
          <w:tcPr>
            <w:tcW w:w="1262" w:type="dxa"/>
            <w:vAlign w:val="center"/>
          </w:tcPr>
          <w:p w14:paraId="5A7DE36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2108" w:type="dxa"/>
            <w:vAlign w:val="center"/>
          </w:tcPr>
          <w:p w14:paraId="0425DDF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21900</w:t>
            </w:r>
          </w:p>
        </w:tc>
        <w:tc>
          <w:tcPr>
            <w:tcW w:w="1231" w:type="dxa"/>
            <w:vAlign w:val="center"/>
          </w:tcPr>
          <w:p w14:paraId="76EE02C9">
            <w:pPr>
              <w:pStyle w:val="59"/>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w:t>
            </w:r>
          </w:p>
        </w:tc>
      </w:tr>
      <w:tr w14:paraId="783E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65A978F1">
            <w:pPr>
              <w:spacing w:line="240" w:lineRule="auto"/>
              <w:ind w:firstLine="0" w:firstLineChars="0"/>
              <w:jc w:val="center"/>
              <w:rPr>
                <w:rFonts w:cs="Times New Roman"/>
                <w:color w:val="000000" w:themeColor="text1"/>
                <w:sz w:val="21"/>
                <w:szCs w:val="21"/>
                <w14:textFill>
                  <w14:solidFill>
                    <w14:schemeClr w14:val="tx1"/>
                  </w14:solidFill>
                </w14:textFill>
              </w:rPr>
            </w:pPr>
            <w:bookmarkStart w:id="46" w:name="RANGE!I38"/>
            <w:r>
              <w:rPr>
                <w:rFonts w:cs="Times New Roman"/>
                <w:color w:val="000000" w:themeColor="text1"/>
                <w:sz w:val="21"/>
                <w:szCs w:val="21"/>
                <w14:textFill>
                  <w14:solidFill>
                    <w14:schemeClr w14:val="tx1"/>
                  </w14:solidFill>
                </w14:textFill>
              </w:rPr>
              <w:t>COD</w:t>
            </w:r>
            <w:bookmarkEnd w:id="46"/>
          </w:p>
        </w:tc>
        <w:tc>
          <w:tcPr>
            <w:tcW w:w="1367" w:type="dxa"/>
            <w:vAlign w:val="center"/>
          </w:tcPr>
          <w:p w14:paraId="54551D7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350</w:t>
            </w:r>
          </w:p>
        </w:tc>
        <w:tc>
          <w:tcPr>
            <w:tcW w:w="1231" w:type="dxa"/>
            <w:vAlign w:val="center"/>
          </w:tcPr>
          <w:p w14:paraId="0681C19C">
            <w:pPr>
              <w:spacing w:line="240" w:lineRule="auto"/>
              <w:ind w:firstLine="0" w:firstLineChars="0"/>
              <w:jc w:val="center"/>
              <w:rPr>
                <w:rFonts w:cs="Times New Roman"/>
                <w:color w:val="000000" w:themeColor="text1"/>
                <w:sz w:val="21"/>
                <w:szCs w:val="21"/>
                <w14:textFill>
                  <w14:solidFill>
                    <w14:schemeClr w14:val="tx1"/>
                  </w14:solidFill>
                </w14:textFill>
              </w:rPr>
            </w:pPr>
            <w:bookmarkStart w:id="47" w:name="RANGE!K38"/>
            <w:r>
              <w:rPr>
                <w:rFonts w:cs="Times New Roman"/>
                <w:color w:val="000000" w:themeColor="text1"/>
                <w:sz w:val="21"/>
                <w:szCs w:val="21"/>
                <w14:textFill>
                  <w14:solidFill>
                    <w14:schemeClr w14:val="tx1"/>
                  </w14:solidFill>
                </w14:textFill>
              </w:rPr>
              <w:t>7.665</w:t>
            </w:r>
            <w:bookmarkEnd w:id="47"/>
          </w:p>
        </w:tc>
        <w:tc>
          <w:tcPr>
            <w:tcW w:w="1262" w:type="dxa"/>
            <w:vAlign w:val="center"/>
          </w:tcPr>
          <w:p w14:paraId="3529C9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w:t>
            </w:r>
          </w:p>
        </w:tc>
        <w:tc>
          <w:tcPr>
            <w:tcW w:w="2108" w:type="dxa"/>
            <w:vAlign w:val="center"/>
          </w:tcPr>
          <w:p w14:paraId="6585F84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1.314</w:t>
            </w:r>
          </w:p>
        </w:tc>
        <w:tc>
          <w:tcPr>
            <w:tcW w:w="1231" w:type="dxa"/>
            <w:vAlign w:val="center"/>
          </w:tcPr>
          <w:p w14:paraId="44B16242">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9.5265</w:t>
            </w:r>
          </w:p>
        </w:tc>
      </w:tr>
      <w:tr w14:paraId="421C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34D2737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BOD</w:t>
            </w:r>
            <w:r>
              <w:rPr>
                <w:rFonts w:cs="Times New Roman"/>
                <w:color w:val="000000" w:themeColor="text1"/>
                <w:sz w:val="21"/>
                <w:szCs w:val="21"/>
                <w:vertAlign w:val="subscript"/>
                <w14:textFill>
                  <w14:solidFill>
                    <w14:schemeClr w14:val="tx1"/>
                  </w14:solidFill>
                </w14:textFill>
              </w:rPr>
              <w:t>5</w:t>
            </w:r>
          </w:p>
        </w:tc>
        <w:tc>
          <w:tcPr>
            <w:tcW w:w="1367" w:type="dxa"/>
            <w:vAlign w:val="center"/>
          </w:tcPr>
          <w:p w14:paraId="6AF1F2E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w:t>
            </w:r>
          </w:p>
        </w:tc>
        <w:tc>
          <w:tcPr>
            <w:tcW w:w="1231" w:type="dxa"/>
            <w:vAlign w:val="center"/>
          </w:tcPr>
          <w:p w14:paraId="24DB4A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3.285</w:t>
            </w:r>
          </w:p>
        </w:tc>
        <w:tc>
          <w:tcPr>
            <w:tcW w:w="1262" w:type="dxa"/>
            <w:vAlign w:val="center"/>
          </w:tcPr>
          <w:p w14:paraId="2F251E3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48F9128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0.438</w:t>
            </w:r>
          </w:p>
        </w:tc>
        <w:tc>
          <w:tcPr>
            <w:tcW w:w="1231" w:type="dxa"/>
            <w:vAlign w:val="center"/>
          </w:tcPr>
          <w:p w14:paraId="7EB73078">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4.2705</w:t>
            </w:r>
          </w:p>
        </w:tc>
      </w:tr>
      <w:tr w14:paraId="72FE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15C96EC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SS</w:t>
            </w:r>
          </w:p>
        </w:tc>
        <w:tc>
          <w:tcPr>
            <w:tcW w:w="1367" w:type="dxa"/>
            <w:vAlign w:val="center"/>
          </w:tcPr>
          <w:p w14:paraId="22ACB3B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250</w:t>
            </w:r>
          </w:p>
        </w:tc>
        <w:tc>
          <w:tcPr>
            <w:tcW w:w="1231" w:type="dxa"/>
            <w:vAlign w:val="center"/>
          </w:tcPr>
          <w:p w14:paraId="4B3BDBA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5.475</w:t>
            </w:r>
          </w:p>
        </w:tc>
        <w:tc>
          <w:tcPr>
            <w:tcW w:w="1262" w:type="dxa"/>
            <w:vAlign w:val="center"/>
          </w:tcPr>
          <w:p w14:paraId="7D799A4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w:t>
            </w:r>
          </w:p>
        </w:tc>
        <w:tc>
          <w:tcPr>
            <w:tcW w:w="2108" w:type="dxa"/>
            <w:vAlign w:val="center"/>
          </w:tcPr>
          <w:p w14:paraId="7434BCB0">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0.438</w:t>
            </w:r>
          </w:p>
        </w:tc>
        <w:tc>
          <w:tcPr>
            <w:tcW w:w="1231" w:type="dxa"/>
            <w:vAlign w:val="center"/>
          </w:tcPr>
          <w:p w14:paraId="2704E60A">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7.5555</w:t>
            </w:r>
          </w:p>
        </w:tc>
      </w:tr>
      <w:tr w14:paraId="3AB8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D80A408">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NH</w:t>
            </w:r>
            <w:r>
              <w:rPr>
                <w:rFonts w:cs="Times New Roman"/>
                <w:color w:val="000000" w:themeColor="text1"/>
                <w:sz w:val="21"/>
                <w:szCs w:val="21"/>
                <w:vertAlign w:val="subscript"/>
                <w14:textFill>
                  <w14:solidFill>
                    <w14:schemeClr w14:val="tx1"/>
                  </w14:solidFill>
                </w14:textFill>
              </w:rPr>
              <w:t>3</w:t>
            </w:r>
            <w:r>
              <w:rPr>
                <w:rFonts w:cs="Times New Roman"/>
                <w:color w:val="000000" w:themeColor="text1"/>
                <w:sz w:val="21"/>
                <w:szCs w:val="21"/>
                <w14:textFill>
                  <w14:solidFill>
                    <w14:schemeClr w14:val="tx1"/>
                  </w14:solidFill>
                </w14:textFill>
              </w:rPr>
              <w:t>-N</w:t>
            </w:r>
          </w:p>
        </w:tc>
        <w:tc>
          <w:tcPr>
            <w:tcW w:w="1367" w:type="dxa"/>
            <w:vAlign w:val="center"/>
          </w:tcPr>
          <w:p w14:paraId="55DB4CDE">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w:t>
            </w:r>
          </w:p>
        </w:tc>
        <w:tc>
          <w:tcPr>
            <w:tcW w:w="1231" w:type="dxa"/>
            <w:vAlign w:val="center"/>
          </w:tcPr>
          <w:p w14:paraId="4C63CB09">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0.657</w:t>
            </w:r>
          </w:p>
        </w:tc>
        <w:tc>
          <w:tcPr>
            <w:tcW w:w="1262" w:type="dxa"/>
            <w:vAlign w:val="center"/>
          </w:tcPr>
          <w:p w14:paraId="178F335A">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2108" w:type="dxa"/>
            <w:vAlign w:val="center"/>
          </w:tcPr>
          <w:p w14:paraId="3315C1DB">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0.175</w:t>
            </w:r>
          </w:p>
        </w:tc>
        <w:tc>
          <w:tcPr>
            <w:tcW w:w="1231" w:type="dxa"/>
            <w:vAlign w:val="center"/>
          </w:tcPr>
          <w:p w14:paraId="41CDC3C1">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0.7227</w:t>
            </w:r>
          </w:p>
        </w:tc>
      </w:tr>
      <w:tr w14:paraId="2D5B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Align w:val="center"/>
          </w:tcPr>
          <w:p w14:paraId="75600D81">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TP</w:t>
            </w:r>
          </w:p>
        </w:tc>
        <w:tc>
          <w:tcPr>
            <w:tcW w:w="1367" w:type="dxa"/>
            <w:vAlign w:val="center"/>
          </w:tcPr>
          <w:p w14:paraId="58BD0A33">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1231" w:type="dxa"/>
            <w:vAlign w:val="center"/>
          </w:tcPr>
          <w:p w14:paraId="2883232F">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0.0876</w:t>
            </w:r>
          </w:p>
        </w:tc>
        <w:tc>
          <w:tcPr>
            <w:tcW w:w="1262" w:type="dxa"/>
            <w:vAlign w:val="center"/>
          </w:tcPr>
          <w:p w14:paraId="592C8AE5">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2108" w:type="dxa"/>
            <w:vAlign w:val="center"/>
          </w:tcPr>
          <w:p w14:paraId="4542BB06">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0.022</w:t>
            </w:r>
          </w:p>
        </w:tc>
        <w:tc>
          <w:tcPr>
            <w:tcW w:w="1231" w:type="dxa"/>
            <w:vAlign w:val="center"/>
          </w:tcPr>
          <w:p w14:paraId="2246A7A9">
            <w:pPr>
              <w:spacing w:line="240" w:lineRule="auto"/>
              <w:ind w:firstLine="0" w:firstLineChars="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0.09855</w:t>
            </w:r>
          </w:p>
        </w:tc>
      </w:tr>
    </w:tbl>
    <w:p w14:paraId="48033EA4">
      <w:pPr>
        <w:widowControl/>
        <w:spacing w:before="156" w:beforeLines="5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hint="eastAsia" w:cs="Times New Roman"/>
          <w:color w:val="000000" w:themeColor="text1"/>
          <w14:textFill>
            <w14:solidFill>
              <w14:schemeClr w14:val="tx1"/>
            </w14:solidFill>
          </w14:textFill>
        </w:rPr>
        <w:t>表6</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2，本项目的建设，大大削减了区域污染物排放量，项目COD削减量9.5265</w:t>
      </w:r>
      <w:r>
        <w:rPr>
          <w:rFonts w:hint="eastAsia" w:cs="Times New Roman"/>
          <w:color w:val="000000" w:themeColor="text1"/>
          <w14:textFill>
            <w14:solidFill>
              <w14:schemeClr w14:val="tx1"/>
            </w14:solidFill>
          </w14:textFill>
        </w:rPr>
        <w:t>t</w:t>
      </w:r>
      <w:r>
        <w:rPr>
          <w:rFonts w:cs="Times New Roman"/>
          <w:color w:val="000000" w:themeColor="text1"/>
          <w14:textFill>
            <w14:solidFill>
              <w14:schemeClr w14:val="tx1"/>
            </w14:solidFill>
          </w14:textFill>
        </w:rPr>
        <w:t>/a，NH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-N削减量0.7227t/a。</w:t>
      </w:r>
    </w:p>
    <w:p w14:paraId="647D004A">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根据《中华人民共和国长江保护法》第四十七条：</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属于污水集中处理设施排污口的新建，不在</w:t>
      </w:r>
      <w:r>
        <w:rPr>
          <w:rFonts w:cs="Times New Roman"/>
          <w:color w:val="000000" w:themeColor="text1"/>
          <w14:textFill>
            <w14:solidFill>
              <w14:schemeClr w14:val="tx1"/>
            </w14:solidFill>
          </w14:textFill>
        </w:rPr>
        <w:t>《中华人民共和国长江保护法》第四十七条</w:t>
      </w:r>
      <w:r>
        <w:rPr>
          <w:rFonts w:hint="eastAsia" w:cs="Times New Roman"/>
          <w:color w:val="000000" w:themeColor="text1"/>
          <w14:textFill>
            <w14:solidFill>
              <w14:schemeClr w14:val="tx1"/>
            </w14:solidFill>
          </w14:textFill>
        </w:rPr>
        <w:t>严格控制范围内，因此</w:t>
      </w:r>
      <w:r>
        <w:rPr>
          <w:rFonts w:cs="Times New Roman"/>
          <w:color w:val="000000" w:themeColor="text1"/>
          <w14:textFill>
            <w14:solidFill>
              <w14:schemeClr w14:val="tx1"/>
            </w14:solidFill>
          </w14:textFill>
        </w:rPr>
        <w:t>本项目可实施。</w:t>
      </w:r>
    </w:p>
    <w:p w14:paraId="18C5BA0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本项目所在排污口位于</w:t>
      </w:r>
      <w:r>
        <w:rPr>
          <w:rFonts w:hint="eastAsia"/>
          <w:color w:val="000000" w:themeColor="text1"/>
          <w14:textFill>
            <w14:solidFill>
              <w14:schemeClr w14:val="tx1"/>
            </w14:solidFill>
          </w14:textFill>
        </w:rPr>
        <w:t>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rFonts w:cs="Times New Roman"/>
          <w:color w:val="000000" w:themeColor="text1"/>
          <w14:textFill>
            <w14:solidFill>
              <w14:schemeClr w14:val="tx1"/>
            </w14:solidFill>
          </w14:textFill>
        </w:rPr>
        <w:t>，属于污水集中处理设施排污口，同时本项目对区域污染物有削减正效应；本项目为公益事业性项目，为城市污水集中处理设施的排污口</w:t>
      </w:r>
      <w:r>
        <w:rPr>
          <w:rFonts w:hint="eastAsia" w:cs="Times New Roman"/>
          <w:color w:val="000000" w:themeColor="text1"/>
          <w14:textFill>
            <w14:solidFill>
              <w14:schemeClr w14:val="tx1"/>
            </w14:solidFill>
          </w14:textFill>
        </w:rPr>
        <w:t>建设</w:t>
      </w:r>
      <w:r>
        <w:rPr>
          <w:rFonts w:cs="Times New Roman"/>
          <w:color w:val="000000" w:themeColor="text1"/>
          <w14:textFill>
            <w14:solidFill>
              <w14:schemeClr w14:val="tx1"/>
            </w14:solidFill>
          </w14:textFill>
        </w:rPr>
        <w:t>项目，本项目的建设可进一步削减流域</w:t>
      </w:r>
      <w:r>
        <w:rPr>
          <w:rFonts w:hint="eastAsia" w:cs="Times New Roman"/>
          <w:color w:val="000000" w:themeColor="text1"/>
          <w14:textFill>
            <w14:solidFill>
              <w14:schemeClr w14:val="tx1"/>
            </w14:solidFill>
          </w14:textFill>
        </w:rPr>
        <w:t>污染物</w:t>
      </w:r>
      <w:r>
        <w:rPr>
          <w:rFonts w:cs="Times New Roman"/>
          <w:color w:val="000000" w:themeColor="text1"/>
          <w14:textFill>
            <w14:solidFill>
              <w14:schemeClr w14:val="tx1"/>
            </w14:solidFill>
          </w14:textFill>
        </w:rPr>
        <w:t>入河量，是符合《中华人民共和国长江保护法》要求的。</w:t>
      </w:r>
    </w:p>
    <w:p w14:paraId="67766BC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但是为了能使COD、NH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-N能实现长期稳定</w:t>
      </w:r>
      <w:r>
        <w:rPr>
          <w:rFonts w:hint="eastAsia" w:cs="Times New Roman"/>
          <w:color w:val="000000" w:themeColor="text1"/>
          <w14:textFill>
            <w14:solidFill>
              <w14:schemeClr w14:val="tx1"/>
            </w14:solidFill>
          </w14:textFill>
        </w:rPr>
        <w:t>地</w:t>
      </w:r>
      <w:r>
        <w:rPr>
          <w:rFonts w:cs="Times New Roman"/>
          <w:color w:val="000000" w:themeColor="text1"/>
          <w14:textFill>
            <w14:solidFill>
              <w14:schemeClr w14:val="tx1"/>
            </w14:solidFill>
          </w14:textFill>
        </w:rPr>
        <w:t>满足流域纳污能力、降低</w:t>
      </w:r>
      <w:r>
        <w:rPr>
          <w:rFonts w:cs="Times New Roman"/>
          <w:color w:val="000000" w:themeColor="text1"/>
          <w:szCs w:val="22"/>
          <w14:textFill>
            <w14:solidFill>
              <w14:schemeClr w14:val="tx1"/>
            </w14:solidFill>
          </w14:textFill>
        </w:rPr>
        <w:t>河流水系污染负荷</w:t>
      </w:r>
      <w:r>
        <w:rPr>
          <w:rFonts w:cs="Times New Roman"/>
          <w:color w:val="000000" w:themeColor="text1"/>
          <w14:textFill>
            <w14:solidFill>
              <w14:schemeClr w14:val="tx1"/>
            </w14:solidFill>
          </w14:textFill>
        </w:rPr>
        <w:t>，应经常对污水处理设施各工艺单元进行维护，</w:t>
      </w:r>
      <w:r>
        <w:rPr>
          <w:rFonts w:hint="eastAsia" w:cs="Times New Roman"/>
          <w:color w:val="000000" w:themeColor="text1"/>
          <w14:textFill>
            <w14:solidFill>
              <w14:schemeClr w14:val="tx1"/>
            </w14:solidFill>
          </w14:textFill>
        </w:rPr>
        <w:t>严格技术管理，严控出水水质，</w:t>
      </w:r>
      <w:r>
        <w:rPr>
          <w:rFonts w:cs="Times New Roman"/>
          <w:color w:val="000000" w:themeColor="text1"/>
          <w14:textFill>
            <w14:solidFill>
              <w14:schemeClr w14:val="tx1"/>
            </w14:solidFill>
          </w14:textFill>
        </w:rPr>
        <w:t>保证厂区污水处理工艺能正常运行</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减少污染物入河量，实现最大限度的削减</w:t>
      </w:r>
      <w:r>
        <w:rPr>
          <w:rFonts w:hint="eastAsia" w:cs="Times New Roman"/>
          <w:color w:val="000000" w:themeColor="text1"/>
          <w14:textFill>
            <w14:solidFill>
              <w14:schemeClr w14:val="tx1"/>
            </w14:solidFill>
          </w14:textFill>
        </w:rPr>
        <w:t>。</w:t>
      </w:r>
    </w:p>
    <w:p w14:paraId="3F33E248">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综上所述，通过对水功能区水质目标影响分析，本项目建成后虽然对水功能区纳污能力</w:t>
      </w:r>
      <w:r>
        <w:rPr>
          <w:rFonts w:hint="eastAsia" w:cs="Times New Roman"/>
          <w:color w:val="000000" w:themeColor="text1"/>
          <w14:textFill>
            <w14:solidFill>
              <w14:schemeClr w14:val="tx1"/>
            </w14:solidFill>
          </w14:textFill>
        </w:rPr>
        <w:t>及限排总量</w:t>
      </w:r>
      <w:r>
        <w:rPr>
          <w:rFonts w:cs="Times New Roman"/>
          <w:color w:val="000000" w:themeColor="text1"/>
          <w14:textFill>
            <w14:solidFill>
              <w14:schemeClr w14:val="tx1"/>
            </w14:solidFill>
          </w14:textFill>
        </w:rPr>
        <w:t>有一定影响，但影响范围是有限的，</w:t>
      </w:r>
      <w:r>
        <w:rPr>
          <w:rFonts w:hint="eastAsia" w:cs="Times New Roman"/>
          <w:color w:val="000000" w:themeColor="text1"/>
          <w14:textFill>
            <w14:solidFill>
              <w14:schemeClr w14:val="tx1"/>
            </w14:solidFill>
          </w14:textFill>
        </w:rPr>
        <w:t>而且正常排放时，</w:t>
      </w:r>
      <w:r>
        <w:rPr>
          <w:rFonts w:hint="eastAsia"/>
          <w:color w:val="000000" w:themeColor="text1"/>
          <w14:textFill>
            <w14:solidFill>
              <w14:schemeClr w14:val="tx1"/>
            </w14:solidFill>
          </w14:textFill>
        </w:rPr>
        <w:t>“郁江彭水保家镇景观娱乐、饮用水源区”</w:t>
      </w:r>
      <w:r>
        <w:rPr>
          <w:rFonts w:hint="eastAsia" w:cs="Times New Roman"/>
          <w:color w:val="000000" w:themeColor="text1"/>
          <w14:textFill>
            <w14:solidFill>
              <w14:schemeClr w14:val="tx1"/>
            </w14:solidFill>
          </w14:textFill>
        </w:rPr>
        <w:t>仍满足水质管理要求；</w:t>
      </w:r>
      <w:r>
        <w:rPr>
          <w:rFonts w:cs="Times New Roman"/>
          <w:color w:val="000000" w:themeColor="text1"/>
          <w14:textFill>
            <w14:solidFill>
              <w14:schemeClr w14:val="tx1"/>
            </w14:solidFill>
          </w14:textFill>
        </w:rPr>
        <w:t>同时本工程</w:t>
      </w:r>
      <w:r>
        <w:rPr>
          <w:rFonts w:hint="eastAsia" w:cs="Times New Roman"/>
          <w:color w:val="000000" w:themeColor="text1"/>
          <w14:textFill>
            <w14:solidFill>
              <w14:schemeClr w14:val="tx1"/>
            </w14:solidFill>
          </w14:textFill>
        </w:rPr>
        <w:t>减少了污水未经处理直接流进郁江的概率，</w:t>
      </w:r>
      <w:r>
        <w:rPr>
          <w:rFonts w:cs="Times New Roman"/>
          <w:color w:val="000000" w:themeColor="text1"/>
          <w14:textFill>
            <w14:solidFill>
              <w14:schemeClr w14:val="tx1"/>
            </w14:solidFill>
          </w14:textFill>
        </w:rPr>
        <w:t>有效缓解</w:t>
      </w:r>
      <w:r>
        <w:rPr>
          <w:rFonts w:hint="eastAsia" w:cs="Times New Roman"/>
          <w:color w:val="000000" w:themeColor="text1"/>
          <w14:textFill>
            <w14:solidFill>
              <w14:schemeClr w14:val="tx1"/>
            </w14:solidFill>
          </w14:textFill>
        </w:rPr>
        <w:t>彭水苗族土家族自治县</w:t>
      </w:r>
      <w:r>
        <w:rPr>
          <w:rFonts w:cs="Times New Roman"/>
          <w:color w:val="000000" w:themeColor="text1"/>
          <w14:textFill>
            <w14:solidFill>
              <w14:schemeClr w14:val="tx1"/>
            </w14:solidFill>
          </w14:textFill>
        </w:rPr>
        <w:t>发展对于</w:t>
      </w:r>
      <w:r>
        <w:rPr>
          <w:rFonts w:hint="eastAsia" w:cs="Times New Roman"/>
          <w:color w:val="000000" w:themeColor="text1"/>
          <w14:textFill>
            <w14:solidFill>
              <w14:schemeClr w14:val="tx1"/>
            </w14:solidFill>
          </w14:textFill>
        </w:rPr>
        <w:t>郁江及下游</w:t>
      </w:r>
      <w:r>
        <w:rPr>
          <w:rFonts w:cs="Times New Roman"/>
          <w:color w:val="000000" w:themeColor="text1"/>
          <w14:textFill>
            <w14:solidFill>
              <w14:schemeClr w14:val="tx1"/>
            </w14:solidFill>
          </w14:textFill>
        </w:rPr>
        <w:t>的排污压力。该项目集中处理服务范围内生活污水，能够削减服务区域向</w:t>
      </w:r>
      <w:r>
        <w:rPr>
          <w:rFonts w:hint="eastAsia" w:cs="Times New Roman"/>
          <w:color w:val="000000" w:themeColor="text1"/>
          <w14:textFill>
            <w14:solidFill>
              <w14:schemeClr w14:val="tx1"/>
            </w14:solidFill>
          </w14:textFill>
        </w:rPr>
        <w:t>郁江</w:t>
      </w:r>
      <w:r>
        <w:rPr>
          <w:rFonts w:cs="Times New Roman"/>
          <w:color w:val="000000" w:themeColor="text1"/>
          <w14:textFill>
            <w14:solidFill>
              <w14:schemeClr w14:val="tx1"/>
            </w14:solidFill>
          </w14:textFill>
        </w:rPr>
        <w:t>排污总量，符合《入河排污口设置论证报告技术导则》、《中华人民共和国长江保护法》</w:t>
      </w:r>
      <w:r>
        <w:rPr>
          <w:rFonts w:hint="eastAsia" w:cs="Times New Roman"/>
          <w:color w:val="000000" w:themeColor="text1"/>
          <w14:textFill>
            <w14:solidFill>
              <w14:schemeClr w14:val="tx1"/>
            </w14:solidFill>
          </w14:textFill>
        </w:rPr>
        <w:t>等</w:t>
      </w:r>
      <w:r>
        <w:rPr>
          <w:rFonts w:cs="Times New Roman"/>
          <w:color w:val="000000" w:themeColor="text1"/>
          <w14:textFill>
            <w14:solidFill>
              <w14:schemeClr w14:val="tx1"/>
            </w14:solidFill>
          </w14:textFill>
        </w:rPr>
        <w:t>相关要求。</w:t>
      </w:r>
    </w:p>
    <w:p w14:paraId="7CE46767">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对水质的影响分析</w:t>
      </w:r>
    </w:p>
    <w:p w14:paraId="3FFC79F8">
      <w:pPr>
        <w:ind w:firstLine="48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芦塘乡（板栗村）污水处理厂建设</w:t>
      </w:r>
      <w:r>
        <w:rPr>
          <w:color w:val="000000" w:themeColor="text1"/>
          <w14:textFill>
            <w14:solidFill>
              <w14:schemeClr w14:val="tx1"/>
            </w14:solidFill>
          </w14:textFill>
        </w:rPr>
        <w:t>工程为具有环境正效益的环境治理工程，污水处理厂的建设将</w:t>
      </w:r>
      <w:r>
        <w:rPr>
          <w:rFonts w:hint="eastAsia"/>
          <w:color w:val="000000" w:themeColor="text1"/>
          <w14:textFill>
            <w14:solidFill>
              <w14:schemeClr w14:val="tx1"/>
            </w14:solidFill>
          </w14:textFill>
        </w:rPr>
        <w:t>缓解彭水苗族土家族自治县芦塘乡场镇</w:t>
      </w:r>
      <w:r>
        <w:rPr>
          <w:color w:val="000000" w:themeColor="text1"/>
          <w14:textFill>
            <w14:solidFill>
              <w14:schemeClr w14:val="tx1"/>
            </w14:solidFill>
          </w14:textFill>
        </w:rPr>
        <w:t>污水处理问题，避免污水未经处理直接排放对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流域的污染影响。另外，</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出水水质处理达《城镇污水处理厂污染物排放标准》（GB 18918-2002）一级B标准，从减少排放源强的途径来进一步削减了对</w:t>
      </w:r>
      <w:r>
        <w:rPr>
          <w:rFonts w:hint="eastAsia"/>
          <w:color w:val="000000" w:themeColor="text1"/>
          <w14:textFill>
            <w14:solidFill>
              <w14:schemeClr w14:val="tx1"/>
            </w14:solidFill>
          </w14:textFill>
        </w:rPr>
        <w:t>下游郁江</w:t>
      </w:r>
      <w:r>
        <w:rPr>
          <w:color w:val="000000" w:themeColor="text1"/>
          <w14:textFill>
            <w14:solidFill>
              <w14:schemeClr w14:val="tx1"/>
            </w14:solidFill>
          </w14:textFill>
        </w:rPr>
        <w:t>的影响，</w:t>
      </w:r>
      <w:r>
        <w:rPr>
          <w:rFonts w:hint="eastAsia"/>
          <w:color w:val="000000" w:themeColor="text1"/>
          <w14:textFill>
            <w14:solidFill>
              <w14:schemeClr w14:val="tx1"/>
            </w14:solidFill>
          </w14:textFill>
        </w:rPr>
        <w:t>因此本项目的实施对郁江的水质具有长期正向影响。</w:t>
      </w:r>
      <w:r>
        <w:rPr>
          <w:color w:val="000000" w:themeColor="text1"/>
          <w14:textFill>
            <w14:solidFill>
              <w14:schemeClr w14:val="tx1"/>
            </w14:solidFill>
          </w14:textFill>
        </w:rPr>
        <w:t>同时本项目</w:t>
      </w:r>
      <w:r>
        <w:rPr>
          <w:rFonts w:hint="eastAsia"/>
          <w:color w:val="000000" w:themeColor="text1"/>
          <w14:textFill>
            <w14:solidFill>
              <w14:schemeClr w14:val="tx1"/>
            </w14:solidFill>
          </w14:textFill>
        </w:rPr>
        <w:t>实施后，总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小，</w:t>
      </w:r>
      <w:r>
        <w:rPr>
          <w:color w:val="000000" w:themeColor="text1"/>
          <w14:textFill>
            <w14:solidFill>
              <w14:schemeClr w14:val="tx1"/>
            </w14:solidFill>
          </w14:textFill>
        </w:rPr>
        <w:t>对河道、水文情势和地形地貌的影响小。</w:t>
      </w:r>
    </w:p>
    <w:p w14:paraId="56CBB917">
      <w:pPr>
        <w:pStyle w:val="61"/>
        <w:spacing w:before="312"/>
      </w:pPr>
      <w:r>
        <w:rPr>
          <w:rFonts w:hint="eastAsia"/>
        </w:rPr>
        <w:t xml:space="preserve"> </w:t>
      </w:r>
      <w:bookmarkStart w:id="48" w:name="_Toc184805687"/>
      <w:r>
        <w:rPr>
          <w:rFonts w:hint="eastAsia"/>
        </w:rPr>
        <w:t>对水生态环境影响</w:t>
      </w:r>
      <w:bookmarkEnd w:id="48"/>
    </w:p>
    <w:p w14:paraId="09D54661">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和资料查阅，郁江干流内整体水生生物生长情况较好，生态系统较为丰富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河湖水生生物概况</w:t>
      </w:r>
      <w:r>
        <w:rPr>
          <w:rFonts w:hint="eastAsia"/>
          <w:color w:val="000000" w:themeColor="text1"/>
          <w14:textFill>
            <w14:solidFill>
              <w14:schemeClr w14:val="tx1"/>
            </w14:solidFill>
          </w14:textFill>
        </w:rPr>
        <w:t>如下：</w:t>
      </w:r>
    </w:p>
    <w:p w14:paraId="296149A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①浮游植物</w:t>
      </w:r>
    </w:p>
    <w:p w14:paraId="113CC2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分布于彭水江段的浮游植物共有7门，44属，110种（含变种和变型）。其中蓝藻门4属、10种，占调查藻类种类总数的9.09%；硅藻门19属、67种，占种类总数的60.91%；绿藻门12属、20种、占种类总数的18.18%；金藻门3属、4种，占种类总数的3.63%；隐藻门、甲藻门均为2属、2种，各占种类总数的1.81%；裸藻门2属、5种，占种类总数的4.57%。从种类组成看，硅藻门是最重要的类群，这与大多数江河水域的状况是一致的。</w:t>
      </w:r>
    </w:p>
    <w:p w14:paraId="07CE927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②浮游动物</w:t>
      </w:r>
    </w:p>
    <w:p w14:paraId="22E71BC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历年调查发现共有浮游动物43属、79种。其中原生动物有15属、28种，占总种数的35.44%；轮虫动物12属、23种，占总种数的29.11%；枝角类8属、13种，占总种数的16.46%；桡足类8属、15种，占总种数的18.99 %。</w:t>
      </w:r>
    </w:p>
    <w:p w14:paraId="689819C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③水生维管植物</w:t>
      </w:r>
    </w:p>
    <w:p w14:paraId="6BEE20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郁江干流河岸带植被茂密，流域内共有水生植物27种，隶属于14科17属。水生维管植物主要以湿生、挺水植物的木贼科、灯心草科、水鳖科植物居多，漂浮植物主要分布在流域的山间溪流、水田、水塘以及河流蜿蜒区。其中沉水植物包括苦草、水筛、无尾水筛、菹草；浮叶植物包括异叶眼子菜和眼子菜；漂浮植物包括凤眼莲、槐叶萍、满江红、鸭舌草；挺水植物包括长苞香蒲、翅茎灯心草、灯心草、香蒲、小慈姑、野慈姑、野灯心草；湿生植物种类较多，包括笔管草、光头稗、节节草、柳叶菜、散生问荆、水蓼、碎米莎草、问荆、异型莎草、园叶节节菜。</w:t>
      </w:r>
    </w:p>
    <w:p w14:paraId="3D98BDF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④鱼类</w:t>
      </w:r>
    </w:p>
    <w:p w14:paraId="051A8AB9">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据调查，流域内野生鱼类种类较为丰富，珍稀特有物种也较为丰富，鱼类共有65种，隶属于6目13科50属，其中长江上游特有鱼类有27种；国家重点保护鱼类有达氏鲟、胭脂鱼，重庆市保护鱼类有长薄鳅、红唇薄鳅、鯮、鳤、鲈鲤、岩原鲤、中华金沙鳅、四川华吸鳅、峨嵋后平鳅等9种，其他水生野生动物还有国家二级保护动物大鲵、中华鳖等。彭水县主要养殖淡水鱼类有草鱼、鲢、鳙、鲤、鲫、团头鲂、黄鳝、泥鳅、湘云鲫、南方大口鲶、黄颡鱼等。</w:t>
      </w:r>
    </w:p>
    <w:p w14:paraId="47E783EE">
      <w:pPr>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（1）正常排放</w:t>
      </w:r>
    </w:p>
    <w:p w14:paraId="479F4E9F">
      <w:pPr>
        <w:ind w:firstLine="480"/>
        <w:rPr>
          <w:b/>
          <w:color w:val="000000" w:themeColor="text1"/>
          <w14:textFill>
            <w14:solidFill>
              <w14:schemeClr w14:val="tx1"/>
            </w14:solidFill>
          </w14:textFill>
        </w:rPr>
      </w:pPr>
      <w:r>
        <w:rPr>
          <w:color w:val="000000" w:themeColor="text1"/>
          <w14:textFill>
            <w14:solidFill>
              <w14:schemeClr w14:val="tx1"/>
            </w14:solidFill>
          </w14:textFill>
        </w:rPr>
        <w:t>本项目正常工况下排放时</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排放对水生生物的影响主要体现在污染物，特别是氮、磷进入水体后，使水体中水生植物生物量增加等环境问题。</w:t>
      </w:r>
      <w:r>
        <w:rPr>
          <w:rFonts w:hint="eastAsia"/>
          <w:color w:val="000000" w:themeColor="text1"/>
          <w14:textFill>
            <w14:solidFill>
              <w14:schemeClr w14:val="tx1"/>
            </w14:solidFill>
          </w14:textFill>
        </w:rPr>
        <w:t>本项目处理规模为</w:t>
      </w:r>
      <w:r>
        <w:rPr>
          <w:color w:val="000000" w:themeColor="text1"/>
          <w14:textFill>
            <w14:solidFill>
              <w14:schemeClr w14:val="tx1"/>
            </w14:solidFill>
          </w14:textFill>
        </w:rPr>
        <w:t>90m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，出水氮、磷浓度低，对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水质影响小。</w:t>
      </w:r>
      <w:r>
        <w:rPr>
          <w:snapToGrid/>
          <w:color w:val="000000" w:themeColor="text1"/>
          <w14:textFill>
            <w14:solidFill>
              <w14:schemeClr w14:val="tx1"/>
            </w14:solidFill>
          </w14:textFill>
        </w:rPr>
        <w:t>同时，本项目所排废污水的温度与环境温度一样随季节变化，因此排污口废污水水温不会对水生生物</w:t>
      </w:r>
      <w:r>
        <w:rPr>
          <w:rFonts w:hint="eastAsia"/>
          <w:snapToGrid/>
          <w:color w:val="000000" w:themeColor="text1"/>
          <w14:textFill>
            <w14:solidFill>
              <w14:schemeClr w14:val="tx1"/>
            </w14:solidFill>
          </w14:textFill>
        </w:rPr>
        <w:t>及论证范围下游战胜造成</w:t>
      </w:r>
      <w:r>
        <w:rPr>
          <w:snapToGrid/>
          <w:color w:val="000000" w:themeColor="text1"/>
          <w14:textFill>
            <w14:solidFill>
              <w14:schemeClr w14:val="tx1"/>
            </w14:solidFill>
          </w14:textFill>
        </w:rPr>
        <w:t>较大影响。</w:t>
      </w:r>
    </w:p>
    <w:p w14:paraId="29B3FDD9">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（2）非正常排放</w:t>
      </w:r>
    </w:p>
    <w:p w14:paraId="61B019B9">
      <w:pPr>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非正常排放情况下，可能会影响水生生物正常生长，浮游植物、浮游动物和鱼类种群也可能会受到影响，耐污种类和数量可能有所增加。在枯水期，超标污染带会对下游河段</w:t>
      </w:r>
      <w:r>
        <w:rPr>
          <w:color w:val="000000" w:themeColor="text1"/>
          <w14:textFill>
            <w14:solidFill>
              <w14:schemeClr w14:val="tx1"/>
            </w14:solidFill>
          </w14:textFill>
        </w:rPr>
        <w:t>水质和水生态环境产生不利影响。</w:t>
      </w:r>
    </w:p>
    <w:p w14:paraId="0BEC6AB2">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综上所述，应尽量避免事故排放，减小对水生生物和下游河段</w:t>
      </w:r>
      <w:r>
        <w:rPr>
          <w:color w:val="000000" w:themeColor="text1"/>
          <w14:textFill>
            <w14:solidFill>
              <w14:schemeClr w14:val="tx1"/>
            </w14:solidFill>
          </w14:textFill>
        </w:rPr>
        <w:t>水质</w:t>
      </w:r>
      <w:r>
        <w:rPr>
          <w:rFonts w:hint="eastAsia"/>
          <w:color w:val="000000" w:themeColor="text1"/>
          <w14:textFill>
            <w14:solidFill>
              <w14:schemeClr w14:val="tx1"/>
            </w14:solidFill>
          </w14:textFill>
        </w:rPr>
        <w:t>的影响。发生事故时，按照环境事件应急预案要求，有针对性的采取措施，尽可能减小事故排放对水生态及下游河段的影响。在采取上述相关措施后，预计污水处理厂尾水排放对郁江水生生物</w:t>
      </w:r>
      <w:r>
        <w:rPr>
          <w:rFonts w:hint="eastAsia"/>
          <w:snapToGrid/>
          <w:color w:val="000000" w:themeColor="text1"/>
          <w14:textFill>
            <w14:solidFill>
              <w14:schemeClr w14:val="tx1"/>
            </w14:solidFill>
          </w14:textFill>
        </w:rPr>
        <w:t>及论证范围下游区域</w:t>
      </w:r>
      <w:r>
        <w:rPr>
          <w:rFonts w:hint="eastAsia"/>
          <w:color w:val="000000" w:themeColor="text1"/>
          <w14:textFill>
            <w14:solidFill>
              <w14:schemeClr w14:val="tx1"/>
            </w14:solidFill>
          </w14:textFill>
        </w:rPr>
        <w:t>影响较小，环境可以接受。</w:t>
      </w:r>
      <w:bookmarkStart w:id="121" w:name="_GoBack"/>
      <w:bookmarkEnd w:id="121"/>
    </w:p>
    <w:p w14:paraId="4388DB15">
      <w:pPr>
        <w:pStyle w:val="61"/>
        <w:spacing w:before="312"/>
      </w:pPr>
      <w:bookmarkStart w:id="49" w:name="_Toc104903741"/>
      <w:r>
        <w:rPr>
          <w:rFonts w:hint="eastAsia"/>
        </w:rPr>
        <w:t xml:space="preserve"> </w:t>
      </w:r>
      <w:bookmarkStart w:id="50" w:name="_Toc184805688"/>
      <w:r>
        <w:t>对地下水的影响分析</w:t>
      </w:r>
      <w:bookmarkEnd w:id="49"/>
      <w:bookmarkEnd w:id="50"/>
    </w:p>
    <w:p w14:paraId="2697BC7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w:t>
      </w:r>
      <w:r>
        <w:rPr>
          <w:rFonts w:cs="Times New Roman"/>
          <w:color w:val="000000" w:themeColor="text1"/>
          <w14:textFill>
            <w14:solidFill>
              <w14:schemeClr w14:val="tx1"/>
            </w14:solidFill>
          </w14:textFill>
        </w:rPr>
        <w:t>接纳的污水和自身产生的污水全部进入处理系统，经处理达标后排放。不会造成地下水污水和地下水水位的变化。厂内构建筑物、地面以及配套管网全部进行了硬化和防渗处理，污水进入地下水环境可能性较小，对地下水环境影响较小。</w:t>
      </w:r>
      <w:r>
        <w:rPr>
          <w:rFonts w:hint="eastAsia" w:cs="Times New Roman"/>
          <w:color w:val="000000" w:themeColor="text1"/>
          <w14:textFill>
            <w14:solidFill>
              <w14:schemeClr w14:val="tx1"/>
            </w14:solidFill>
          </w14:textFill>
        </w:rPr>
        <w:t>厂内</w:t>
      </w:r>
      <w:r>
        <w:rPr>
          <w:rFonts w:cs="Times New Roman"/>
          <w:color w:val="000000" w:themeColor="text1"/>
          <w14:textFill>
            <w14:solidFill>
              <w14:schemeClr w14:val="tx1"/>
            </w14:solidFill>
          </w14:textFill>
        </w:rPr>
        <w:t>设置应急池，避免事故排放情况的发生。</w:t>
      </w:r>
    </w:p>
    <w:p w14:paraId="2EB0ED24">
      <w:pPr>
        <w:pStyle w:val="61"/>
        <w:spacing w:before="312"/>
      </w:pPr>
      <w:bookmarkStart w:id="51" w:name="_Toc104903743"/>
      <w:r>
        <w:rPr>
          <w:rFonts w:hint="eastAsia"/>
        </w:rPr>
        <w:t xml:space="preserve"> </w:t>
      </w:r>
      <w:bookmarkStart w:id="52" w:name="_Toc184805689"/>
      <w:r>
        <w:rPr>
          <w:rFonts w:hint="eastAsia"/>
        </w:rPr>
        <w:t>对</w:t>
      </w:r>
      <w:r>
        <w:t>第三者影响分析</w:t>
      </w:r>
      <w:bookmarkEnd w:id="51"/>
      <w:bookmarkEnd w:id="52"/>
    </w:p>
    <w:p w14:paraId="1D8D8BBE">
      <w:pPr>
        <w:pStyle w:val="45"/>
        <w:rPr>
          <w:color w:val="000000" w:themeColor="text1"/>
          <w14:textFill>
            <w14:solidFill>
              <w14:schemeClr w14:val="tx1"/>
            </w14:solidFill>
          </w14:textFill>
        </w:rPr>
      </w:pPr>
      <w:bookmarkStart w:id="53" w:name="_Toc104903742"/>
      <w:r>
        <w:rPr>
          <w:rFonts w:hint="eastAsia"/>
          <w:color w:val="000000" w:themeColor="text1"/>
          <w14:textFill>
            <w14:solidFill>
              <w14:schemeClr w14:val="tx1"/>
            </w14:solidFill>
          </w14:textFill>
        </w:rPr>
        <w:t>6</w:t>
      </w:r>
      <w:r>
        <w:rPr>
          <w:color w:val="000000" w:themeColor="text1"/>
          <w14:textFill>
            <w14:solidFill>
              <w14:schemeClr w14:val="tx1"/>
            </w14:solidFill>
          </w14:textFill>
        </w:rPr>
        <w:t>.5.1 对下游取水点的影响</w:t>
      </w:r>
    </w:p>
    <w:p w14:paraId="02E5A1B9">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本次入河排污口设置论证涉及的第三者主要为</w:t>
      </w:r>
      <w:r>
        <w:rPr>
          <w:rFonts w:hint="eastAsia" w:cs="Times New Roman"/>
          <w:color w:val="000000" w:themeColor="text1"/>
          <w14:textFill>
            <w14:solidFill>
              <w14:schemeClr w14:val="tx1"/>
            </w14:solidFill>
          </w14:textFill>
        </w:rPr>
        <w:t>水功能区范围内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其中，汉葭街道芦渡沟彭水县自来水厂和县自来水厂关口泵站提水工程为饮用水取水口，根据入河排污影响预测结果，本项目在正常工况下，排放的尾水水质</w:t>
      </w:r>
      <w:r>
        <w:rPr>
          <w:rFonts w:hint="eastAsia" w:hAnsi="宋体"/>
          <w:color w:val="000000" w:themeColor="text1"/>
          <w14:textFill>
            <w14:solidFill>
              <w14:schemeClr w14:val="tx1"/>
            </w14:solidFill>
          </w14:textFill>
        </w:rPr>
        <w:t>符合</w:t>
      </w:r>
      <w:r>
        <w:rPr>
          <w:rFonts w:hint="eastAsia"/>
          <w:color w:val="000000" w:themeColor="text1"/>
          <w14:textFill>
            <w14:solidFill>
              <w14:schemeClr w14:val="tx1"/>
            </w14:solidFill>
          </w14:textFill>
        </w:rPr>
        <w:t>地表水</w:t>
      </w:r>
      <w:r>
        <w:rPr>
          <w:color w:val="000000" w:themeColor="text1"/>
          <w14:textFill>
            <w14:solidFill>
              <w14:schemeClr w14:val="tx1"/>
            </w14:solidFill>
          </w14:textFill>
        </w:rPr>
        <w:t>Ⅱ类</w:t>
      </w:r>
      <w:r>
        <w:rPr>
          <w:rFonts w:hint="eastAsia" w:hAnsi="宋体"/>
          <w:color w:val="000000" w:themeColor="text1"/>
          <w14:textFill>
            <w14:solidFill>
              <w14:schemeClr w14:val="tx1"/>
            </w14:solidFill>
          </w14:textFill>
        </w:rPr>
        <w:t>水质标准限值，可达到水功能区的</w:t>
      </w:r>
      <w:r>
        <w:rPr>
          <w:rFonts w:hint="eastAsia"/>
          <w:color w:val="000000" w:themeColor="text1"/>
          <w14:textFill>
            <w14:solidFill>
              <w14:schemeClr w14:val="tx1"/>
            </w14:solidFill>
          </w14:textFill>
        </w:rPr>
        <w:t>水质管理目标，同时污水中不含“三致”污染物，在正常运行、合规排放情况下不会对第三方合法水事权益造成影响。</w:t>
      </w:r>
    </w:p>
    <w:p w14:paraId="5EE5823A">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事故工况下，污水入河后COD、NH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-N浓度均较原水浓度增加，将对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水质造成污染，对第三者的正常取水造成影响，事故排污时须采取应急措施，减少影响</w:t>
      </w:r>
      <w:r>
        <w:rPr>
          <w:rFonts w:hint="eastAsia"/>
          <w:color w:val="000000" w:themeColor="text1"/>
          <w14:textFill>
            <w14:solidFill>
              <w14:schemeClr w14:val="tx1"/>
            </w14:solidFill>
          </w14:textFill>
        </w:rPr>
        <w:t>。</w:t>
      </w:r>
    </w:p>
    <w:p w14:paraId="7D963A2E">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.5.2 </w:t>
      </w:r>
      <w:r>
        <w:rPr>
          <w:rFonts w:hint="eastAsia"/>
          <w:color w:val="000000" w:themeColor="text1"/>
          <w14:textFill>
            <w14:solidFill>
              <w14:schemeClr w14:val="tx1"/>
            </w14:solidFill>
          </w14:textFill>
        </w:rPr>
        <w:t>对行洪的影响分析</w:t>
      </w:r>
      <w:bookmarkEnd w:id="53"/>
    </w:p>
    <w:p w14:paraId="2BD753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本项目建设完毕后，污水处理厂</w:t>
      </w:r>
      <w:r>
        <w:rPr>
          <w:rFonts w:hint="eastAsia" w:hAnsi="宋体"/>
          <w:color w:val="000000" w:themeColor="text1"/>
          <w14:textFill>
            <w14:solidFill>
              <w14:schemeClr w14:val="tx1"/>
            </w14:solidFill>
          </w14:textFill>
        </w:rPr>
        <w:t>厂内场平标高为</w:t>
      </w:r>
      <w:r>
        <w:rPr>
          <w:rFonts w:hAnsi="宋体"/>
          <w:color w:val="000000" w:themeColor="text1"/>
          <w14:textFill>
            <w14:solidFill>
              <w14:schemeClr w14:val="tx1"/>
            </w14:solidFill>
          </w14:textFill>
        </w:rPr>
        <w:t>791.89</w:t>
      </w:r>
      <w:r>
        <w:rPr>
          <w:rFonts w:hint="eastAsia" w:hAnsi="宋体"/>
          <w:color w:val="000000" w:themeColor="text1"/>
          <w14:textFill>
            <w14:solidFill>
              <w14:schemeClr w14:val="tx1"/>
            </w14:solidFill>
          </w14:textFill>
        </w:rPr>
        <w:t>m</w:t>
      </w:r>
      <w:r>
        <w:rPr>
          <w:rFonts w:hint="eastAsia"/>
          <w:color w:val="000000" w:themeColor="text1"/>
          <w14:textFill>
            <w14:solidFill>
              <w14:schemeClr w14:val="tx1"/>
            </w14:solidFill>
          </w14:textFill>
        </w:rPr>
        <w:t>，入河排污口上游1</w:t>
      </w:r>
      <w:r>
        <w:rPr>
          <w:color w:val="000000" w:themeColor="text1"/>
          <w14:textFill>
            <w14:solidFill>
              <w14:schemeClr w14:val="tx1"/>
            </w14:solidFill>
          </w14:textFill>
        </w:rPr>
        <w:t>00</w:t>
      </w:r>
      <w:r>
        <w:rPr>
          <w:rFonts w:hint="eastAsia"/>
          <w:color w:val="000000" w:themeColor="text1"/>
          <w14:textFill>
            <w14:solidFill>
              <w14:schemeClr w14:val="tx1"/>
            </w14:solidFill>
          </w14:textFill>
        </w:rPr>
        <w:t>米冲沟处高程为</w:t>
      </w:r>
      <w:r>
        <w:rPr>
          <w:rFonts w:hAnsi="宋体"/>
          <w:color w:val="000000" w:themeColor="text1"/>
          <w14:textFill>
            <w14:solidFill>
              <w14:schemeClr w14:val="tx1"/>
            </w14:solidFill>
          </w14:textFill>
        </w:rPr>
        <w:t>790.84</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厂区不受洪水威胁。</w:t>
      </w:r>
    </w:p>
    <w:p w14:paraId="65645FD9">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总</w:t>
      </w:r>
      <w:r>
        <w:rPr>
          <w:color w:val="000000" w:themeColor="text1"/>
          <w14:textFill>
            <w14:solidFill>
              <w14:schemeClr w14:val="tx1"/>
            </w14:solidFill>
          </w14:textFill>
        </w:rPr>
        <w:t>排污量</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规划水平年</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为90m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/d（0.00104m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/s），相对于</w:t>
      </w:r>
      <w:r>
        <w:rPr>
          <w:rFonts w:hint="eastAsia"/>
          <w:color w:val="000000" w:themeColor="text1"/>
          <w14:textFill>
            <w14:solidFill>
              <w14:schemeClr w14:val="tx1"/>
            </w14:solidFill>
          </w14:textFill>
        </w:rPr>
        <w:t>排污口所在河段郁江的流量</w:t>
      </w:r>
      <w:r>
        <w:rPr>
          <w:color w:val="000000" w:themeColor="text1"/>
          <w14:textFill>
            <w14:solidFill>
              <w14:schemeClr w14:val="tx1"/>
            </w14:solidFill>
          </w14:textFill>
        </w:rPr>
        <w:t>，所占比例</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小</w:t>
      </w:r>
      <w:r>
        <w:rPr>
          <w:rFonts w:hint="eastAsia"/>
          <w:color w:val="000000" w:themeColor="text1"/>
          <w14:textFill>
            <w14:solidFill>
              <w14:schemeClr w14:val="tx1"/>
            </w14:solidFill>
          </w14:textFill>
        </w:rPr>
        <w:t>，因此项目总</w:t>
      </w:r>
      <w:r>
        <w:rPr>
          <w:color w:val="000000" w:themeColor="text1"/>
          <w14:textFill>
            <w14:solidFill>
              <w14:schemeClr w14:val="tx1"/>
            </w14:solidFill>
          </w14:textFill>
        </w:rPr>
        <w:t>排污量对河道、水文情势和地形地貌的影响</w:t>
      </w:r>
      <w:r>
        <w:rPr>
          <w:rFonts w:hint="eastAsia"/>
          <w:color w:val="000000" w:themeColor="text1"/>
          <w14:textFill>
            <w14:solidFill>
              <w14:schemeClr w14:val="tx1"/>
            </w14:solidFill>
          </w14:textFill>
        </w:rPr>
        <w:t>很</w:t>
      </w:r>
      <w:r>
        <w:rPr>
          <w:color w:val="000000" w:themeColor="text1"/>
          <w14:textFill>
            <w14:solidFill>
              <w14:schemeClr w14:val="tx1"/>
            </w14:solidFill>
          </w14:textFill>
        </w:rPr>
        <w:t>小。</w:t>
      </w:r>
    </w:p>
    <w:p w14:paraId="54A715B1">
      <w:pPr>
        <w:ind w:firstLine="48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本项目建设内容不新增占用河道行洪断面，</w:t>
      </w:r>
      <w:r>
        <w:rPr>
          <w:color w:val="000000" w:themeColor="text1"/>
          <w14:textFill>
            <w14:solidFill>
              <w14:schemeClr w14:val="tx1"/>
            </w14:solidFill>
          </w14:textFill>
        </w:rPr>
        <w:t>对河道行洪影响小，对河势稳定不会造成影响，且不会对防洪抢险造成影响。建议业主对排污口采取防洪措施，加强汛期的预警系统，保证在汛期时的防洪安全。</w:t>
      </w:r>
    </w:p>
    <w:p w14:paraId="6553D808">
      <w:pPr>
        <w:ind w:firstLine="492"/>
        <w:rPr>
          <w:color w:val="000000" w:themeColor="text1"/>
          <w:lang w:bidi="en-US"/>
          <w14:textFill>
            <w14:solidFill>
              <w14:schemeClr w14:val="tx1"/>
            </w14:solidFill>
          </w14:textFill>
        </w:rPr>
      </w:pPr>
      <w:r>
        <w:rPr>
          <w:rFonts w:cs="Times New Roman"/>
          <w:color w:val="000000" w:themeColor="text1"/>
          <w:spacing w:val="6"/>
          <w:szCs w:val="28"/>
          <w14:textFill>
            <w14:solidFill>
              <w14:schemeClr w14:val="tx1"/>
            </w14:solidFill>
          </w14:textFill>
        </w:rPr>
        <w:t>综上</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根据现场调查得知，</w:t>
      </w:r>
      <w:r>
        <w:rPr>
          <w:rFonts w:hint="eastAsia" w:cs="Times New Roman"/>
          <w:color w:val="000000" w:themeColor="text1"/>
          <w:spacing w:val="6"/>
          <w:szCs w:val="28"/>
          <w14:textFill>
            <w14:solidFill>
              <w14:schemeClr w14:val="tx1"/>
            </w14:solidFill>
          </w14:textFill>
        </w:rPr>
        <w:t>论证范围内有国家重点保护鱼类有达氏鲟、胭脂鱼，重庆市保护鱼类有长薄鳅等</w:t>
      </w:r>
      <w:r>
        <w:rPr>
          <w:rFonts w:cs="Times New Roman"/>
          <w:color w:val="000000" w:themeColor="text1"/>
          <w:spacing w:val="6"/>
          <w:szCs w:val="28"/>
          <w14:textFill>
            <w14:solidFill>
              <w14:schemeClr w14:val="tx1"/>
            </w14:solidFill>
          </w14:textFill>
        </w:rPr>
        <w:t>。项目污水处理厂处理规模小，经过</w:t>
      </w:r>
      <w:r>
        <w:rPr>
          <w:rFonts w:hint="eastAsia" w:cs="Times New Roman"/>
          <w:color w:val="000000" w:themeColor="text1"/>
          <w:spacing w:val="6"/>
          <w:szCs w:val="28"/>
          <w14:textFill>
            <w14:solidFill>
              <w14:schemeClr w14:val="tx1"/>
            </w14:solidFill>
          </w14:textFill>
        </w:rPr>
        <w:t>小河沟和郁江</w:t>
      </w:r>
      <w:r>
        <w:rPr>
          <w:rFonts w:cs="Times New Roman"/>
          <w:color w:val="000000" w:themeColor="text1"/>
          <w:spacing w:val="6"/>
          <w:szCs w:val="28"/>
          <w14:textFill>
            <w14:solidFill>
              <w14:schemeClr w14:val="tx1"/>
            </w14:solidFill>
          </w14:textFill>
        </w:rPr>
        <w:t>的稀释和自然降解，项目污水处理厂的正常排放和事故排放的废水，对下游水生生物影响小；且污水处理厂为减排项目，能有效的改善当地地表水水体水质，对下游</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水生生物也能起到一定的保护作用，项目尾水正常排放能为外环境所接受。因此，本项目污水排放采用岸边式排放进入</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，对</w:t>
      </w:r>
      <w:r>
        <w:rPr>
          <w:rFonts w:hint="eastAsia" w:cs="Times New Roman"/>
          <w:color w:val="000000" w:themeColor="text1"/>
          <w:spacing w:val="6"/>
          <w:szCs w:val="28"/>
          <w14:textFill>
            <w14:solidFill>
              <w14:schemeClr w14:val="tx1"/>
            </w14:solidFill>
          </w14:textFill>
        </w:rPr>
        <w:t>郁江</w:t>
      </w:r>
      <w:r>
        <w:rPr>
          <w:rFonts w:cs="Times New Roman"/>
          <w:color w:val="000000" w:themeColor="text1"/>
          <w:spacing w:val="6"/>
          <w:szCs w:val="28"/>
          <w14:textFill>
            <w14:solidFill>
              <w14:schemeClr w14:val="tx1"/>
            </w14:solidFill>
          </w14:textFill>
        </w:rPr>
        <w:t>无明显影响</w:t>
      </w:r>
      <w:r>
        <w:rPr>
          <w:rFonts w:hint="eastAsia" w:cs="Times New Roman"/>
          <w:color w:val="000000" w:themeColor="text1"/>
          <w:spacing w:val="6"/>
          <w:szCs w:val="28"/>
          <w14:textFill>
            <w14:solidFill>
              <w14:schemeClr w14:val="tx1"/>
            </w14:solidFill>
          </w14:textFill>
        </w:rPr>
        <w:t>，</w:t>
      </w:r>
      <w:r>
        <w:rPr>
          <w:rFonts w:cs="Times New Roman"/>
          <w:color w:val="000000" w:themeColor="text1"/>
          <w:spacing w:val="6"/>
          <w:szCs w:val="28"/>
          <w14:textFill>
            <w14:solidFill>
              <w14:schemeClr w14:val="tx1"/>
            </w14:solidFill>
          </w14:textFill>
        </w:rPr>
        <w:t>其入河排污口位置是合理的</w:t>
      </w:r>
      <w:r>
        <w:rPr>
          <w:color w:val="000000" w:themeColor="text1"/>
          <w14:textFill>
            <w14:solidFill>
              <w14:schemeClr w14:val="tx1"/>
            </w14:solidFill>
          </w14:textFill>
        </w:rPr>
        <w:t>。</w:t>
      </w:r>
    </w:p>
    <w:p w14:paraId="0B1B7788">
      <w:pPr>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6A738CB">
      <w:pPr>
        <w:pStyle w:val="43"/>
        <w:ind w:left="0" w:firstLine="0"/>
        <w:rPr>
          <w:color w:val="000000" w:themeColor="text1"/>
          <w14:textFill>
            <w14:solidFill>
              <w14:schemeClr w14:val="tx1"/>
            </w14:solidFill>
          </w14:textFill>
        </w:rPr>
      </w:pPr>
      <w:bookmarkStart w:id="54" w:name="_Toc7509"/>
      <w:bookmarkStart w:id="55" w:name="_Toc467139927"/>
      <w:bookmarkStart w:id="56" w:name="_Toc184805690"/>
      <w:bookmarkStart w:id="57" w:name="_Toc104903744"/>
      <w:bookmarkStart w:id="58" w:name="_Toc389224698"/>
      <w:bookmarkStart w:id="59" w:name="_Toc384746240"/>
      <w:r>
        <w:rPr>
          <w:color w:val="000000" w:themeColor="text1"/>
          <w14:textFill>
            <w14:solidFill>
              <w14:schemeClr w14:val="tx1"/>
            </w14:solidFill>
          </w14:textFill>
        </w:rPr>
        <w:t>水环境保护</w:t>
      </w:r>
      <w:bookmarkEnd w:id="54"/>
      <w:bookmarkEnd w:id="55"/>
      <w:r>
        <w:rPr>
          <w:color w:val="000000" w:themeColor="text1"/>
          <w14:textFill>
            <w14:solidFill>
              <w14:schemeClr w14:val="tx1"/>
            </w14:solidFill>
          </w14:textFill>
        </w:rPr>
        <w:t>措施</w:t>
      </w:r>
      <w:bookmarkEnd w:id="56"/>
      <w:bookmarkEnd w:id="57"/>
    </w:p>
    <w:p w14:paraId="5F78C3CA">
      <w:pPr>
        <w:pStyle w:val="61"/>
        <w:spacing w:before="312"/>
      </w:pPr>
      <w:bookmarkStart w:id="60" w:name="_Toc18565"/>
      <w:bookmarkStart w:id="61" w:name="_Toc104903745"/>
      <w:bookmarkStart w:id="62" w:name="_Toc467139928"/>
      <w:r>
        <w:rPr>
          <w:rFonts w:hint="eastAsia"/>
        </w:rPr>
        <w:t xml:space="preserve"> </w:t>
      </w:r>
      <w:bookmarkStart w:id="63" w:name="_Toc184805691"/>
      <w:r>
        <w:rPr>
          <w:rFonts w:hint="eastAsia"/>
        </w:rPr>
        <w:t>水生态保护措施</w:t>
      </w:r>
      <w:bookmarkEnd w:id="63"/>
    </w:p>
    <w:p w14:paraId="5C1C57CE">
      <w:pPr>
        <w:ind w:firstLine="480"/>
        <w:rPr>
          <w:color w:val="000000" w:themeColor="text1"/>
          <w14:textFill>
            <w14:solidFill>
              <w14:schemeClr w14:val="tx1"/>
            </w14:solidFill>
          </w14:textFill>
        </w:rPr>
      </w:pPr>
      <w:r>
        <w:rPr>
          <w:color w:val="000000" w:themeColor="text1"/>
          <w14:textFill>
            <w14:solidFill>
              <w14:schemeClr w14:val="tx1"/>
            </w14:solidFill>
          </w14:textFill>
        </w:rPr>
        <w:t>为了保证废污水得到有效处理，实现废污水达标排放，避免工程运行期间出现废污水非正常排放，或将非正常排放损失降至最低，需制定防范措施。由于本项目现已完成建设，故本次</w:t>
      </w:r>
      <w:r>
        <w:rPr>
          <w:rFonts w:hint="eastAsia"/>
          <w:color w:val="000000" w:themeColor="text1"/>
          <w14:textFill>
            <w14:solidFill>
              <w14:schemeClr w14:val="tx1"/>
            </w14:solidFill>
          </w14:textFill>
        </w:rPr>
        <w:t>主要</w:t>
      </w:r>
      <w:r>
        <w:rPr>
          <w:color w:val="000000" w:themeColor="text1"/>
          <w14:textFill>
            <w14:solidFill>
              <w14:schemeClr w14:val="tx1"/>
            </w14:solidFill>
          </w14:textFill>
        </w:rPr>
        <w:t>针对运行期提出水生态保护措施</w:t>
      </w:r>
      <w:r>
        <w:rPr>
          <w:rFonts w:hint="eastAsia"/>
          <w:color w:val="000000" w:themeColor="text1"/>
          <w14:textFill>
            <w14:solidFill>
              <w14:schemeClr w14:val="tx1"/>
            </w14:solidFill>
          </w14:textFill>
        </w:rPr>
        <w:t>。</w:t>
      </w:r>
    </w:p>
    <w:p w14:paraId="1557EAB7">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.1.1 运营期水污染防治措施</w:t>
      </w:r>
    </w:p>
    <w:p w14:paraId="3A8112A0">
      <w:pPr>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为防止污水集中排放导致地表水体水质恶化</w:t>
      </w:r>
      <w:r>
        <w:rPr>
          <w:rFonts w:cs="Times New Roman"/>
          <w:color w:val="000000" w:themeColor="text1"/>
          <w14:textFill>
            <w14:solidFill>
              <w14:schemeClr w14:val="tx1"/>
            </w14:solidFill>
          </w14:textFill>
        </w:rPr>
        <w:t>，污水处理工程在运营期间应加强管理，采取二次污染防治措施，减轻二次污染对环境的影响。</w:t>
      </w:r>
    </w:p>
    <w:p w14:paraId="454C896E">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（1）强化自身环境管理。污水处理厂区自身废水全部排入污水处理设施进行处理，不得随意外排直接</w:t>
      </w:r>
      <w:r>
        <w:rPr>
          <w:rFonts w:hint="eastAsia" w:cs="Times New Roman"/>
          <w:color w:val="000000" w:themeColor="text1"/>
          <w14:textFill>
            <w14:solidFill>
              <w14:schemeClr w14:val="tx1"/>
            </w14:solidFill>
          </w14:textFill>
        </w:rPr>
        <w:t>外排</w:t>
      </w:r>
      <w:r>
        <w:rPr>
          <w:rFonts w:cs="Times New Roman"/>
          <w:color w:val="000000" w:themeColor="text1"/>
          <w14:textFill>
            <w14:solidFill>
              <w14:schemeClr w14:val="tx1"/>
            </w14:solidFill>
          </w14:textFill>
        </w:rPr>
        <w:t>；同时，定期检查管网，防止堵塞和渗漏现象发生；加强排放口水体水质的监测，及时查找原因，保证达标排放。</w:t>
      </w:r>
    </w:p>
    <w:p w14:paraId="50EA1A5B">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（2）严格水质准入要求。</w:t>
      </w:r>
      <w:r>
        <w:rPr>
          <w:rFonts w:hint="eastAsia" w:cs="Times New Roman"/>
          <w:color w:val="000000" w:themeColor="text1"/>
          <w14:textFill>
            <w14:solidFill>
              <w14:schemeClr w14:val="tx1"/>
            </w14:solidFill>
          </w14:textFill>
        </w:rPr>
        <w:t>做好进水水质监测工作</w:t>
      </w:r>
      <w:r>
        <w:rPr>
          <w:rFonts w:cs="Times New Roman"/>
          <w:color w:val="000000" w:themeColor="text1"/>
          <w14:textFill>
            <w14:solidFill>
              <w14:schemeClr w14:val="tx1"/>
            </w14:solidFill>
          </w14:textFill>
        </w:rPr>
        <w:t>。</w:t>
      </w:r>
    </w:p>
    <w:p w14:paraId="32BDD2E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（3）做好风险排污预防。建议厂方针对不同的可能发生的突发事故，分别制定不同的应急措施，在事故发生时分别启动相应的措施。</w:t>
      </w:r>
    </w:p>
    <w:p w14:paraId="750BCBA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（4）其他监督管理措施</w:t>
      </w:r>
    </w:p>
    <w:p w14:paraId="45589717">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1）宣传、组织、贯彻国家有关水生态环境保护的方针、政策、法令和条例，搞好项目运行期间环境保护工作。</w:t>
      </w:r>
    </w:p>
    <w:p w14:paraId="15699AAF">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2）执行上级主管部门建立的各种环境管理制度。</w:t>
      </w:r>
    </w:p>
    <w:p w14:paraId="1CDF41D4">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3）领导并组织工程运行期（包括事故运行期）的环境监测工作，建立档案。</w:t>
      </w:r>
    </w:p>
    <w:p w14:paraId="3253E35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4）加强水资源保护的宣传，加强水法规定的宣贯，提高</w:t>
      </w:r>
      <w:r>
        <w:rPr>
          <w:rFonts w:hint="eastAsia" w:cs="Times New Roman"/>
          <w:color w:val="000000" w:themeColor="text1"/>
          <w14:textFill>
            <w14:solidFill>
              <w14:schemeClr w14:val="tx1"/>
            </w14:solidFill>
          </w14:textFill>
        </w:rPr>
        <w:t>员工</w:t>
      </w:r>
      <w:r>
        <w:rPr>
          <w:rFonts w:cs="Times New Roman"/>
          <w:color w:val="000000" w:themeColor="text1"/>
          <w14:textFill>
            <w14:solidFill>
              <w14:schemeClr w14:val="tx1"/>
            </w14:solidFill>
          </w14:textFill>
        </w:rPr>
        <w:t>水资源保护的意识，保证工程建成后，环境保护工作能按设计方案运行。</w:t>
      </w:r>
    </w:p>
    <w:p w14:paraId="23E9378C">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5）对项目涉及水域要进行水质监测，并协助当地</w:t>
      </w:r>
      <w:r>
        <w:rPr>
          <w:rFonts w:hint="eastAsia" w:cs="Times New Roman"/>
          <w:color w:val="000000" w:themeColor="text1"/>
          <w14:textFill>
            <w14:solidFill>
              <w14:schemeClr w14:val="tx1"/>
            </w14:solidFill>
          </w14:textFill>
        </w:rPr>
        <w:t>生态环境</w:t>
      </w:r>
      <w:r>
        <w:rPr>
          <w:rFonts w:cs="Times New Roman"/>
          <w:color w:val="000000" w:themeColor="text1"/>
          <w14:textFill>
            <w14:solidFill>
              <w14:schemeClr w14:val="tx1"/>
            </w14:solidFill>
          </w14:textFill>
        </w:rPr>
        <w:t>部门做好水污染防治工作。</w:t>
      </w:r>
    </w:p>
    <w:p w14:paraId="64E0A26B">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6）在污水</w:t>
      </w:r>
      <w:r>
        <w:rPr>
          <w:rFonts w:hint="eastAsia" w:cs="Times New Roman"/>
          <w:color w:val="000000" w:themeColor="text1"/>
          <w14:textFill>
            <w14:solidFill>
              <w14:schemeClr w14:val="tx1"/>
            </w14:solidFill>
          </w14:textFill>
        </w:rPr>
        <w:t>处理</w:t>
      </w:r>
      <w:r>
        <w:rPr>
          <w:rFonts w:cs="Times New Roman"/>
          <w:color w:val="000000" w:themeColor="text1"/>
          <w14:textFill>
            <w14:solidFill>
              <w14:schemeClr w14:val="tx1"/>
            </w14:solidFill>
          </w14:textFill>
        </w:rPr>
        <w:t>设施出现故障时，应立即停产检修，严格禁止未经处理废水排放。</w:t>
      </w:r>
    </w:p>
    <w:p w14:paraId="12D34A7D">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7）建立水质保护管理措施，并不断充实和完善各项管理制度。健全水质保护管理机构，实行统一领导，分区负责，保障各项水质保护规章制度有效实施。</w:t>
      </w:r>
    </w:p>
    <w:p w14:paraId="640589B1">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8）积极开展环保教育、技术培训和学术交流活动，提高员工素质，推广利用先进技术和经验。</w:t>
      </w:r>
    </w:p>
    <w:p w14:paraId="5FCD21E8">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9）加强水功能区水质监测工作，及时了解水功能区的水环境状况，依照相关法律由地方水行政主管部门加强监督管理，确保达到水功能区管理目标</w:t>
      </w:r>
      <w:r>
        <w:rPr>
          <w:rFonts w:hint="eastAsia" w:cs="Times New Roman"/>
          <w:color w:val="000000" w:themeColor="text1"/>
          <w14:textFill>
            <w14:solidFill>
              <w14:schemeClr w14:val="tx1"/>
            </w14:solidFill>
          </w14:textFill>
        </w:rPr>
        <w:t>。</w:t>
      </w:r>
    </w:p>
    <w:bookmarkEnd w:id="58"/>
    <w:bookmarkEnd w:id="59"/>
    <w:bookmarkEnd w:id="60"/>
    <w:bookmarkEnd w:id="61"/>
    <w:bookmarkEnd w:id="62"/>
    <w:p w14:paraId="50FAC6ED">
      <w:pPr>
        <w:pStyle w:val="45"/>
        <w:rPr>
          <w:color w:val="000000" w:themeColor="text1"/>
          <w14:textFill>
            <w14:solidFill>
              <w14:schemeClr w14:val="tx1"/>
            </w14:solidFill>
          </w14:textFill>
        </w:rPr>
      </w:pPr>
      <w:bookmarkStart w:id="64" w:name="_Toc389224699"/>
      <w:bookmarkStart w:id="65" w:name="_Toc384746241"/>
      <w:bookmarkStart w:id="66" w:name="_Toc2841"/>
      <w:bookmarkStart w:id="67" w:name="_Toc467139929"/>
      <w:r>
        <w:rPr>
          <w:rFonts w:hint="eastAsia"/>
          <w:color w:val="000000" w:themeColor="text1"/>
          <w14:textFill>
            <w14:solidFill>
              <w14:schemeClr w14:val="tx1"/>
            </w14:solidFill>
          </w14:textFill>
        </w:rPr>
        <w:t>7</w:t>
      </w:r>
      <w:r>
        <w:rPr>
          <w:color w:val="000000" w:themeColor="text1"/>
          <w14:textFill>
            <w14:solidFill>
              <w14:schemeClr w14:val="tx1"/>
            </w14:solidFill>
          </w14:textFill>
        </w:rPr>
        <w:t>.1.2 水资源保护措施</w:t>
      </w:r>
    </w:p>
    <w:p w14:paraId="28076FE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保证供电</w:t>
      </w:r>
    </w:p>
    <w:p w14:paraId="1C63B23F">
      <w:pPr>
        <w:widowControl/>
        <w:ind w:firstLine="480"/>
        <w:rPr>
          <w:rFonts w:cs="Times New Roman"/>
          <w:color w:val="000000" w:themeColor="text1"/>
          <w14:textFill>
            <w14:solidFill>
              <w14:schemeClr w14:val="tx1"/>
            </w14:solidFill>
          </w14:textFill>
        </w:rPr>
      </w:pPr>
      <w:r>
        <w:rPr>
          <w:color w:val="000000" w:themeColor="text1"/>
          <w14:textFill>
            <w14:solidFill>
              <w14:schemeClr w14:val="tx1"/>
            </w14:solidFill>
          </w14:textFill>
        </w:rPr>
        <w:t>污水处理厂</w:t>
      </w:r>
      <w:r>
        <w:rPr>
          <w:rFonts w:hint="eastAsia"/>
          <w:color w:val="000000" w:themeColor="text1"/>
          <w14:textFill>
            <w14:solidFill>
              <w14:schemeClr w14:val="tx1"/>
            </w14:solidFill>
          </w14:textFill>
        </w:rPr>
        <w:t>由市政供电</w:t>
      </w:r>
      <w:r>
        <w:rPr>
          <w:color w:val="000000" w:themeColor="text1"/>
          <w14:textFill>
            <w14:solidFill>
              <w14:schemeClr w14:val="tx1"/>
            </w14:solidFill>
          </w14:textFill>
        </w:rPr>
        <w:t>。如果出现断电事故，则立即</w:t>
      </w:r>
      <w:r>
        <w:rPr>
          <w:rFonts w:hint="eastAsia"/>
          <w:color w:val="000000" w:themeColor="text1"/>
          <w14:textFill>
            <w14:solidFill>
              <w14:schemeClr w14:val="tx1"/>
            </w14:solidFill>
          </w14:textFill>
        </w:rPr>
        <w:t>与供电部门联系检修</w:t>
      </w:r>
      <w:r>
        <w:rPr>
          <w:color w:val="000000" w:themeColor="text1"/>
          <w14:textFill>
            <w14:solidFill>
              <w14:schemeClr w14:val="tx1"/>
            </w14:solidFill>
          </w14:textFill>
        </w:rPr>
        <w:t>，保证污水处理厂连续、可靠运行</w:t>
      </w:r>
      <w:r>
        <w:rPr>
          <w:rFonts w:cs="Times New Roman"/>
          <w:color w:val="000000" w:themeColor="text1"/>
          <w14:textFill>
            <w14:solidFill>
              <w14:schemeClr w14:val="tx1"/>
            </w14:solidFill>
          </w14:textFill>
        </w:rPr>
        <w:t>。</w:t>
      </w:r>
    </w:p>
    <w:p w14:paraId="2577AB3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加强监测</w:t>
      </w:r>
    </w:p>
    <w:p w14:paraId="18B2875F">
      <w:pPr>
        <w:ind w:firstLine="480"/>
        <w:rPr>
          <w:color w:val="000000" w:themeColor="text1"/>
          <w14:textFill>
            <w14:solidFill>
              <w14:schemeClr w14:val="tx1"/>
            </w14:solidFill>
          </w14:textFill>
        </w:rPr>
      </w:pPr>
      <w:r>
        <w:rPr>
          <w:color w:val="000000" w:themeColor="text1"/>
          <w14:textFill>
            <w14:solidFill>
              <w14:schemeClr w14:val="tx1"/>
            </w14:solidFill>
          </w14:textFill>
        </w:rPr>
        <w:t>对污水处理设施的运转情况要及时监测，确保处理装置正常高效运转，对进水和出水水质要定期监测，根据不同的水质水量及时调整处理单元的运转参数，保障设施的正常和高效运行，以保证最佳的处理效率。一旦水质指标出现异常，可判断处理工艺出现问题或运行的机器设备出现故障，便于及时处理，保证处理出水的稳定。</w:t>
      </w:r>
      <w:r>
        <w:rPr>
          <w:rFonts w:hint="eastAsia" w:cs="Times New Roman"/>
          <w:color w:val="000000" w:themeColor="text1"/>
          <w14:textFill>
            <w14:solidFill>
              <w14:schemeClr w14:val="tx1"/>
            </w14:solidFill>
          </w14:textFill>
        </w:rPr>
        <w:t>加强入河排污口的管理，保护水源生态环境不遭到破坏。</w:t>
      </w:r>
    </w:p>
    <w:p w14:paraId="2D7B13C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检修设备</w:t>
      </w:r>
    </w:p>
    <w:p w14:paraId="603BCF58">
      <w:pPr>
        <w:ind w:firstLine="480"/>
        <w:rPr>
          <w:color w:val="000000" w:themeColor="text1"/>
          <w14:textFill>
            <w14:solidFill>
              <w14:schemeClr w14:val="tx1"/>
            </w14:solidFill>
          </w14:textFill>
        </w:rPr>
      </w:pPr>
      <w:r>
        <w:rPr>
          <w:rFonts w:hint="eastAsia" w:hAnsi="宋体"/>
          <w:color w:val="000000" w:themeColor="text1"/>
          <w:szCs w:val="21"/>
          <w14:textFill>
            <w14:solidFill>
              <w14:schemeClr w14:val="tx1"/>
            </w14:solidFill>
          </w14:textFill>
        </w:rPr>
        <w:t>加强对污水处理厂设备维修与保养，要求管理人员规范化操作，对泵、阀门等定期检修维护，防止突发事件发生。</w:t>
      </w:r>
    </w:p>
    <w:bookmarkEnd w:id="64"/>
    <w:bookmarkEnd w:id="65"/>
    <w:bookmarkEnd w:id="66"/>
    <w:bookmarkEnd w:id="67"/>
    <w:p w14:paraId="6EBC3895">
      <w:pPr>
        <w:pStyle w:val="3"/>
      </w:pPr>
      <w:bookmarkStart w:id="68" w:name="_Toc184805692"/>
      <w:r>
        <w:rPr>
          <w:rFonts w:hint="eastAsia"/>
        </w:rPr>
        <w:t>事故排放时应急措施</w:t>
      </w:r>
      <w:bookmarkEnd w:id="68"/>
    </w:p>
    <w:p w14:paraId="255A380C">
      <w:pPr>
        <w:pStyle w:val="45"/>
        <w:rPr>
          <w:color w:val="000000" w:themeColor="text1"/>
          <w14:textFill>
            <w14:solidFill>
              <w14:schemeClr w14:val="tx1"/>
            </w14:solidFill>
          </w14:textFill>
        </w:rPr>
      </w:pPr>
      <w:bookmarkStart w:id="69" w:name="_Toc467139930"/>
      <w:r>
        <w:rPr>
          <w:rFonts w:hint="eastAsia"/>
          <w:color w:val="000000" w:themeColor="text1"/>
          <w14:textFill>
            <w14:solidFill>
              <w14:schemeClr w14:val="tx1"/>
            </w14:solidFill>
          </w14:textFill>
        </w:rPr>
        <w:t>7</w:t>
      </w:r>
      <w:r>
        <w:rPr>
          <w:color w:val="000000" w:themeColor="text1"/>
          <w14:textFill>
            <w14:solidFill>
              <w14:schemeClr w14:val="tx1"/>
            </w14:solidFill>
          </w14:textFill>
        </w:rPr>
        <w:t>.2.1 水环境风险</w:t>
      </w:r>
      <w:bookmarkEnd w:id="69"/>
      <w:r>
        <w:rPr>
          <w:rFonts w:hint="eastAsia"/>
          <w:color w:val="000000" w:themeColor="text1"/>
          <w14:textFill>
            <w14:solidFill>
              <w14:schemeClr w14:val="tx1"/>
            </w14:solidFill>
          </w14:textFill>
        </w:rPr>
        <w:t>分析</w:t>
      </w:r>
    </w:p>
    <w:p w14:paraId="5F383843">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应</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可能发生的事故</w:t>
      </w:r>
      <w:r>
        <w:rPr>
          <w:rFonts w:hint="eastAsia"/>
          <w:color w:val="000000" w:themeColor="text1"/>
          <w14:textFill>
            <w14:solidFill>
              <w14:schemeClr w14:val="tx1"/>
            </w14:solidFill>
          </w14:textFill>
        </w:rPr>
        <w:t>。</w:t>
      </w:r>
    </w:p>
    <w:p w14:paraId="0F9B3F00">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污水处理厂运行过程中可能遇到的水环境风险有：</w:t>
      </w:r>
    </w:p>
    <w:p w14:paraId="004987A4">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污水事故排放。污水事故排放主要是污水处理设备发生故障导致污水处理系统无法正常运行或场内废水得不到处理从而引起污水事故排放，污水收集管道渗漏、堵塞也会引起污水事故排放的环境风险，污水事故排放将导致排放口下游的受纳水体受到污染，造成一定程度的环境损害。厂区停电、设施故障和进水水质超标等均可能造成污水事故排放。</w:t>
      </w:r>
    </w:p>
    <w:p w14:paraId="6E0227E6">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（2）自然灾害。极端天气、地震等自然灾害也</w:t>
      </w:r>
      <w:r>
        <w:rPr>
          <w:rFonts w:hint="eastAsia"/>
          <w:color w:val="000000" w:themeColor="text1"/>
          <w14:textFill>
            <w14:solidFill>
              <w14:schemeClr w14:val="tx1"/>
            </w14:solidFill>
          </w14:textFill>
        </w:rPr>
        <w:t>可能造成污水事故排放。</w:t>
      </w:r>
    </w:p>
    <w:p w14:paraId="13E40C8C">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.2.2 应急处理措施</w:t>
      </w:r>
    </w:p>
    <w:p w14:paraId="3A6E5796">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城市污水厂的运行管理，指从接纳原污水至净化处理排出</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达标</w:t>
      </w:r>
      <w:r>
        <w:rPr>
          <w:rFonts w:ascii="宋体"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污水的全过程的管理。对污水处理</w:t>
      </w:r>
      <w:r>
        <w:rPr>
          <w:rFonts w:hint="eastAsia" w:cs="Times New Roman"/>
          <w:color w:val="000000" w:themeColor="text1"/>
          <w14:textFill>
            <w14:solidFill>
              <w14:schemeClr w14:val="tx1"/>
            </w14:solidFill>
          </w14:textFill>
        </w:rPr>
        <w:t>厂</w:t>
      </w:r>
      <w:r>
        <w:rPr>
          <w:rFonts w:cs="Times New Roman"/>
          <w:color w:val="000000" w:themeColor="text1"/>
          <w14:textFill>
            <w14:solidFill>
              <w14:schemeClr w14:val="tx1"/>
            </w14:solidFill>
          </w14:textFill>
        </w:rPr>
        <w:t>可能发生的异常情况，积极采取相应的措施，保证</w:t>
      </w:r>
      <w:r>
        <w:rPr>
          <w:rFonts w:hint="eastAsia" w:cs="Times New Roman"/>
          <w:color w:val="000000" w:themeColor="text1"/>
          <w14:textFill>
            <w14:solidFill>
              <w14:schemeClr w14:val="tx1"/>
            </w14:solidFill>
          </w14:textFill>
        </w:rPr>
        <w:t>接收</w:t>
      </w:r>
      <w:r>
        <w:rPr>
          <w:rFonts w:cs="Times New Roman"/>
          <w:color w:val="000000" w:themeColor="text1"/>
          <w14:textFill>
            <w14:solidFill>
              <w14:schemeClr w14:val="tx1"/>
            </w14:solidFill>
          </w14:textFill>
        </w:rPr>
        <w:t>的废水在任何情况下都能经处理后达标排放，不会对周围的水体环境造成污染。对污水处理系统可能发生的异常情况，积极防范。在突发性污染事故发生后，迅速、高效、有序地开展污染事故的应急处理工作，最大限度的避免和控制污染的扩大；确定潜在的事故、事件或紧急情况，确保经过处理的污水中的污染物浓度符合国家污水综合排放标准的有关规定，并能在事故发生后迅速有效控制处理。</w:t>
      </w:r>
    </w:p>
    <w:p w14:paraId="12CD814D">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污水</w:t>
      </w:r>
      <w:r>
        <w:rPr>
          <w:rFonts w:hint="eastAsia"/>
          <w:color w:val="000000" w:themeColor="text1"/>
          <w14:textFill>
            <w14:solidFill>
              <w14:schemeClr w14:val="tx1"/>
            </w14:solidFill>
          </w14:textFill>
        </w:rPr>
        <w:t>事故</w:t>
      </w:r>
      <w:r>
        <w:rPr>
          <w:color w:val="000000" w:themeColor="text1"/>
          <w14:textFill>
            <w14:solidFill>
              <w14:schemeClr w14:val="tx1"/>
            </w14:solidFill>
          </w14:textFill>
        </w:rPr>
        <w:t>排放</w:t>
      </w:r>
    </w:p>
    <w:p w14:paraId="43CD93F8">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1）停电应急措施</w:t>
      </w:r>
    </w:p>
    <w:p w14:paraId="7744016F">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计划停电，得知停电计划后，值班人员立即上报，启动应急措施。送电后，立即开启水泵，通知泵站进水，恢复生产。若临时停电，根据停电维修严重程度和波及范围立即上报。积极组织力量维修，并立即与电力部门取得联系。事故排除后，维修人员负责对设备进行全面的维修保养，确保环境与设备全部安全后方可恢复生产</w:t>
      </w:r>
      <w:r>
        <w:rPr>
          <w:rFonts w:cs="Times New Roman"/>
          <w:color w:val="000000" w:themeColor="text1"/>
          <w14:textFill>
            <w14:solidFill>
              <w14:schemeClr w14:val="tx1"/>
            </w14:solidFill>
          </w14:textFill>
        </w:rPr>
        <w:t>。</w:t>
      </w:r>
    </w:p>
    <w:p w14:paraId="3E90414D">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2）设施故障</w:t>
      </w:r>
    </w:p>
    <w:p w14:paraId="1EE225AF">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值班人员发现运行设备发生</w:t>
      </w:r>
      <w:r>
        <w:rPr>
          <w:rFonts w:hint="eastAsia"/>
          <w:color w:val="000000" w:themeColor="text1"/>
          <w14:textFill>
            <w14:solidFill>
              <w14:schemeClr w14:val="tx1"/>
            </w14:solidFill>
          </w14:textFill>
        </w:rPr>
        <w:t>故障或异常时如：装置</w:t>
      </w:r>
      <w:r>
        <w:rPr>
          <w:color w:val="000000" w:themeColor="text1"/>
          <w14:textFill>
            <w14:solidFill>
              <w14:schemeClr w14:val="tx1"/>
            </w14:solidFill>
          </w14:textFill>
        </w:rPr>
        <w:t>故障或</w:t>
      </w:r>
      <w:r>
        <w:rPr>
          <w:rFonts w:hint="eastAsia"/>
          <w:color w:val="000000" w:themeColor="text1"/>
          <w14:textFill>
            <w14:solidFill>
              <w14:schemeClr w14:val="tx1"/>
            </w14:solidFill>
          </w14:textFill>
        </w:rPr>
        <w:t>管道破裂等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立即上报，协调</w:t>
      </w:r>
      <w:r>
        <w:rPr>
          <w:color w:val="000000" w:themeColor="text1"/>
          <w14:textFill>
            <w14:solidFill>
              <w14:schemeClr w14:val="tx1"/>
            </w14:solidFill>
          </w14:textFill>
        </w:rPr>
        <w:t>安排维修人员对现场故障设备进行查看分析，确认发生故障后，并根据工艺情况对运行设备进行调整。</w:t>
      </w:r>
    </w:p>
    <w:p w14:paraId="00710BE6">
      <w:pPr>
        <w:widowControl/>
        <w:ind w:firstLine="480"/>
        <w:rPr>
          <w:b/>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进水水质</w:t>
      </w:r>
      <w:r>
        <w:rPr>
          <w:rFonts w:hint="eastAsia"/>
          <w:color w:val="000000" w:themeColor="text1"/>
          <w14:textFill>
            <w14:solidFill>
              <w14:schemeClr w14:val="tx1"/>
            </w14:solidFill>
          </w14:textFill>
        </w:rPr>
        <w:t>超标</w:t>
      </w:r>
    </w:p>
    <w:p w14:paraId="047F4FEA">
      <w:pPr>
        <w:widowControl/>
        <w:ind w:firstLine="480"/>
        <w:rPr>
          <w:color w:val="000000" w:themeColor="text1"/>
          <w14:textFill>
            <w14:solidFill>
              <w14:schemeClr w14:val="tx1"/>
            </w14:solidFill>
          </w14:textFill>
        </w:rPr>
      </w:pPr>
      <w:r>
        <w:rPr>
          <w:color w:val="000000" w:themeColor="text1"/>
          <w14:textFill>
            <w14:solidFill>
              <w14:schemeClr w14:val="tx1"/>
            </w14:solidFill>
          </w14:textFill>
        </w:rPr>
        <w:t>值班人员通过巡查，一旦发现来水颜色变化，出现大量白色泡沫、腥味、油污现象，判断是否为进水水质恶化，并适时调整工艺处理参数，采取增大曝气量等措施提高污水处理能力，组织化验人员在各个工艺环节取样化验，确定超标物质，加强管网巡查，查清污染源。若现场无法解决时，</w:t>
      </w:r>
      <w:r>
        <w:rPr>
          <w:rFonts w:hint="eastAsia"/>
          <w:color w:val="000000" w:themeColor="text1"/>
          <w14:textFill>
            <w14:solidFill>
              <w14:schemeClr w14:val="tx1"/>
            </w14:solidFill>
          </w14:textFill>
        </w:rPr>
        <w:t>立即上报，寻求支援。</w:t>
      </w:r>
    </w:p>
    <w:p w14:paraId="040B5DA7">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）自然灾害</w:t>
      </w:r>
    </w:p>
    <w:p w14:paraId="68A9B65E">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根据实际情况，调整汛期的工艺运行方案；在汛期加强各进出泵、反应池进出水闸门和变配电所等关键设备和部位的巡视和监控，做好设备运转状况记录；发现故障和其它异常情况及时报送上级部门。加强现场巡视，特别是构筑物，以防大风天气高空坠物。</w:t>
      </w:r>
    </w:p>
    <w:p w14:paraId="53BA24D5">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）关好办公室和厂内所有门窗，防止雨水流入，影响设备运行，检查所有设备是否安全，所有文件和记录都放进储柜里。</w:t>
      </w:r>
    </w:p>
    <w:p w14:paraId="22C0D2E8">
      <w:pPr>
        <w:widowControl/>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）维修人员在汛期前安排生产运行关键设备和变配电所的检查、维护保养工作并做好室外设备的防雨工作。并及时检查全厂机械设备的接地情况，及时整改存在安全隐患的设施。</w:t>
      </w:r>
    </w:p>
    <w:p w14:paraId="29ECDFB3">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4）如有人员受伤，组织人员及时救护并根据伤员受伤程度及时向120求助。</w:t>
      </w:r>
    </w:p>
    <w:p w14:paraId="5EC546FA">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5）增加水泵台数，降低集水井水位，直到满负荷为止。值班人员及时检查避雷是否发挥作用；厂抢修队员，车辆做到随叫随到。</w:t>
      </w:r>
    </w:p>
    <w:p w14:paraId="14A76B58">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6）当出现暴雨天气进水超过设计处理负荷时，污水处理厂应尽量处理初期雨水，防止超负荷运行影响污水处理系统正常运行。</w:t>
      </w:r>
    </w:p>
    <w:p w14:paraId="5423FD31">
      <w:pPr>
        <w:pStyle w:val="61"/>
        <w:spacing w:before="312"/>
      </w:pPr>
      <w:bookmarkStart w:id="70" w:name="_Toc104903747"/>
      <w:bookmarkStart w:id="71" w:name="_Toc141105591"/>
      <w:bookmarkStart w:id="72" w:name="_Toc179896088"/>
      <w:bookmarkStart w:id="73" w:name="_Toc184805693"/>
      <w:r>
        <w:t>入河排放口设置要求</w:t>
      </w:r>
      <w:bookmarkEnd w:id="70"/>
      <w:bookmarkEnd w:id="71"/>
      <w:bookmarkEnd w:id="72"/>
      <w:bookmarkEnd w:id="73"/>
    </w:p>
    <w:p w14:paraId="4014262B">
      <w:pPr>
        <w:ind w:firstLine="480"/>
        <w:rPr>
          <w:color w:val="000000" w:themeColor="text1"/>
          <w14:textFill>
            <w14:solidFill>
              <w14:schemeClr w14:val="tx1"/>
            </w14:solidFill>
          </w14:textFill>
        </w:rPr>
      </w:pPr>
      <w:r>
        <w:rPr>
          <w:color w:val="000000" w:themeColor="text1"/>
          <w14:textFill>
            <w14:solidFill>
              <w14:schemeClr w14:val="tx1"/>
            </w14:solidFill>
          </w14:textFill>
        </w:rPr>
        <w:t>根据生态环境部“关于印发《长江、黄河和渤海入海（河）排污口排查整治分类规则（试行）》《长江、黄河和渤海入海(河)排污口命名与编码规则（试行）》《长江、黄河和渤海入海（河）排污口标志牌设置规则（试行）》的通知”（环办执法函[2020]718号）、《入河（海）排污口命名与编码规则》（HJ 1235-2021）入河排污口标志牌设置规则如下：</w:t>
      </w:r>
    </w:p>
    <w:p w14:paraId="4918B9F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样式</w:t>
      </w:r>
    </w:p>
    <w:p w14:paraId="58497B36">
      <w:pPr>
        <w:ind w:firstLine="480"/>
        <w:rPr>
          <w:color w:val="000000" w:themeColor="text1"/>
          <w14:textFill>
            <w14:solidFill>
              <w14:schemeClr w14:val="tx1"/>
            </w14:solidFill>
          </w14:textFill>
        </w:rPr>
      </w:pPr>
      <w:r>
        <w:rPr>
          <w:color w:val="000000" w:themeColor="text1"/>
          <w14:textFill>
            <w14:solidFill>
              <w14:schemeClr w14:val="tx1"/>
            </w14:solidFill>
          </w14:textFill>
        </w:rPr>
        <w:t>分为立柱式、平面固定式和墩式，各地可根据地形、气候、水文等实际情况选择确定。</w:t>
      </w:r>
    </w:p>
    <w:p w14:paraId="1F184DA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牌面信息</w:t>
      </w:r>
    </w:p>
    <w:p w14:paraId="37A84C19">
      <w:pPr>
        <w:ind w:firstLine="480"/>
        <w:rPr>
          <w:color w:val="000000" w:themeColor="text1"/>
          <w14:textFill>
            <w14:solidFill>
              <w14:schemeClr w14:val="tx1"/>
            </w14:solidFill>
          </w14:textFill>
        </w:rPr>
      </w:pPr>
      <w:r>
        <w:rPr>
          <w:color w:val="000000" w:themeColor="text1"/>
          <w14:textFill>
            <w14:solidFill>
              <w14:schemeClr w14:val="tx1"/>
            </w14:solidFill>
          </w14:textFill>
        </w:rPr>
        <w:t>包括图形标志、文字信息和二维码，原则上按照“左图右文”的方式排列。</w:t>
      </w:r>
    </w:p>
    <w:p w14:paraId="7A6494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图形标志</w:t>
      </w:r>
    </w:p>
    <w:p w14:paraId="42F51CD4">
      <w:pPr>
        <w:ind w:firstLine="480"/>
        <w:rPr>
          <w:color w:val="000000" w:themeColor="text1"/>
          <w14:textFill>
            <w14:solidFill>
              <w14:schemeClr w14:val="tx1"/>
            </w14:solidFill>
          </w14:textFill>
        </w:rPr>
      </w:pPr>
      <w:r>
        <w:rPr>
          <w:color w:val="000000" w:themeColor="text1"/>
          <w14:textFill>
            <w14:solidFill>
              <w14:schemeClr w14:val="tx1"/>
            </w14:solidFill>
          </w14:textFill>
        </w:rPr>
        <w:t>图形标志由三部分组成：顶部为排污口门标志，中间为污水标志，底部为受纳水体及鱼形标志。</w:t>
      </w:r>
    </w:p>
    <w:p w14:paraId="519A62D0">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055495" cy="2190750"/>
            <wp:effectExtent l="0" t="0" r="190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8">
                      <a:extLst>
                        <a:ext uri="{28A0092B-C50C-407E-A947-70E740481C1C}">
                          <a14:useLocalDpi xmlns:a14="http://schemas.microsoft.com/office/drawing/2010/main" val="0"/>
                        </a:ext>
                      </a:extLst>
                    </a:blip>
                    <a:srcRect t="3661" b="2740"/>
                    <a:stretch>
                      <a:fillRect/>
                    </a:stretch>
                  </pic:blipFill>
                  <pic:spPr>
                    <a:xfrm>
                      <a:off x="0" y="0"/>
                      <a:ext cx="2055495" cy="2190750"/>
                    </a:xfrm>
                    <a:prstGeom prst="rect">
                      <a:avLst/>
                    </a:prstGeom>
                    <a:noFill/>
                    <a:ln>
                      <a:noFill/>
                    </a:ln>
                  </pic:spPr>
                </pic:pic>
              </a:graphicData>
            </a:graphic>
          </wp:inline>
        </w:drawing>
      </w:r>
    </w:p>
    <w:p w14:paraId="0820EEA5">
      <w:pPr>
        <w:ind w:firstLine="482"/>
        <w:jc w:val="center"/>
        <w:rPr>
          <w:b/>
          <w:snapToGrid/>
          <w:color w:val="000000" w:themeColor="text1"/>
          <w14:textFill>
            <w14:solidFill>
              <w14:schemeClr w14:val="tx1"/>
            </w14:solidFill>
          </w14:textFill>
        </w:rPr>
      </w:pPr>
      <w:r>
        <w:rPr>
          <w:b/>
          <w:snapToGrid/>
          <w:color w:val="000000" w:themeColor="text1"/>
          <w14:textFill>
            <w14:solidFill>
              <w14:schemeClr w14:val="tx1"/>
            </w14:solidFill>
          </w14:textFill>
        </w:rPr>
        <w:t xml:space="preserve">图 </w:t>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STYLEREF 2 \s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noBreakHyphen/>
      </w:r>
      <w:r>
        <w:rPr>
          <w:b/>
          <w:snapToGrid/>
          <w:color w:val="000000" w:themeColor="text1"/>
          <w14:textFill>
            <w14:solidFill>
              <w14:schemeClr w14:val="tx1"/>
            </w14:solidFill>
          </w14:textFill>
        </w:rPr>
        <w:fldChar w:fldCharType="begin"/>
      </w:r>
      <w:r>
        <w:rPr>
          <w:b/>
          <w:snapToGrid/>
          <w:color w:val="000000" w:themeColor="text1"/>
          <w14:textFill>
            <w14:solidFill>
              <w14:schemeClr w14:val="tx1"/>
            </w14:solidFill>
          </w14:textFill>
        </w:rPr>
        <w:instrText xml:space="preserve"> SEQ 图 \* ARABIC \s 2 </w:instrText>
      </w:r>
      <w:r>
        <w:rPr>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1</w:t>
      </w:r>
      <w:r>
        <w:rPr>
          <w:b/>
          <w:snapToGrid/>
          <w:color w:val="000000" w:themeColor="text1"/>
          <w14:textFill>
            <w14:solidFill>
              <w14:schemeClr w14:val="tx1"/>
            </w14:solidFill>
          </w14:textFill>
        </w:rPr>
        <w:fldChar w:fldCharType="end"/>
      </w:r>
      <w:r>
        <w:rPr>
          <w:b/>
          <w:snapToGrid/>
          <w:color w:val="000000" w:themeColor="text1"/>
          <w14:textFill>
            <w14:solidFill>
              <w14:schemeClr w14:val="tx1"/>
            </w14:solidFill>
          </w14:textFill>
        </w:rPr>
        <w:t xml:space="preserve">    污水排放口标志图</w:t>
      </w:r>
    </w:p>
    <w:p w14:paraId="4BD1056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文字信息</w:t>
      </w:r>
    </w:p>
    <w:p w14:paraId="1C109953">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w:t>
      </w:r>
      <w:r>
        <w:rPr>
          <w:rFonts w:cs="Times New Roman"/>
          <w:color w:val="000000" w:themeColor="text1"/>
          <w14:textFill>
            <w14:solidFill>
              <w14:schemeClr w14:val="tx1"/>
            </w14:solidFill>
          </w14:textFill>
        </w:rPr>
        <w:t>排污口类型：按《长江、黄河和渤海入海（河）排污口排查整治分类规则（试行）》中排污口分类的大类填写</w:t>
      </w:r>
      <w:r>
        <w:rPr>
          <w:rFonts w:hint="eastAsia" w:cs="Times New Roman"/>
          <w:color w:val="000000" w:themeColor="text1"/>
          <w14:textFill>
            <w14:solidFill>
              <w14:schemeClr w14:val="tx1"/>
            </w14:solidFill>
          </w14:textFill>
        </w:rPr>
        <w:t>。</w:t>
      </w:r>
    </w:p>
    <w:p w14:paraId="23921EC0">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w:t>
      </w:r>
      <w:r>
        <w:rPr>
          <w:rFonts w:cs="Times New Roman"/>
          <w:color w:val="000000" w:themeColor="text1"/>
          <w14:textFill>
            <w14:solidFill>
              <w14:schemeClr w14:val="tx1"/>
            </w14:solidFill>
          </w14:textFill>
        </w:rPr>
        <w:t>排污口名称：按《长江、黄河和渤海入海（河）排污口命名与编码规则（试行）》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54284ABE">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企事业单位作为责任主体的入河（海）排污口，按照</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行政区信息</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企事业单位名称</w:t>
      </w:r>
      <w:r>
        <w:rPr>
          <w:rFonts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入河（海）排污口类型</w:t>
      </w:r>
      <w:r>
        <w:rPr>
          <w:rFonts w:ascii="宋体" w:hAnsi="宋体" w:cs="Times New Roman"/>
          <w:snapToGrid/>
          <w:color w:val="000000" w:themeColor="text1"/>
          <w14:textFill>
            <w14:solidFill>
              <w14:schemeClr w14:val="tx1"/>
            </w14:solidFill>
          </w14:textFill>
        </w:rPr>
        <w:t>”</w:t>
      </w:r>
      <w:r>
        <w:rPr>
          <w:rFonts w:hint="eastAsia"/>
          <w:snapToGrid/>
          <w:color w:val="000000" w:themeColor="text1"/>
          <w14:textFill>
            <w14:solidFill>
              <w14:schemeClr w14:val="tx1"/>
            </w14:solidFill>
          </w14:textFill>
        </w:rPr>
        <w:t>的规则命名；</w:t>
      </w:r>
    </w:p>
    <w:p w14:paraId="58188F9F">
      <w:pPr>
        <w:ind w:firstLine="480"/>
        <w:rPr>
          <w:snapToGrid/>
          <w:color w:val="000000" w:themeColor="text1"/>
          <w14:textFill>
            <w14:solidFill>
              <w14:schemeClr w14:val="tx1"/>
            </w14:solidFill>
          </w14:textFill>
        </w:rPr>
      </w:pPr>
      <w:r>
        <w:rPr>
          <w:rFonts w:hint="eastAsia"/>
          <w:snapToGrid/>
          <w:color w:val="000000" w:themeColor="text1"/>
          <w14:textFill>
            <w14:solidFill>
              <w14:schemeClr w14:val="tx1"/>
            </w14:solidFill>
          </w14:textFill>
        </w:rPr>
        <w:t>行政区信息应包含地级市和县级行政区名称。企事业单位名称应以统一社会信用代码对应的名称为准，企事业单位名称中包含行政区信息的，命名时不予重复体现。</w:t>
      </w:r>
    </w:p>
    <w:p w14:paraId="21A6560C">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C、</w:t>
      </w:r>
      <w:r>
        <w:rPr>
          <w:rFonts w:cs="Times New Roman"/>
          <w:color w:val="000000" w:themeColor="text1"/>
          <w14:textFill>
            <w14:solidFill>
              <w14:schemeClr w14:val="tx1"/>
            </w14:solidFill>
          </w14:textFill>
        </w:rPr>
        <w:t>排污口编码：按《长江、黄河和渤海入海（河）排污口命名与编码规则（试行）》</w:t>
      </w:r>
      <w:r>
        <w:rPr>
          <w:rFonts w:hint="eastAsia" w:cs="Times New Roman"/>
          <w:color w:val="000000" w:themeColor="text1"/>
          <w14:textFill>
            <w14:solidFill>
              <w14:schemeClr w14:val="tx1"/>
            </w14:solidFill>
          </w14:textFill>
        </w:rPr>
        <w:t>及《入河（海）排污口命名与编码规则》（HJ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执行</w:t>
      </w:r>
      <w:r>
        <w:rPr>
          <w:rFonts w:hint="eastAsia" w:cs="Times New Roman"/>
          <w:color w:val="000000" w:themeColor="text1"/>
          <w14:textFill>
            <w14:solidFill>
              <w14:schemeClr w14:val="tx1"/>
            </w14:solidFill>
          </w14:textFill>
        </w:rPr>
        <w:t>。</w:t>
      </w:r>
    </w:p>
    <w:p w14:paraId="0452DCD1">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包含海区/水系代码、行政区划代码、顺序代码、</w:t>
      </w: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排污口类型代码</w:t>
      </w:r>
      <w:r>
        <w:rPr>
          <w:rFonts w:hint="eastAsia" w:cs="Times New Roman"/>
          <w:color w:val="000000" w:themeColor="text1"/>
          <w14:textFill>
            <w14:solidFill>
              <w14:schemeClr w14:val="tx1"/>
            </w14:solidFill>
          </w14:textFill>
        </w:rPr>
        <w:t>和扩展代码。</w:t>
      </w:r>
    </w:p>
    <w:p w14:paraId="715A4EB4">
      <w:pPr>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入河（海）</w:t>
      </w:r>
      <w:r>
        <w:rPr>
          <w:rFonts w:cs="Times New Roman"/>
          <w:color w:val="000000" w:themeColor="text1"/>
          <w14:textFill>
            <w14:solidFill>
              <w14:schemeClr w14:val="tx1"/>
            </w14:solidFill>
          </w14:textFill>
        </w:rPr>
        <w:t>排污口</w:t>
      </w:r>
      <w:r>
        <w:rPr>
          <w:rFonts w:hint="eastAsia" w:cs="Times New Roman"/>
          <w:color w:val="000000" w:themeColor="text1"/>
          <w14:textFill>
            <w14:solidFill>
              <w14:schemeClr w14:val="tx1"/>
            </w14:solidFill>
          </w14:textFill>
        </w:rPr>
        <w:t>编码结构如</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w:instrText>
      </w:r>
      <w:r>
        <w:rPr>
          <w:rFonts w:hint="eastAsia" w:cs="Times New Roman"/>
          <w:color w:val="000000" w:themeColor="text1"/>
          <w14:textFill>
            <w14:solidFill>
              <w14:schemeClr w14:val="tx1"/>
            </w14:solidFill>
          </w14:textFill>
        </w:rPr>
        <w:instrText xml:space="preserve">REF _Ref103935093 \h</w:instrText>
      </w:r>
      <w:r>
        <w:rPr>
          <w:rFonts w:cs="Times New Roman"/>
          <w:color w:val="000000" w:themeColor="text1"/>
          <w14:textFill>
            <w14:solidFill>
              <w14:schemeClr w14:val="tx1"/>
            </w14:solidFill>
          </w14:textFill>
        </w:rPr>
        <w:instrText xml:space="preserve">  \* MERGEFORMAT </w:instrText>
      </w:r>
      <w:r>
        <w:rPr>
          <w:rFonts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7.3</w:t>
      </w:r>
      <w:r>
        <w:rPr>
          <w:rFonts w:hint="eastAsia"/>
          <w:color w:val="000000" w:themeColor="text1"/>
          <w14:textFill>
            <w14:solidFill>
              <w14:schemeClr w14:val="tx1"/>
            </w14:solidFill>
          </w14:textFill>
        </w:rPr>
        <w:noBreakHyphen/>
      </w:r>
      <w:r>
        <w:rPr>
          <w:color w:val="000000" w:themeColor="text1"/>
          <w14:textFill>
            <w14:solidFill>
              <w14:schemeClr w14:val="tx1"/>
            </w14:solidFill>
          </w14:textFill>
        </w:rPr>
        <w:t>2</w:t>
      </w:r>
      <w:r>
        <w:rPr>
          <w:rFonts w:cs="Times New Roman"/>
          <w:color w:val="000000" w:themeColor="text1"/>
          <w14:textFill>
            <w14:solidFill>
              <w14:schemeClr w14:val="tx1"/>
            </w14:solidFill>
          </w14:textFill>
        </w:rPr>
        <w:fldChar w:fldCharType="end"/>
      </w:r>
      <w:r>
        <w:rPr>
          <w:rFonts w:hint="eastAsia" w:cs="Times New Roman"/>
          <w:color w:val="000000" w:themeColor="text1"/>
          <w14:textFill>
            <w14:solidFill>
              <w14:schemeClr w14:val="tx1"/>
            </w14:solidFill>
          </w14:textFill>
        </w:rPr>
        <w:t>所示。</w:t>
      </w:r>
    </w:p>
    <w:p w14:paraId="4EBFF737">
      <w:pPr>
        <w:widowControl/>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mc:AlternateContent>
          <mc:Choice Requires="wpg">
            <w:drawing>
              <wp:inline distT="0" distB="0" distL="0" distR="0">
                <wp:extent cx="4458970" cy="1472565"/>
                <wp:effectExtent l="0" t="0" r="0" b="0"/>
                <wp:docPr id="230" name="组合 230"/>
                <wp:cNvGraphicFramePr/>
                <a:graphic xmlns:a="http://schemas.openxmlformats.org/drawingml/2006/main">
                  <a:graphicData uri="http://schemas.microsoft.com/office/word/2010/wordprocessingGroup">
                    <wpg:wgp>
                      <wpg:cNvGrpSpPr/>
                      <wpg:grpSpPr>
                        <a:xfrm>
                          <a:off x="0" y="0"/>
                          <a:ext cx="4459072" cy="1472572"/>
                          <a:chOff x="0" y="0"/>
                          <a:chExt cx="4459072" cy="1472572"/>
                        </a:xfrm>
                      </wpg:grpSpPr>
                      <wpg:grpSp>
                        <wpg:cNvPr id="231" name="组合 231"/>
                        <wpg:cNvGrpSpPr/>
                        <wpg:grpSpPr>
                          <a:xfrm>
                            <a:off x="0" y="0"/>
                            <a:ext cx="4459072" cy="1472572"/>
                            <a:chOff x="0" y="0"/>
                            <a:chExt cx="4459492" cy="1472769"/>
                          </a:xfrm>
                        </wpg:grpSpPr>
                        <wpg:grpSp>
                          <wpg:cNvPr id="232" name="组合 232"/>
                          <wpg:cNvGrpSpPr/>
                          <wpg:grpSpPr>
                            <a:xfrm>
                              <a:off x="0" y="0"/>
                              <a:ext cx="4459492" cy="1335603"/>
                              <a:chOff x="0" y="0"/>
                              <a:chExt cx="4459492" cy="1335603"/>
                            </a:xfrm>
                          </wpg:grpSpPr>
                          <wps:wsp>
                            <wps:cNvPr id="233" name="文本框 2"/>
                            <wps:cNvSpPr txBox="1">
                              <a:spLocks noChangeArrowheads="1"/>
                            </wps:cNvSpPr>
                            <wps:spPr bwMode="auto">
                              <a:xfrm>
                                <a:off x="2251390" y="500320"/>
                                <a:ext cx="2208102" cy="273720"/>
                              </a:xfrm>
                              <a:prstGeom prst="rect">
                                <a:avLst/>
                              </a:prstGeom>
                              <a:noFill/>
                              <a:ln w="9525">
                                <a:noFill/>
                                <a:miter lim="800000"/>
                              </a:ln>
                            </wps:spPr>
                            <wps:txbx>
                              <w:txbxContent>
                                <w:p w14:paraId="76C95189">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wps:txbx>
                            <wps:bodyPr rot="0" vert="horz" wrap="square" lIns="91440" tIns="45720" rIns="91440" bIns="45720" anchor="t" anchorCtr="0">
                              <a:spAutoFit/>
                            </wps:bodyPr>
                          </wps:wsp>
                          <wpg:grpSp>
                            <wpg:cNvPr id="234" name="组合 234"/>
                            <wpg:cNvGrpSpPr/>
                            <wpg:grpSpPr>
                              <a:xfrm>
                                <a:off x="0" y="0"/>
                                <a:ext cx="4450815" cy="1335603"/>
                                <a:chOff x="0" y="0"/>
                                <a:chExt cx="4450815" cy="1335603"/>
                              </a:xfrm>
                            </wpg:grpSpPr>
                            <wps:wsp>
                              <wps:cNvPr id="235" name="文本框 2"/>
                              <wps:cNvSpPr txBox="1">
                                <a:spLocks noChangeArrowheads="1"/>
                              </wps:cNvSpPr>
                              <wps:spPr bwMode="auto">
                                <a:xfrm>
                                  <a:off x="0" y="0"/>
                                  <a:ext cx="2208102" cy="254033"/>
                                </a:xfrm>
                                <a:prstGeom prst="rect">
                                  <a:avLst/>
                                </a:prstGeom>
                                <a:noFill/>
                                <a:ln w="9525">
                                  <a:noFill/>
                                  <a:miter lim="800000"/>
                                </a:ln>
                              </wps:spPr>
                              <wps:txbx>
                                <w:txbxContent>
                                  <w:p w14:paraId="6B1A233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wps:txbx>
                              <wps:bodyPr rot="0" vert="horz" wrap="square" lIns="91440" tIns="45720" rIns="91440" bIns="45720" anchor="t" anchorCtr="0">
                                <a:spAutoFit/>
                              </wps:bodyPr>
                            </wps:wsp>
                            <wps:wsp>
                              <wps:cNvPr id="236" name="连接符: 肘形 54"/>
                              <wps:cNvCnPr/>
                              <wps:spPr>
                                <a:xfrm>
                                  <a:off x="215661" y="207034"/>
                                  <a:ext cx="2027207" cy="1128569"/>
                                </a:xfrm>
                                <a:prstGeom prst="bentConnector3">
                                  <a:avLst>
                                    <a:gd name="adj1" fmla="val 208"/>
                                  </a:avLst>
                                </a:prstGeom>
                                <a:noFill/>
                                <a:ln w="6350" cap="flat" cmpd="sng" algn="ctr">
                                  <a:solidFill>
                                    <a:sysClr val="windowText" lastClr="000000"/>
                                  </a:solidFill>
                                  <a:prstDash val="solid"/>
                                  <a:miter lim="800000"/>
                                  <a:tailEnd type="triangle"/>
                                </a:ln>
                                <a:effectLst/>
                              </wps:spPr>
                              <wps:bodyPr/>
                            </wps:wsp>
                            <wps:wsp>
                              <wps:cNvPr id="237" name="连接符: 肘形 55"/>
                              <wps:cNvCnPr/>
                              <wps:spPr>
                                <a:xfrm>
                                  <a:off x="655608" y="207034"/>
                                  <a:ext cx="1587260" cy="887024"/>
                                </a:xfrm>
                                <a:prstGeom prst="bentConnector3">
                                  <a:avLst>
                                    <a:gd name="adj1" fmla="val -5"/>
                                  </a:avLst>
                                </a:prstGeom>
                                <a:noFill/>
                                <a:ln w="6350" cap="flat" cmpd="sng" algn="ctr">
                                  <a:solidFill>
                                    <a:sysClr val="windowText" lastClr="000000"/>
                                  </a:solidFill>
                                  <a:prstDash val="solid"/>
                                  <a:miter lim="800000"/>
                                  <a:tailEnd type="triangle"/>
                                </a:ln>
                                <a:effectLst/>
                              </wps:spPr>
                              <wps:bodyPr/>
                            </wps:wsp>
                            <wps:wsp>
                              <wps:cNvPr id="238" name="文本框 2"/>
                              <wps:cNvSpPr txBox="1">
                                <a:spLocks noChangeArrowheads="1"/>
                              </wps:cNvSpPr>
                              <wps:spPr bwMode="auto">
                                <a:xfrm>
                                  <a:off x="2234087" y="267412"/>
                                  <a:ext cx="2208102" cy="273720"/>
                                </a:xfrm>
                                <a:prstGeom prst="rect">
                                  <a:avLst/>
                                </a:prstGeom>
                                <a:noFill/>
                                <a:ln w="9525">
                                  <a:noFill/>
                                  <a:miter lim="800000"/>
                                </a:ln>
                              </wps:spPr>
                              <wps:txbx>
                                <w:txbxContent>
                                  <w:p w14:paraId="67D54311">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wps:txbx>
                              <wps:bodyPr rot="0" vert="horz" wrap="square" lIns="91440" tIns="45720" rIns="91440" bIns="45720" anchor="t" anchorCtr="0">
                                <a:spAutoFit/>
                              </wps:bodyPr>
                            </wps:wsp>
                            <wps:wsp>
                              <wps:cNvPr id="239" name="连接符: 肘形 60"/>
                              <wps:cNvCnPr/>
                              <wps:spPr>
                                <a:xfrm>
                                  <a:off x="1716657" y="207034"/>
                                  <a:ext cx="517586" cy="196909"/>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wps:wsp>
                              <wps:cNvPr id="240" name="文本框 2"/>
                              <wps:cNvSpPr txBox="1">
                                <a:spLocks noChangeArrowheads="1"/>
                              </wps:cNvSpPr>
                              <wps:spPr bwMode="auto">
                                <a:xfrm>
                                  <a:off x="2242713" y="724601"/>
                                  <a:ext cx="2208102" cy="273720"/>
                                </a:xfrm>
                                <a:prstGeom prst="rect">
                                  <a:avLst/>
                                </a:prstGeom>
                                <a:noFill/>
                                <a:ln w="9525">
                                  <a:noFill/>
                                  <a:miter lim="800000"/>
                                </a:ln>
                              </wps:spPr>
                              <wps:txbx>
                                <w:txbxContent>
                                  <w:p w14:paraId="74451F8F">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wps:txbx>
                              <wps:bodyPr rot="0" vert="horz" wrap="square" lIns="91440" tIns="45720" rIns="91440" bIns="45720" anchor="t" anchorCtr="0">
                                <a:spAutoFit/>
                              </wps:bodyPr>
                            </wps:wsp>
                            <wps:wsp>
                              <wps:cNvPr id="241" name="文本框 2"/>
                              <wps:cNvSpPr txBox="1">
                                <a:spLocks noChangeArrowheads="1"/>
                              </wps:cNvSpPr>
                              <wps:spPr bwMode="auto">
                                <a:xfrm>
                                  <a:off x="2242713" y="957509"/>
                                  <a:ext cx="2208102" cy="273720"/>
                                </a:xfrm>
                                <a:prstGeom prst="rect">
                                  <a:avLst/>
                                </a:prstGeom>
                                <a:noFill/>
                                <a:ln w="9525">
                                  <a:noFill/>
                                  <a:miter lim="800000"/>
                                </a:ln>
                              </wps:spPr>
                              <wps:txbx>
                                <w:txbxContent>
                                  <w:p w14:paraId="1A13465A">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wps:txbx>
                              <wps:bodyPr rot="0" vert="horz" wrap="square" lIns="91440" tIns="45720" rIns="91440" bIns="45720" anchor="t" anchorCtr="0">
                                <a:spAutoFit/>
                              </wps:bodyPr>
                            </wps:wsp>
                          </wpg:grpSp>
                        </wpg:grpSp>
                        <wps:wsp>
                          <wps:cNvPr id="242" name="文本框 2"/>
                          <wps:cNvSpPr txBox="1">
                            <a:spLocks noChangeArrowheads="1"/>
                          </wps:cNvSpPr>
                          <wps:spPr bwMode="auto">
                            <a:xfrm>
                              <a:off x="2242713" y="1199048"/>
                              <a:ext cx="2208102" cy="273721"/>
                            </a:xfrm>
                            <a:prstGeom prst="rect">
                              <a:avLst/>
                            </a:prstGeom>
                            <a:noFill/>
                            <a:ln w="9525">
                              <a:noFill/>
                              <a:miter lim="800000"/>
                            </a:ln>
                          </wps:spPr>
                          <wps:txbx>
                            <w:txbxContent>
                              <w:p w14:paraId="34FD8713">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wps:txbx>
                          <wps:bodyPr rot="0" vert="horz" wrap="square" lIns="91440" tIns="45720" rIns="91440" bIns="45720" anchor="t" anchorCtr="0">
                            <a:spAutoFit/>
                          </wps:bodyPr>
                        </wps:wsp>
                      </wpg:grpSp>
                      <wps:wsp>
                        <wps:cNvPr id="243" name="连接符: 肘形 357"/>
                        <wps:cNvCnPr/>
                        <wps:spPr>
                          <a:xfrm>
                            <a:off x="1449237" y="215660"/>
                            <a:ext cx="784561" cy="422275"/>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s:wsp>
                        <wps:cNvPr id="244" name="连接符: 肘形 358"/>
                        <wps:cNvCnPr/>
                        <wps:spPr>
                          <a:xfrm>
                            <a:off x="1147313" y="207034"/>
                            <a:ext cx="1086719" cy="672860"/>
                          </a:xfrm>
                          <a:prstGeom prst="bentConnector3">
                            <a:avLst>
                              <a:gd name="adj1" fmla="val 114"/>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id="_x0000_s1026" o:spid="_x0000_s1026" o:spt="203" style="height:115.95pt;width:351.1pt;" coordsize="4459072,1472572" o:gfxdata="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C3/ith1gAAAAUBAAAP&#10;AAAAAAAAAAEAIAAAACIAAABkcnMvZG93bnJldi54bWxQSwECFAAUAAAACACHTuJAWnC7VnEFAACI&#10;IAAADgAAAAAAAAABACAAAAAlAQAAZHJzL2Uyb0RvYy54bWxQSwUGAAAAAAYABgBZAQAACAkAAAAA&#10;">
                <o:lock v:ext="edit" aspectratio="f"/>
                <v:group id="_x0000_s1026" o:spid="_x0000_s1026" o:spt="203" style="position:absolute;left:0;top:0;height:1472572;width:4459072;" coordsize="4459492,147276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35603;width:4459492;" coordsize="4459492,1335603"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2251390;top:500320;height:273720;width:2208102;" filled="f" stroked="f" coordsize="21600,21600" o:gfxdata="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RgM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76C95189">
                            <w:pPr>
                              <w:spacing w:line="240" w:lineRule="auto"/>
                              <w:ind w:firstLine="0" w:firstLineChars="0"/>
                              <w:rPr>
                                <w:sz w:val="21"/>
                                <w:szCs w:val="21"/>
                              </w:rPr>
                            </w:pPr>
                            <w:r>
                              <w:rPr>
                                <w:sz w:val="21"/>
                                <w:szCs w:val="21"/>
                              </w:rPr>
                              <w:t>2位</w:t>
                            </w:r>
                            <w:r>
                              <w:rPr>
                                <w:rFonts w:hint="eastAsia"/>
                                <w:sz w:val="21"/>
                                <w:szCs w:val="21"/>
                              </w:rPr>
                              <w:t xml:space="preserve"> 入河（海）</w:t>
                            </w:r>
                            <w:r>
                              <w:rPr>
                                <w:sz w:val="21"/>
                                <w:szCs w:val="21"/>
                              </w:rPr>
                              <w:t>排污口类型代码</w:t>
                            </w:r>
                          </w:p>
                        </w:txbxContent>
                      </v:textbox>
                    </v:shape>
                    <v:group id="_x0000_s1026" o:spid="_x0000_s1026" o:spt="203" style="position:absolute;left:0;top:0;height:1335603;width:4450815;" coordsize="4450815,1335603"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0;top:0;height:254033;width:2208102;" filled="f" stroked="f" coordsize="21600,21600" o:gfxdata="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0vS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6B1A2337">
                              <w:pPr>
                                <w:spacing w:line="240" w:lineRule="auto"/>
                                <w:ind w:firstLine="0" w:firstLineChars="0"/>
                                <w:rPr>
                                  <w:sz w:val="21"/>
                                  <w:szCs w:val="21"/>
                                </w:rPr>
                              </w:pPr>
                              <w:r>
                                <w:rPr>
                                  <w:sz w:val="21"/>
                                  <w:szCs w:val="21"/>
                                  <w:u w:val="single"/>
                                </w:rPr>
                                <w:t>XX</w:t>
                              </w:r>
                              <w:r>
                                <w:rPr>
                                  <w:sz w:val="21"/>
                                  <w:szCs w:val="21"/>
                                </w:rPr>
                                <w:t>-</w:t>
                              </w:r>
                              <w:r>
                                <w:rPr>
                                  <w:sz w:val="21"/>
                                  <w:szCs w:val="21"/>
                                  <w:u w:val="single"/>
                                </w:rPr>
                                <w:t>XXXXXX</w:t>
                              </w:r>
                              <w:r>
                                <w:rPr>
                                  <w:sz w:val="21"/>
                                  <w:szCs w:val="21"/>
                                </w:rPr>
                                <w:t>-</w:t>
                              </w:r>
                              <w:r>
                                <w:rPr>
                                  <w:sz w:val="21"/>
                                  <w:szCs w:val="21"/>
                                  <w:u w:val="single"/>
                                </w:rPr>
                                <w:t>XXXX</w:t>
                              </w:r>
                              <w:r>
                                <w:rPr>
                                  <w:sz w:val="21"/>
                                  <w:szCs w:val="21"/>
                                </w:rPr>
                                <w:t>-</w:t>
                              </w:r>
                              <w:r>
                                <w:rPr>
                                  <w:sz w:val="21"/>
                                  <w:szCs w:val="21"/>
                                  <w:u w:val="single"/>
                                </w:rPr>
                                <w:t>XX</w:t>
                              </w:r>
                              <w:r>
                                <w:rPr>
                                  <w:sz w:val="21"/>
                                  <w:szCs w:val="21"/>
                                </w:rPr>
                                <w:t>-</w:t>
                              </w:r>
                              <w:r>
                                <w:rPr>
                                  <w:sz w:val="21"/>
                                  <w:szCs w:val="21"/>
                                  <w:u w:val="single"/>
                                </w:rPr>
                                <w:t>XX</w:t>
                              </w:r>
                            </w:p>
                          </w:txbxContent>
                        </v:textbox>
                      </v:shape>
                      <v:shape id="连接符: 肘形 54" o:spid="_x0000_s1026" o:spt="34" type="#_x0000_t34" style="position:absolute;left:215661;top:207034;height:1128569;width:2027207;" filled="f" stroked="t" coordsize="21600,21600" o:gfxdata="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HbEi/&#10;AAAA3AAAAA8AAAAAAAAAAQAgAAAAIgAAAGRycy9kb3ducmV2LnhtbFBLAQIUABQAAAAIAIdO4kAz&#10;LwWeOwAAADkAAAAQAAAAAAAAAAEAIAAAAA4BAABkcnMvc2hhcGV4bWwueG1sUEsFBgAAAAAGAAYA&#10;WwEAALgDAAAAAA==&#10;" adj="45">
                        <v:fill on="f" focussize="0,0"/>
                        <v:stroke weight="0.5pt" color="#000000" miterlimit="8" joinstyle="miter" endarrow="block"/>
                        <v:imagedata o:title=""/>
                        <o:lock v:ext="edit" aspectratio="f"/>
                      </v:shape>
                      <v:shape id="连接符: 肘形 55" o:spid="_x0000_s1026" o:spt="34" type="#_x0000_t34" style="position:absolute;left:655608;top:207034;height:887024;width:1587260;" filled="f" stroked="t" coordsize="21600,21600" o:gfxdata="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DFr&#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34087;top:267412;height:273720;width:2208102;" filled="f" stroked="f" coordsize="21600,21600" o:gfxdata="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1ErO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67D54311">
                              <w:pPr>
                                <w:spacing w:line="240" w:lineRule="auto"/>
                                <w:ind w:firstLine="0" w:firstLineChars="0"/>
                                <w:rPr>
                                  <w:sz w:val="21"/>
                                  <w:szCs w:val="21"/>
                                </w:rPr>
                              </w:pPr>
                              <w:r>
                                <w:rPr>
                                  <w:sz w:val="21"/>
                                  <w:szCs w:val="21"/>
                                </w:rPr>
                                <w:t>2位</w:t>
                              </w:r>
                              <w:r>
                                <w:rPr>
                                  <w:rFonts w:hint="eastAsia"/>
                                  <w:sz w:val="21"/>
                                  <w:szCs w:val="21"/>
                                </w:rPr>
                                <w:t xml:space="preserve"> </w:t>
                              </w:r>
                              <w:r>
                                <w:rPr>
                                  <w:sz w:val="21"/>
                                  <w:szCs w:val="21"/>
                                </w:rPr>
                                <w:t>扩展代码</w:t>
                              </w:r>
                            </w:p>
                          </w:txbxContent>
                        </v:textbox>
                      </v:shape>
                      <v:shape id="连接符: 肘形 60" o:spid="_x0000_s1026" o:spt="34" type="#_x0000_t34" style="position:absolute;left:1716657;top:207034;height:196909;width:517586;" filled="f" stroked="t" coordsize="21600,21600" o:gfxdata="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wCC&#10;wAAAANwAAAAPAAAAAAAAAAEAIAAAACIAAABkcnMvZG93bnJldi54bWxQSwECFAAUAAAACACHTuJA&#10;My8FnjsAAAA5AAAAEAAAAAAAAAABACAAAAAPAQAAZHJzL3NoYXBleG1sLnhtbFBLBQYAAAAABgAG&#10;AFsBAAC5AwAAAAA=&#10;" adj="-1">
                        <v:fill on="f" focussize="0,0"/>
                        <v:stroke weight="0.5pt" color="#000000" miterlimit="8" joinstyle="miter" endarrow="block"/>
                        <v:imagedata o:title=""/>
                        <o:lock v:ext="edit" aspectratio="f"/>
                      </v:shape>
                      <v:shape id="文本框 2" o:spid="_x0000_s1026" o:spt="202" type="#_x0000_t202" style="position:absolute;left:2242713;top:724601;height:273720;width:2208102;" filled="f" stroked="f" coordsize="21600,21600" o:gfxdata="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Fbci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14:paraId="74451F8F">
                              <w:pPr>
                                <w:spacing w:line="240" w:lineRule="auto"/>
                                <w:ind w:firstLine="0" w:firstLineChars="0"/>
                                <w:rPr>
                                  <w:sz w:val="21"/>
                                  <w:szCs w:val="21"/>
                                </w:rPr>
                              </w:pPr>
                              <w:r>
                                <w:rPr>
                                  <w:sz w:val="21"/>
                                  <w:szCs w:val="21"/>
                                </w:rPr>
                                <w:t>4位</w:t>
                              </w:r>
                              <w:r>
                                <w:rPr>
                                  <w:rFonts w:hint="eastAsia"/>
                                  <w:sz w:val="21"/>
                                  <w:szCs w:val="21"/>
                                </w:rPr>
                                <w:t xml:space="preserve"> 顺序</w:t>
                              </w:r>
                              <w:r>
                                <w:rPr>
                                  <w:sz w:val="21"/>
                                  <w:szCs w:val="21"/>
                                </w:rPr>
                                <w:t>代码</w:t>
                              </w:r>
                            </w:p>
                          </w:txbxContent>
                        </v:textbox>
                      </v:shape>
                      <v:shape id="文本框 2" o:spid="_x0000_s1026" o:spt="202" type="#_x0000_t202" style="position:absolute;left:2242713;top:957509;height:273720;width:2208102;" filled="f" stroked="f" coordsize="21600,21600" o:gfxdata="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JyFO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1A13465A">
                              <w:pPr>
                                <w:spacing w:line="240" w:lineRule="auto"/>
                                <w:ind w:firstLine="0" w:firstLineChars="0"/>
                                <w:rPr>
                                  <w:sz w:val="21"/>
                                  <w:szCs w:val="21"/>
                                </w:rPr>
                              </w:pPr>
                              <w:r>
                                <w:rPr>
                                  <w:sz w:val="21"/>
                                  <w:szCs w:val="21"/>
                                </w:rPr>
                                <w:t>6位</w:t>
                              </w:r>
                              <w:r>
                                <w:rPr>
                                  <w:rFonts w:hint="eastAsia"/>
                                  <w:sz w:val="21"/>
                                  <w:szCs w:val="21"/>
                                </w:rPr>
                                <w:t xml:space="preserve"> 行政区划</w:t>
                              </w:r>
                              <w:r>
                                <w:rPr>
                                  <w:sz w:val="21"/>
                                  <w:szCs w:val="21"/>
                                </w:rPr>
                                <w:t>代码</w:t>
                              </w:r>
                            </w:p>
                          </w:txbxContent>
                        </v:textbox>
                      </v:shape>
                    </v:group>
                  </v:group>
                  <v:shape id="文本框 2" o:spid="_x0000_s1026" o:spt="202" type="#_x0000_t202" style="position:absolute;left:2242713;top:1199048;height:273721;width:2208102;" filled="f" stroked="f" coordsize="21600,21600" o:gfxdata="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i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14:paraId="34FD8713">
                          <w:pPr>
                            <w:spacing w:line="240" w:lineRule="auto"/>
                            <w:ind w:firstLine="0" w:firstLineChars="0"/>
                            <w:rPr>
                              <w:sz w:val="21"/>
                              <w:szCs w:val="21"/>
                            </w:rPr>
                          </w:pPr>
                          <w:r>
                            <w:rPr>
                              <w:sz w:val="21"/>
                              <w:szCs w:val="21"/>
                            </w:rPr>
                            <w:t>2位</w:t>
                          </w:r>
                          <w:r>
                            <w:rPr>
                              <w:rFonts w:hint="eastAsia"/>
                              <w:sz w:val="21"/>
                              <w:szCs w:val="21"/>
                            </w:rPr>
                            <w:t xml:space="preserve"> 水系/</w:t>
                          </w:r>
                          <w:r>
                            <w:rPr>
                              <w:sz w:val="21"/>
                              <w:szCs w:val="21"/>
                            </w:rPr>
                            <w:t>海区</w:t>
                          </w:r>
                          <w:r>
                            <w:rPr>
                              <w:rFonts w:hint="eastAsia"/>
                              <w:sz w:val="21"/>
                              <w:szCs w:val="21"/>
                            </w:rPr>
                            <w:t>代</w:t>
                          </w:r>
                          <w:r>
                            <w:rPr>
                              <w:sz w:val="21"/>
                              <w:szCs w:val="21"/>
                            </w:rPr>
                            <w:t>码</w:t>
                          </w:r>
                        </w:p>
                      </w:txbxContent>
                    </v:textbox>
                  </v:shape>
                </v:group>
                <v:shape id="连接符: 肘形 357" o:spid="_x0000_s1026" o:spt="34" type="#_x0000_t34" style="position:absolute;left:1449237;top:215660;height:422275;width:784561;" filled="f" stroked="t" coordsize="21600,21600" o:gfxdata="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qak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v:shape id="连接符: 肘形 358" o:spid="_x0000_s1026" o:spt="34" type="#_x0000_t34" style="position:absolute;left:1147313;top:207034;height:672860;width:1086719;" filled="f" stroked="t" coordsize="21600,21600" o:gfxdata="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z7QvQAA&#10;ANwAAAAPAAAAAAAAAAEAIAAAACIAAABkcnMvZG93bnJldi54bWxQSwECFAAUAAAACACHTuJAMy8F&#10;njsAAAA5AAAAEAAAAAAAAAABACAAAAAMAQAAZHJzL3NoYXBleG1sLnhtbFBLBQYAAAAABgAGAFsB&#10;AAC2AwAAAAA=&#10;" adj="25">
                  <v:fill on="f" focussize="0,0"/>
                  <v:stroke weight="0.5pt" color="#000000" miterlimit="8" joinstyle="miter" endarrow="block"/>
                  <v:imagedata o:title=""/>
                  <o:lock v:ext="edit" aspectratio="f"/>
                </v:shape>
                <w10:wrap type="none"/>
                <w10:anchorlock/>
              </v:group>
            </w:pict>
          </mc:Fallback>
        </mc:AlternateContent>
      </w:r>
    </w:p>
    <w:p w14:paraId="5B39B65A">
      <w:pPr>
        <w:ind w:firstLine="482"/>
        <w:jc w:val="center"/>
        <w:rPr>
          <w:b/>
          <w:snapToGrid/>
          <w:color w:val="000000" w:themeColor="text1"/>
          <w14:textFill>
            <w14:solidFill>
              <w14:schemeClr w14:val="tx1"/>
            </w14:solidFill>
          </w14:textFill>
        </w:rPr>
      </w:pPr>
      <w:bookmarkStart w:id="74" w:name="_Ref103935093"/>
      <w:r>
        <w:rPr>
          <w:rFonts w:hint="eastAsia"/>
          <w:b/>
          <w:snapToGrid/>
          <w:color w:val="000000" w:themeColor="text1"/>
          <w14:textFill>
            <w14:solidFill>
              <w14:schemeClr w14:val="tx1"/>
            </w14:solidFill>
          </w14:textFill>
        </w:rPr>
        <w:t xml:space="preserve">图 </w:t>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STYLEREF 2 \s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7.3</w:t>
      </w:r>
      <w:r>
        <w:rPr>
          <w:rFonts w:hint="eastAsia"/>
          <w:b/>
          <w:snapToGrid/>
          <w:color w:val="000000" w:themeColor="text1"/>
          <w14:textFill>
            <w14:solidFill>
              <w14:schemeClr w14:val="tx1"/>
            </w14:solidFill>
          </w14:textFill>
        </w:rPr>
        <w:fldChar w:fldCharType="end"/>
      </w:r>
      <w:r>
        <w:rPr>
          <w:rFonts w:hint="eastAsia"/>
          <w:b/>
          <w:snapToGrid/>
          <w:color w:val="000000" w:themeColor="text1"/>
          <w14:textFill>
            <w14:solidFill>
              <w14:schemeClr w14:val="tx1"/>
            </w14:solidFill>
          </w14:textFill>
        </w:rPr>
        <w:noBreakHyphen/>
      </w:r>
      <w:r>
        <w:rPr>
          <w:rFonts w:hint="eastAsia"/>
          <w:b/>
          <w:snapToGrid/>
          <w:color w:val="000000" w:themeColor="text1"/>
          <w14:textFill>
            <w14:solidFill>
              <w14:schemeClr w14:val="tx1"/>
            </w14:solidFill>
          </w14:textFill>
        </w:rPr>
        <w:fldChar w:fldCharType="begin"/>
      </w:r>
      <w:r>
        <w:rPr>
          <w:rFonts w:hint="eastAsia"/>
          <w:b/>
          <w:snapToGrid/>
          <w:color w:val="000000" w:themeColor="text1"/>
          <w14:textFill>
            <w14:solidFill>
              <w14:schemeClr w14:val="tx1"/>
            </w14:solidFill>
          </w14:textFill>
        </w:rPr>
        <w:instrText xml:space="preserve"> SEQ 图 \* ARABIC \s 2 </w:instrText>
      </w:r>
      <w:r>
        <w:rPr>
          <w:rFonts w:hint="eastAsia"/>
          <w:b/>
          <w:snapToGrid/>
          <w:color w:val="000000" w:themeColor="text1"/>
          <w14:textFill>
            <w14:solidFill>
              <w14:schemeClr w14:val="tx1"/>
            </w14:solidFill>
          </w14:textFill>
        </w:rPr>
        <w:fldChar w:fldCharType="separate"/>
      </w:r>
      <w:r>
        <w:rPr>
          <w:b/>
          <w:snapToGrid/>
          <w:color w:val="000000" w:themeColor="text1"/>
          <w14:textFill>
            <w14:solidFill>
              <w14:schemeClr w14:val="tx1"/>
            </w14:solidFill>
          </w14:textFill>
        </w:rPr>
        <w:t>2</w:t>
      </w:r>
      <w:r>
        <w:rPr>
          <w:rFonts w:hint="eastAsia"/>
          <w:b/>
          <w:snapToGrid/>
          <w:color w:val="000000" w:themeColor="text1"/>
          <w14:textFill>
            <w14:solidFill>
              <w14:schemeClr w14:val="tx1"/>
            </w14:solidFill>
          </w14:textFill>
        </w:rPr>
        <w:fldChar w:fldCharType="end"/>
      </w:r>
      <w:bookmarkEnd w:id="74"/>
      <w:r>
        <w:rPr>
          <w:b/>
          <w:snapToGrid/>
          <w:color w:val="000000" w:themeColor="text1"/>
          <w14:textFill>
            <w14:solidFill>
              <w14:schemeClr w14:val="tx1"/>
            </w14:solidFill>
          </w14:textFill>
        </w:rPr>
        <w:t xml:space="preserve">    </w:t>
      </w:r>
      <w:r>
        <w:rPr>
          <w:rFonts w:hint="eastAsia"/>
          <w:b/>
          <w:snapToGrid/>
          <w:color w:val="000000" w:themeColor="text1"/>
          <w14:textFill>
            <w14:solidFill>
              <w14:schemeClr w14:val="tx1"/>
            </w14:solidFill>
          </w14:textFill>
        </w:rPr>
        <w:t>入河（海）排污口编码结构示意图</w:t>
      </w:r>
    </w:p>
    <w:p w14:paraId="04F24137">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编码规则见</w:t>
      </w:r>
      <w:r>
        <w:rPr>
          <w:rFonts w:hint="eastAsia" w:cs="Times New Roman"/>
          <w:color w:val="000000" w:themeColor="text1"/>
          <w14:textFill>
            <w14:solidFill>
              <w14:schemeClr w14:val="tx1"/>
            </w14:solidFill>
          </w14:textFill>
        </w:rPr>
        <w:t>《入河（海）排污口命名与编码规则》（HJ</w:t>
      </w:r>
      <w:r>
        <w:rPr>
          <w:rFonts w:cs="Times New Roman"/>
          <w:color w:val="000000" w:themeColor="text1"/>
          <w14:textFill>
            <w14:solidFill>
              <w14:schemeClr w14:val="tx1"/>
            </w14:solidFill>
          </w14:textFill>
        </w:rPr>
        <w:t xml:space="preserve"> 1235-2021</w:t>
      </w:r>
      <w:r>
        <w:rPr>
          <w:rFonts w:hint="eastAsia" w:cs="Times New Roman"/>
          <w:color w:val="000000" w:themeColor="text1"/>
          <w14:textFill>
            <w14:solidFill>
              <w14:schemeClr w14:val="tx1"/>
            </w14:solidFill>
          </w14:textFill>
        </w:rPr>
        <w:t>）相关规定。</w:t>
      </w:r>
    </w:p>
    <w:p w14:paraId="0FF1841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排污口责任主体</w:t>
      </w:r>
      <w:r>
        <w:rPr>
          <w:rFonts w:hint="eastAsia"/>
          <w:color w:val="000000" w:themeColor="text1"/>
          <w14:textFill>
            <w14:solidFill>
              <w14:schemeClr w14:val="tx1"/>
            </w14:solidFill>
          </w14:textFill>
        </w:rPr>
        <w:t>。</w:t>
      </w:r>
    </w:p>
    <w:p w14:paraId="6D1FC0FE">
      <w:pPr>
        <w:ind w:firstLine="480"/>
        <w:rPr>
          <w:color w:val="000000" w:themeColor="text1"/>
          <w14:textFill>
            <w14:solidFill>
              <w14:schemeClr w14:val="tx1"/>
            </w14:solidFill>
          </w14:textFill>
        </w:rPr>
      </w:pP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监管主体和监督电话。</w:t>
      </w:r>
    </w:p>
    <w:p w14:paraId="5B8237C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各地可视情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增加其他信息，如排污口执行的排放标准、排水去向、所在水系示意图等。</w:t>
      </w:r>
    </w:p>
    <w:p w14:paraId="54437D6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二维码</w:t>
      </w:r>
    </w:p>
    <w:p w14:paraId="050ED2EB">
      <w:pPr>
        <w:ind w:firstLine="480"/>
        <w:rPr>
          <w:color w:val="000000" w:themeColor="text1"/>
          <w14:textFill>
            <w14:solidFill>
              <w14:schemeClr w14:val="tx1"/>
            </w14:solidFill>
          </w14:textFill>
        </w:rPr>
      </w:pPr>
      <w:r>
        <w:rPr>
          <w:color w:val="000000" w:themeColor="text1"/>
          <w14:textFill>
            <w14:solidFill>
              <w14:schemeClr w14:val="tx1"/>
            </w14:solidFill>
          </w14:textFill>
        </w:rPr>
        <w:t>二维码应关联排污口详细信息，包括：牌面上所有信息，以及经纬度、详细地址、排水去向和排放要求。其中，排放要求可为排放标准或管理要求。各地可增加污水监测数据、受纳水体的水质目标及水质现状、所在水系示意图等信息。</w:t>
      </w:r>
    </w:p>
    <w:p w14:paraId="556D8D9B">
      <w:pPr>
        <w:ind w:firstLine="480"/>
        <w:rPr>
          <w:color w:val="000000" w:themeColor="text1"/>
          <w14:textFill>
            <w14:solidFill>
              <w14:schemeClr w14:val="tx1"/>
            </w14:solidFill>
          </w14:textFill>
        </w:rPr>
      </w:pPr>
      <w:r>
        <w:rPr>
          <w:color w:val="000000" w:themeColor="text1"/>
          <w14:textFill>
            <w14:solidFill>
              <w14:schemeClr w14:val="tx1"/>
            </w14:solidFill>
          </w14:textFill>
        </w:rPr>
        <w:t>鼓励各地开发二维码举报投诉功能，具备拍照上传功能并与地方有关网络举报平台关联，便于公众在发现排污口排水水色异常、气味异常或排入水体附近出现死鱼等情况时，及时通过二维码反映情况。</w:t>
      </w:r>
    </w:p>
    <w:p w14:paraId="1096F0A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材料</w:t>
      </w:r>
    </w:p>
    <w:p w14:paraId="30C10E39">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14:paraId="5511ED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颜色</w:t>
      </w:r>
    </w:p>
    <w:p w14:paraId="41C03BCB">
      <w:pPr>
        <w:ind w:firstLine="480"/>
        <w:rPr>
          <w:color w:val="000000" w:themeColor="text1"/>
          <w14:textFill>
            <w14:solidFill>
              <w14:schemeClr w14:val="tx1"/>
            </w14:solidFill>
          </w14:textFill>
        </w:rPr>
      </w:pPr>
      <w:r>
        <w:rPr>
          <w:color w:val="000000" w:themeColor="text1"/>
          <w14:textFill>
            <w14:solidFill>
              <w14:schemeClr w14:val="tx1"/>
            </w14:solidFill>
          </w14:textFill>
        </w:rPr>
        <w:t>立柱式和平面固定式标志牌面颜色可选用蓝色、绿色（参考色样可查询发布文件)，图形标志和文字可选用白色。</w:t>
      </w:r>
    </w:p>
    <w:p w14:paraId="6FB67D19">
      <w:pPr>
        <w:ind w:firstLine="480"/>
        <w:rPr>
          <w:color w:val="000000" w:themeColor="text1"/>
          <w14:textFill>
            <w14:solidFill>
              <w14:schemeClr w14:val="tx1"/>
            </w14:solidFill>
          </w14:textFill>
        </w:rPr>
      </w:pPr>
      <w:r>
        <w:rPr>
          <w:color w:val="000000" w:themeColor="text1"/>
          <w14:textFill>
            <w14:solidFill>
              <w14:schemeClr w14:val="tx1"/>
            </w14:solidFill>
          </w14:textFill>
        </w:rPr>
        <w:t>墩式标志牌面可选用材料原色，图形标志和文字颜色可根据实际情况确定。</w:t>
      </w:r>
    </w:p>
    <w:p w14:paraId="1D2135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尺寸</w:t>
      </w:r>
    </w:p>
    <w:p w14:paraId="65FE0ADB">
      <w:pPr>
        <w:ind w:firstLine="480"/>
        <w:rPr>
          <w:color w:val="000000" w:themeColor="text1"/>
          <w14:textFill>
            <w14:solidFill>
              <w14:schemeClr w14:val="tx1"/>
            </w14:solidFill>
          </w14:textFill>
        </w:rPr>
      </w:pPr>
      <w:r>
        <w:rPr>
          <w:color w:val="000000" w:themeColor="text1"/>
          <w14:textFill>
            <w14:solidFill>
              <w14:schemeClr w14:val="tx1"/>
            </w14:solidFill>
          </w14:textFill>
        </w:rPr>
        <w:t>标志牌面为横纵比大于1的矩形。原则上，立柱式和平面固定式标志牌面尺寸不小于640mm×400mm，墩式不小于480mm×300mm。各地可根据设置原则视情</w:t>
      </w:r>
      <w:r>
        <w:rPr>
          <w:rFonts w:hint="eastAsia"/>
          <w:color w:val="000000" w:themeColor="text1"/>
          <w14:textFill>
            <w14:solidFill>
              <w14:schemeClr w14:val="tx1"/>
            </w14:solidFill>
          </w14:textFill>
        </w:rPr>
        <w:t>况</w:t>
      </w:r>
      <w:r>
        <w:rPr>
          <w:color w:val="000000" w:themeColor="text1"/>
          <w14:textFill>
            <w14:solidFill>
              <w14:schemeClr w14:val="tx1"/>
            </w14:solidFill>
          </w14:textFill>
        </w:rPr>
        <w:t>确定尺寸大小。</w:t>
      </w:r>
    </w:p>
    <w:p w14:paraId="7A1D92D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制作管理</w:t>
      </w:r>
    </w:p>
    <w:p w14:paraId="66A431DE">
      <w:pPr>
        <w:widowControl/>
        <w:ind w:firstLine="480"/>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制作和日常维护中，应注意标志牌无明显变形，表面无气泡、开裂、脱落及其他破损，图案清晰，色泽一致，无明显缺损。标志牌面例图、二维码关联信息例图（可查询发布文件，仅供参考）</w:t>
      </w:r>
      <w:r>
        <w:rPr>
          <w:rFonts w:hint="eastAsia"/>
          <w:color w:val="000000" w:themeColor="text1"/>
          <w14:textFill>
            <w14:solidFill>
              <w14:schemeClr w14:val="tx1"/>
            </w14:solidFill>
          </w14:textFill>
        </w:rPr>
        <w:t>。</w:t>
      </w:r>
    </w:p>
    <w:p w14:paraId="1A0743F9">
      <w:pPr>
        <w:pStyle w:val="43"/>
        <w:ind w:left="0" w:firstLine="0"/>
        <w:rPr>
          <w:color w:val="000000" w:themeColor="text1"/>
          <w14:textFill>
            <w14:solidFill>
              <w14:schemeClr w14:val="tx1"/>
            </w14:solidFill>
          </w14:textFill>
        </w:rPr>
      </w:pPr>
      <w:bookmarkStart w:id="75" w:name="_Toc28595"/>
      <w:bookmarkStart w:id="76" w:name="_Toc7537"/>
      <w:bookmarkStart w:id="77" w:name="_Toc32221"/>
      <w:bookmarkStart w:id="78" w:name="_Toc184805694"/>
      <w:bookmarkStart w:id="79" w:name="_Toc16807"/>
      <w:bookmarkStart w:id="80" w:name="_Toc289926490"/>
      <w:bookmarkStart w:id="81" w:name="_Toc289930725"/>
      <w:bookmarkStart w:id="82" w:name="_Toc257224218"/>
      <w:bookmarkStart w:id="83" w:name="_Toc339613711"/>
      <w:bookmarkStart w:id="84" w:name="_Toc301373868"/>
      <w:r>
        <w:rPr>
          <w:color w:val="000000" w:themeColor="text1"/>
          <w14:textFill>
            <w14:solidFill>
              <w14:schemeClr w14:val="tx1"/>
            </w14:solidFill>
          </w14:textFill>
        </w:rPr>
        <w:t>入河排污口设置合理性分析</w:t>
      </w:r>
      <w:bookmarkEnd w:id="75"/>
      <w:bookmarkEnd w:id="76"/>
      <w:bookmarkEnd w:id="77"/>
      <w:bookmarkEnd w:id="78"/>
      <w:bookmarkEnd w:id="79"/>
    </w:p>
    <w:p w14:paraId="27F436F5">
      <w:pPr>
        <w:pStyle w:val="61"/>
        <w:spacing w:before="312"/>
      </w:pPr>
      <w:bookmarkStart w:id="85" w:name="_Toc10723"/>
      <w:bookmarkStart w:id="86" w:name="_Toc341258283"/>
      <w:bookmarkStart w:id="87" w:name="_Toc282543531"/>
      <w:bookmarkStart w:id="88" w:name="_Toc345680715"/>
      <w:bookmarkStart w:id="89" w:name="_Toc332925433"/>
      <w:r>
        <w:rPr>
          <w:rFonts w:hint="eastAsia"/>
        </w:rPr>
        <w:t xml:space="preserve"> </w:t>
      </w:r>
      <w:bookmarkStart w:id="90" w:name="_Toc184805695"/>
      <w:r>
        <w:t>入河排污口位置合理性分析</w:t>
      </w:r>
      <w:bookmarkEnd w:id="85"/>
      <w:bookmarkEnd w:id="90"/>
    </w:p>
    <w:p w14:paraId="3EF6D1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入河排污口</w:t>
      </w:r>
      <w:r>
        <w:rPr>
          <w:rFonts w:hint="eastAsia"/>
          <w:color w:val="000000" w:themeColor="text1"/>
          <w14:textFill>
            <w14:solidFill>
              <w14:schemeClr w14:val="tx1"/>
            </w14:solidFill>
          </w14:textFill>
        </w:rPr>
        <w:t>位于郁江右岸，污水处理厂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w:t>
      </w:r>
      <w:r>
        <w:rPr>
          <w:rFonts w:hint="eastAsia" w:cs="Times New Roman"/>
          <w:snapToGrid/>
          <w:color w:val="000000" w:themeColor="text1"/>
          <w14:textFill>
            <w14:solidFill>
              <w14:schemeClr w14:val="tx1"/>
            </w14:solidFill>
          </w14:textFill>
        </w:rPr>
        <w:t>，</w:t>
      </w:r>
      <w:r>
        <w:rPr>
          <w:color w:val="000000" w:themeColor="text1"/>
          <w14:textFill>
            <w14:solidFill>
              <w14:schemeClr w14:val="tx1"/>
            </w14:solidFill>
          </w14:textFill>
        </w:rPr>
        <w:t>尾水</w:t>
      </w:r>
      <w:r>
        <w:rPr>
          <w:rFonts w:hint="eastAsia" w:cs="Times New Roman"/>
          <w:snapToGrid/>
          <w:color w:val="000000" w:themeColor="text1"/>
          <w14:textFill>
            <w14:solidFill>
              <w14:schemeClr w14:val="tx1"/>
            </w14:solidFill>
          </w14:textFill>
        </w:rPr>
        <w:t>经</w:t>
      </w:r>
      <w:r>
        <w:rPr>
          <w:rFonts w:cs="Times New Roman"/>
          <w:snapToGrid/>
          <w:color w:val="000000" w:themeColor="text1"/>
          <w14:textFill>
            <w14:solidFill>
              <w14:schemeClr w14:val="tx1"/>
            </w14:solidFill>
          </w14:textFill>
        </w:rPr>
        <w:t>1km</w:t>
      </w:r>
      <w:r>
        <w:rPr>
          <w:rFonts w:hint="eastAsia" w:cs="Times New Roman"/>
          <w:snapToGrid/>
          <w:color w:val="000000" w:themeColor="text1"/>
          <w14:textFill>
            <w14:solidFill>
              <w14:schemeClr w14:val="tx1"/>
            </w14:solidFill>
          </w14:textFill>
        </w:rPr>
        <w:t>冲沟流入小河沟，再经</w:t>
      </w:r>
      <w:r>
        <w:rPr>
          <w:rFonts w:cs="Times New Roman"/>
          <w:snapToGrid/>
          <w:color w:val="000000" w:themeColor="text1"/>
          <w14:textFill>
            <w14:solidFill>
              <w14:schemeClr w14:val="tx1"/>
            </w14:solidFill>
          </w14:textFill>
        </w:rPr>
        <w:t>3</w:t>
      </w:r>
      <w:r>
        <w:rPr>
          <w:rFonts w:hint="eastAsia" w:cs="Times New Roman"/>
          <w:snapToGrid/>
          <w:color w:val="000000" w:themeColor="text1"/>
          <w14:textFill>
            <w14:solidFill>
              <w14:schemeClr w14:val="tx1"/>
            </w14:solidFill>
          </w14:textFill>
        </w:rPr>
        <w:t>km小河沟排入郁江</w:t>
      </w:r>
      <w:r>
        <w:rPr>
          <w:color w:val="000000" w:themeColor="text1"/>
          <w14:textFill>
            <w14:solidFill>
              <w14:schemeClr w14:val="tx1"/>
            </w14:solidFill>
          </w14:textFill>
        </w:rPr>
        <w:t>。</w:t>
      </w:r>
    </w:p>
    <w:p w14:paraId="7A2383E1">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本项目入河排污口位于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二级水功能区内，符合该水功能区功能定位对排污口设置的要求；根据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和资料查阅，该水功能区内不存在相关因素的限制。</w:t>
      </w:r>
    </w:p>
    <w:p w14:paraId="4FE793B9">
      <w:pPr>
        <w:ind w:firstLine="480"/>
        <w:rPr>
          <w:color w:val="000000" w:themeColor="text1"/>
          <w14:textFill>
            <w14:solidFill>
              <w14:schemeClr w14:val="tx1"/>
            </w14:solidFill>
          </w14:textFill>
        </w:rPr>
      </w:pPr>
      <w:r>
        <w:rPr>
          <w:color w:val="000000" w:themeColor="text1"/>
          <w14:textFill>
            <w14:solidFill>
              <w14:schemeClr w14:val="tx1"/>
            </w14:solidFill>
          </w14:textFill>
        </w:rPr>
        <w:t>因此，本项目污水排放采用岸边式就近排放，其入河排污口位置是合理的。</w:t>
      </w:r>
    </w:p>
    <w:p w14:paraId="00C2B67D">
      <w:pPr>
        <w:pStyle w:val="61"/>
        <w:spacing w:before="312"/>
      </w:pPr>
      <w:bookmarkStart w:id="91" w:name="_Toc184805696"/>
      <w:bookmarkStart w:id="92" w:name="_Toc5037"/>
      <w:r>
        <w:rPr>
          <w:rFonts w:hint="eastAsia"/>
        </w:rPr>
        <w:t>选址合理性分析</w:t>
      </w:r>
      <w:bookmarkEnd w:id="91"/>
    </w:p>
    <w:p w14:paraId="0AB80F8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芦塘乡（板栗村）污水处理厂位于彭水苗族土家族自治县芦塘乡</w:t>
      </w:r>
      <w:r>
        <w:rPr>
          <w:rFonts w:hint="eastAsia" w:hAnsi="宋体"/>
          <w:bCs/>
          <w:color w:val="000000" w:themeColor="text1"/>
          <w14:textFill>
            <w14:solidFill>
              <w14:schemeClr w14:val="tx1"/>
            </w14:solidFill>
          </w14:textFill>
        </w:rPr>
        <w:t>板栗村三组</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属于环境保护公共设施，是对城镇污水进行集中收集和处理，其建设有利于地表水水质的改善和保护。项目</w:t>
      </w:r>
      <w:r>
        <w:rPr>
          <w:color w:val="000000" w:themeColor="text1"/>
          <w14:textFill>
            <w14:solidFill>
              <w14:schemeClr w14:val="tx1"/>
            </w14:solidFill>
          </w14:textFill>
        </w:rPr>
        <w:t>邻村道，交通方便，周边水、电基础设施齐全，方便引入。本项目所在地大气、地表水、地下水和声环境质量皆满足相应标准，无限制因素。本项目的建设将减少直接排入地表水体的污废水量，从而削减水污染物的排放量，改善郁江的水质，属于环境正效益项目</w:t>
      </w:r>
      <w:r>
        <w:rPr>
          <w:rFonts w:hint="eastAsia"/>
          <w:color w:val="000000" w:themeColor="text1"/>
          <w14:textFill>
            <w14:solidFill>
              <w14:schemeClr w14:val="tx1"/>
            </w14:solidFill>
          </w14:textFill>
        </w:rPr>
        <w:t>，且</w:t>
      </w:r>
      <w:r>
        <w:rPr>
          <w:color w:val="000000" w:themeColor="text1"/>
          <w14:textFill>
            <w14:solidFill>
              <w14:schemeClr w14:val="tx1"/>
            </w14:solidFill>
          </w14:textFill>
        </w:rPr>
        <w:t>项目所在位置不涉及自然保护区、风景名胜区和饮用水源保护区等特殊保护地。</w:t>
      </w:r>
    </w:p>
    <w:p w14:paraId="403562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因此，从环境保护角度考虑，本项目污水处理厂选址合理可行</w:t>
      </w:r>
      <w:r>
        <w:rPr>
          <w:color w:val="000000" w:themeColor="text1"/>
          <w14:textFill>
            <w14:solidFill>
              <w14:schemeClr w14:val="tx1"/>
            </w14:solidFill>
          </w14:textFill>
        </w:rPr>
        <w:t>。</w:t>
      </w:r>
    </w:p>
    <w:p w14:paraId="49698642">
      <w:pPr>
        <w:pStyle w:val="61"/>
        <w:spacing w:before="312"/>
      </w:pPr>
      <w:bookmarkStart w:id="93" w:name="_Toc184805697"/>
      <w:r>
        <w:rPr>
          <w:rFonts w:hint="eastAsia"/>
        </w:rPr>
        <w:t>排污口设置合理性分析</w:t>
      </w:r>
      <w:bookmarkEnd w:id="93"/>
    </w:p>
    <w:p w14:paraId="3EABA618">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河排污口设置于郁江右岸，污水处理厂</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南侧冲沟，地理坐标：</w:t>
      </w:r>
      <w:r>
        <w:rPr>
          <w:color w:val="000000" w:themeColor="text1"/>
          <w:spacing w:val="-13"/>
          <w14:textFill>
            <w14:solidFill>
              <w14:schemeClr w14:val="tx1"/>
            </w14:solidFill>
          </w14:textFill>
        </w:rPr>
        <w:t>东经：108.335650</w:t>
      </w:r>
      <w:r>
        <w:rPr>
          <w:rFonts w:hint="eastAsia"/>
          <w:color w:val="000000" w:themeColor="text1"/>
          <w:spacing w:val="-13"/>
          <w14:textFill>
            <w14:solidFill>
              <w14:schemeClr w14:val="tx1"/>
            </w14:solidFill>
          </w14:textFill>
        </w:rPr>
        <w:t>°</w:t>
      </w:r>
      <w:r>
        <w:rPr>
          <w:color w:val="000000" w:themeColor="text1"/>
          <w:spacing w:val="-13"/>
          <w14:textFill>
            <w14:solidFill>
              <w14:schemeClr w14:val="tx1"/>
            </w14:solidFill>
          </w14:textFill>
        </w:rPr>
        <w:t>，北纬：29.514853</w:t>
      </w:r>
      <w:r>
        <w:rPr>
          <w:rFonts w:hint="eastAsia"/>
          <w:color w:val="000000" w:themeColor="text1"/>
          <w:spacing w:val="-13"/>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w:t>
      </w:r>
      <w:r>
        <w:rPr>
          <w:color w:val="000000" w:themeColor="text1"/>
          <w:spacing w:val="-2"/>
          <w14:textFill>
            <w14:solidFill>
              <w14:schemeClr w14:val="tx1"/>
            </w14:solidFill>
          </w14:textFill>
        </w:rPr>
        <w:t>本排污口</w:t>
      </w:r>
      <w:r>
        <w:rPr>
          <w:rFonts w:hint="eastAsia"/>
          <w:color w:val="000000" w:themeColor="text1"/>
          <w:spacing w:val="-2"/>
          <w14:textFill>
            <w14:solidFill>
              <w14:schemeClr w14:val="tx1"/>
            </w14:solidFill>
          </w14:textFill>
        </w:rPr>
        <w:t>设置</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，功能区内有县自来水厂关口泵站提水工程、保家工业园区泵站提水工程等取水口</w:t>
      </w:r>
      <w:r>
        <w:rPr>
          <w:color w:val="000000" w:themeColor="text1"/>
          <w14:textFill>
            <w14:solidFill>
              <w14:schemeClr w14:val="tx1"/>
            </w14:solidFill>
          </w14:textFill>
        </w:rPr>
        <w:t>，经论证，本项目尾水排放对</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水质影响较小</w:t>
      </w:r>
      <w:r>
        <w:rPr>
          <w:rFonts w:hint="eastAsia"/>
          <w:color w:val="000000" w:themeColor="text1"/>
          <w14:textFill>
            <w14:solidFill>
              <w14:schemeClr w14:val="tx1"/>
            </w14:solidFill>
          </w14:textFill>
        </w:rPr>
        <w:t>，不会对第三方合法水事权益造成影响</w:t>
      </w:r>
      <w:r>
        <w:rPr>
          <w:color w:val="000000" w:themeColor="text1"/>
          <w14:textFill>
            <w14:solidFill>
              <w14:schemeClr w14:val="tx1"/>
            </w14:solidFill>
          </w14:textFill>
        </w:rPr>
        <w:t>。由于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w:t>
      </w:r>
      <w:r>
        <w:rPr>
          <w:rFonts w:hint="eastAsia" w:cs="Times New Roman"/>
          <w:color w:val="000000" w:themeColor="text1"/>
          <w14:textFill>
            <w14:solidFill>
              <w14:schemeClr w14:val="tx1"/>
            </w14:solidFill>
          </w14:textFill>
        </w:rPr>
        <w:t>生活</w:t>
      </w:r>
      <w:r>
        <w:rPr>
          <w:rFonts w:cs="Times New Roman"/>
          <w:color w:val="000000" w:themeColor="text1"/>
          <w14:textFill>
            <w14:solidFill>
              <w14:schemeClr w14:val="tx1"/>
            </w14:solidFill>
          </w14:textFill>
        </w:rPr>
        <w:t>污水入河排污口</w:t>
      </w:r>
      <w:r>
        <w:rPr>
          <w:rFonts w:hint="eastAsia" w:cs="Times New Roman"/>
          <w:color w:val="000000" w:themeColor="text1"/>
          <w14:textFill>
            <w14:solidFill>
              <w14:schemeClr w14:val="tx1"/>
            </w14:solidFill>
          </w14:textFill>
        </w:rPr>
        <w:t>，</w:t>
      </w:r>
      <w:r>
        <w:rPr>
          <w:color w:val="000000" w:themeColor="text1"/>
          <w14:textFill>
            <w14:solidFill>
              <w14:schemeClr w14:val="tx1"/>
            </w14:solidFill>
          </w14:textFill>
        </w:rPr>
        <w:t>采用岸边</w:t>
      </w:r>
      <w:r>
        <w:rPr>
          <w:rFonts w:hint="eastAsia"/>
          <w:color w:val="000000" w:themeColor="text1"/>
          <w14:textFill>
            <w14:solidFill>
              <w14:schemeClr w14:val="tx1"/>
            </w14:solidFill>
          </w14:textFill>
        </w:rPr>
        <w:t>管道连续</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受纳水体</w:t>
      </w:r>
      <w:r>
        <w:rPr>
          <w:color w:val="000000" w:themeColor="text1"/>
          <w14:textFill>
            <w14:solidFill>
              <w14:schemeClr w14:val="tx1"/>
            </w14:solidFill>
          </w14:textFill>
        </w:rPr>
        <w:t>后可迅速与河水混合均匀。</w:t>
      </w:r>
    </w:p>
    <w:p w14:paraId="24BA2E3C">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综上所述，本项目排污口的选址合理可行。</w:t>
      </w:r>
    </w:p>
    <w:p w14:paraId="345763F7">
      <w:pPr>
        <w:pStyle w:val="61"/>
        <w:spacing w:before="312"/>
      </w:pPr>
      <w:r>
        <w:rPr>
          <w:rFonts w:hint="eastAsia"/>
        </w:rPr>
        <w:t xml:space="preserve"> </w:t>
      </w:r>
      <w:bookmarkStart w:id="94" w:name="_Toc184805698"/>
      <w:r>
        <w:t>排放浓度合理性分析</w:t>
      </w:r>
      <w:bookmarkEnd w:id="92"/>
      <w:bookmarkEnd w:id="94"/>
    </w:p>
    <w:p w14:paraId="668DD877">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工艺，经各处理构筑物分级去除后COD、BOD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-N、TP的总去除率分别可达83%、87%、92%、73%、75%，去除率总体较高，其出水水质均能达到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城镇污水处理厂污染物排放标准》（GB 18918-2002）一级B标准的要求</w:t>
      </w:r>
      <w:r>
        <w:rPr>
          <w:rFonts w:hint="eastAsia"/>
          <w:color w:val="000000" w:themeColor="text1"/>
          <w14:textFill>
            <w14:solidFill>
              <w14:schemeClr w14:val="tx1"/>
            </w14:solidFill>
          </w14:textFill>
        </w:rPr>
        <w:t>。</w:t>
      </w:r>
    </w:p>
    <w:p w14:paraId="2A00A2C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本项目正常工况下排放的废水对受纳水体水质影响小，无超标现象。在非正常工况下排放的</w:t>
      </w:r>
      <w:r>
        <w:rPr>
          <w:color w:val="000000" w:themeColor="text1"/>
          <w14:textFill>
            <w14:solidFill>
              <w14:schemeClr w14:val="tx1"/>
            </w14:solidFill>
          </w14:textFill>
        </w:rPr>
        <w:t>废水</w:t>
      </w:r>
      <w:r>
        <w:rPr>
          <w:rFonts w:hint="eastAsia"/>
          <w:color w:val="000000" w:themeColor="text1"/>
          <w14:textFill>
            <w14:solidFill>
              <w14:schemeClr w14:val="tx1"/>
            </w14:solidFill>
          </w14:textFill>
        </w:rPr>
        <w:t>对郁江有一定影响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对此，污水处理厂在日常运营应加强安全监管，防止事故发生。项目</w:t>
      </w:r>
      <w:r>
        <w:rPr>
          <w:color w:val="000000" w:themeColor="text1"/>
          <w14:textFill>
            <w14:solidFill>
              <w14:schemeClr w14:val="tx1"/>
            </w14:solidFill>
          </w14:textFill>
        </w:rPr>
        <w:t>论证</w:t>
      </w:r>
      <w:r>
        <w:rPr>
          <w:rFonts w:hint="eastAsia"/>
          <w:color w:val="000000" w:themeColor="text1"/>
          <w14:textFill>
            <w14:solidFill>
              <w14:schemeClr w14:val="tx1"/>
            </w14:solidFill>
          </w14:textFill>
        </w:rPr>
        <w:t>范围为“郁江彭水保家镇景观娱乐、饮用水源区”的</w:t>
      </w:r>
      <w:r>
        <w:rPr>
          <w:color w:val="000000" w:themeColor="text1"/>
          <w14:textFill>
            <w14:solidFill>
              <w14:schemeClr w14:val="tx1"/>
            </w14:solidFill>
          </w14:textFill>
        </w:rPr>
        <w:t>二级水功能区</w:t>
      </w:r>
      <w:r>
        <w:rPr>
          <w:rFonts w:hint="eastAsia"/>
          <w:color w:val="000000" w:themeColor="text1"/>
          <w14:textFill>
            <w14:solidFill>
              <w14:schemeClr w14:val="tx1"/>
            </w14:solidFill>
          </w14:textFill>
        </w:rPr>
        <w:t>，非</w:t>
      </w:r>
      <w:r>
        <w:rPr>
          <w:color w:val="000000" w:themeColor="text1"/>
          <w14:textFill>
            <w14:solidFill>
              <w14:schemeClr w14:val="tx1"/>
            </w14:solidFill>
          </w14:textFill>
        </w:rPr>
        <w:t>正常工况下对水生态有一定影响，但影响</w:t>
      </w:r>
      <w:r>
        <w:rPr>
          <w:rFonts w:hint="eastAsia"/>
          <w:color w:val="000000" w:themeColor="text1"/>
          <w14:textFill>
            <w14:solidFill>
              <w14:schemeClr w14:val="tx1"/>
            </w14:solidFill>
          </w14:textFill>
        </w:rPr>
        <w:t>非常</w:t>
      </w:r>
      <w:r>
        <w:rPr>
          <w:color w:val="000000" w:themeColor="text1"/>
          <w14:textFill>
            <w14:solidFill>
              <w14:schemeClr w14:val="tx1"/>
            </w14:solidFill>
          </w14:textFill>
        </w:rPr>
        <w:t>有限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不会对第三方合法水事权益造成影响。</w:t>
      </w:r>
    </w:p>
    <w:p w14:paraId="29EBE381">
      <w:pPr>
        <w:pStyle w:val="61"/>
        <w:spacing w:before="312"/>
      </w:pPr>
      <w:bookmarkStart w:id="95" w:name="_Toc620"/>
      <w:r>
        <w:rPr>
          <w:rFonts w:hint="eastAsia"/>
        </w:rPr>
        <w:t xml:space="preserve"> </w:t>
      </w:r>
      <w:bookmarkStart w:id="96" w:name="_Toc184805699"/>
      <w:r>
        <w:t>排放总量合理性分析</w:t>
      </w:r>
      <w:bookmarkEnd w:id="95"/>
      <w:bookmarkEnd w:id="96"/>
    </w:p>
    <w:p w14:paraId="22AA9345">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本项目正常工况排放时，在叠加现状污染物入河量后，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超出水功能区纳污能力。而本项目采用</w:t>
      </w:r>
      <w:r>
        <w:rPr>
          <w:rFonts w:hint="eastAsia"/>
          <w:color w:val="000000" w:themeColor="text1"/>
          <w14:textFill>
            <w14:solidFill>
              <w14:schemeClr w14:val="tx1"/>
            </w14:solidFill>
          </w14:textFill>
        </w:rPr>
        <w:t>：</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工艺，有良好的处理效率，排放废水能够达到《城镇污水处理厂污染物排放标准》（GB 18918-2002）一级B标准，项目建成后COD、NH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-N排污量分别减少</w:t>
      </w:r>
      <w:r>
        <w:rPr>
          <w:rFonts w:cs="Times New Roman"/>
          <w:color w:val="000000" w:themeColor="text1"/>
          <w14:textFill>
            <w14:solidFill>
              <w14:schemeClr w14:val="tx1"/>
            </w14:solidFill>
          </w14:textFill>
        </w:rPr>
        <w:t>9.5265</w:t>
      </w:r>
      <w:r>
        <w:rPr>
          <w:color w:val="000000" w:themeColor="text1"/>
          <w14:textFill>
            <w14:solidFill>
              <w14:schemeClr w14:val="tx1"/>
            </w14:solidFill>
          </w14:textFill>
        </w:rPr>
        <w:t>t/a、</w:t>
      </w:r>
      <w:r>
        <w:rPr>
          <w:rFonts w:cs="Times New Roman"/>
          <w:color w:val="000000" w:themeColor="text1"/>
          <w14:textFill>
            <w14:solidFill>
              <w14:schemeClr w14:val="tx1"/>
            </w14:solidFill>
          </w14:textFill>
        </w:rPr>
        <w:t>0.7227</w:t>
      </w:r>
      <w:r>
        <w:rPr>
          <w:color w:val="000000" w:themeColor="text1"/>
          <w14:textFill>
            <w14:solidFill>
              <w14:schemeClr w14:val="tx1"/>
            </w14:solidFill>
          </w14:textFill>
        </w:rPr>
        <w:t>t/a，消减率分别可达83%、73%。</w:t>
      </w:r>
    </w:p>
    <w:p w14:paraId="5AE4EBEA">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综上所述，本项目建成运行后，</w:t>
      </w:r>
      <w:r>
        <w:rPr>
          <w:rFonts w:hint="eastAsia"/>
          <w:color w:val="000000" w:themeColor="text1"/>
          <w14:textFill>
            <w14:solidFill>
              <w14:schemeClr w14:val="tx1"/>
            </w14:solidFill>
          </w14:textFill>
        </w:rPr>
        <w:t>芦塘乡场镇片区</w:t>
      </w:r>
      <w:r>
        <w:rPr>
          <w:rFonts w:hint="eastAsia" w:hAnsi="宋体"/>
          <w:color w:val="000000" w:themeColor="text1"/>
          <w14:textFill>
            <w14:solidFill>
              <w14:schemeClr w14:val="tx1"/>
            </w14:solidFill>
          </w14:textFill>
        </w:rPr>
        <w:t>产生的废污水</w:t>
      </w:r>
      <w:r>
        <w:rPr>
          <w:rFonts w:hAnsi="宋体"/>
          <w:color w:val="000000" w:themeColor="text1"/>
          <w14:textFill>
            <w14:solidFill>
              <w14:schemeClr w14:val="tx1"/>
            </w14:solidFill>
          </w14:textFill>
        </w:rPr>
        <w:t>得以更为有效的处理</w:t>
      </w:r>
      <w:r>
        <w:rPr>
          <w:color w:val="000000" w:themeColor="text1"/>
          <w14:textFill>
            <w14:solidFill>
              <w14:schemeClr w14:val="tx1"/>
            </w14:solidFill>
          </w14:textFill>
        </w:rPr>
        <w:t>，改善</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当地居民生活环境，污染物排放量大幅度减少，减少了未处理污水直接排放对</w:t>
      </w:r>
      <w:r>
        <w:rPr>
          <w:rFonts w:hint="eastAsia"/>
          <w:color w:val="000000" w:themeColor="text1"/>
          <w14:textFill>
            <w14:solidFill>
              <w14:schemeClr w14:val="tx1"/>
            </w14:solidFill>
          </w14:textFill>
        </w:rPr>
        <w:t>郁江支流小河沟和郁江</w:t>
      </w:r>
      <w:r>
        <w:rPr>
          <w:color w:val="000000" w:themeColor="text1"/>
          <w14:textFill>
            <w14:solidFill>
              <w14:schemeClr w14:val="tx1"/>
            </w14:solidFill>
          </w14:textFill>
        </w:rPr>
        <w:t>的影响，进而减小对</w:t>
      </w:r>
      <w:r>
        <w:rPr>
          <w:rFonts w:hint="eastAsia"/>
          <w:color w:val="000000" w:themeColor="text1"/>
          <w14:textFill>
            <w14:solidFill>
              <w14:schemeClr w14:val="tx1"/>
            </w14:solidFill>
          </w14:textFill>
        </w:rPr>
        <w:t>下游</w:t>
      </w:r>
      <w:r>
        <w:rPr>
          <w:color w:val="000000" w:themeColor="text1"/>
          <w14:textFill>
            <w14:solidFill>
              <w14:schemeClr w14:val="tx1"/>
            </w14:solidFill>
          </w14:textFill>
        </w:rPr>
        <w:t>水质的影响，本项目</w:t>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对区域污染物入河量具有明显的消减作用。</w:t>
      </w:r>
    </w:p>
    <w:bookmarkEnd w:id="80"/>
    <w:bookmarkEnd w:id="81"/>
    <w:bookmarkEnd w:id="82"/>
    <w:bookmarkEnd w:id="83"/>
    <w:bookmarkEnd w:id="84"/>
    <w:bookmarkEnd w:id="86"/>
    <w:bookmarkEnd w:id="87"/>
    <w:bookmarkEnd w:id="88"/>
    <w:bookmarkEnd w:id="89"/>
    <w:p w14:paraId="6FA9802A">
      <w:pPr>
        <w:pStyle w:val="43"/>
        <w:keepNext w:val="0"/>
        <w:autoSpaceDE w:val="0"/>
        <w:autoSpaceDN w:val="0"/>
        <w:textAlignment w:val="baseline"/>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97" w:name="_Toc384284405"/>
      <w:bookmarkStart w:id="98" w:name="_Toc339613712"/>
      <w:bookmarkStart w:id="99" w:name="_Toc377919021"/>
      <w:bookmarkStart w:id="100" w:name="_Toc389224701"/>
      <w:bookmarkStart w:id="101" w:name="_Toc467139933"/>
      <w:bookmarkStart w:id="102" w:name="_Toc257224219"/>
      <w:bookmarkStart w:id="103" w:name="_Toc289930726"/>
      <w:bookmarkStart w:id="104" w:name="_Toc104903755"/>
      <w:bookmarkStart w:id="105" w:name="_Toc245731831"/>
      <w:bookmarkStart w:id="106" w:name="_Toc26153"/>
      <w:bookmarkStart w:id="107" w:name="_Toc289926491"/>
      <w:bookmarkStart w:id="108" w:name="_Toc256003093"/>
      <w:bookmarkStart w:id="109" w:name="_Toc384284191"/>
      <w:bookmarkStart w:id="110" w:name="_Toc301373869"/>
    </w:p>
    <w:p w14:paraId="54A5F08E">
      <w:pPr>
        <w:pStyle w:val="43"/>
        <w:ind w:left="0" w:firstLine="0"/>
        <w:rPr>
          <w:color w:val="000000" w:themeColor="text1"/>
          <w14:textFill>
            <w14:solidFill>
              <w14:schemeClr w14:val="tx1"/>
            </w14:solidFill>
          </w14:textFill>
        </w:rPr>
      </w:pPr>
      <w:bookmarkStart w:id="111" w:name="_Toc184805700"/>
      <w:r>
        <w:rPr>
          <w:color w:val="000000" w:themeColor="text1"/>
          <w14:textFill>
            <w14:solidFill>
              <w14:schemeClr w14:val="tx1"/>
            </w14:solidFill>
          </w14:textFill>
        </w:rPr>
        <w:t>结论</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5D214BE9">
      <w:pPr>
        <w:pStyle w:val="61"/>
        <w:spacing w:before="312"/>
      </w:pPr>
      <w:bookmarkStart w:id="112" w:name="_Toc184805701"/>
      <w:r>
        <w:rPr>
          <w:rFonts w:hint="eastAsia"/>
        </w:rPr>
        <w:t>结论</w:t>
      </w:r>
      <w:bookmarkEnd w:id="112"/>
    </w:p>
    <w:p w14:paraId="289B8A92">
      <w:pPr>
        <w:ind w:firstLine="480"/>
        <w:rPr>
          <w:rFonts w:cs="Times New Roman"/>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入河排污口设置于郁江右岸，污水处理厂厂区南侧冲沟</w:t>
      </w:r>
      <w:r>
        <w:rPr>
          <w:rFonts w:cs="Times New Roman"/>
          <w:color w:val="000000" w:themeColor="text1"/>
          <w14:textFill>
            <w14:solidFill>
              <w14:schemeClr w14:val="tx1"/>
            </w14:solidFill>
          </w14:textFill>
        </w:rPr>
        <w:t>，地理坐标：东经：108.335650°，北纬：29.514853°，该排污口属于</w:t>
      </w:r>
      <w:r>
        <w:rPr>
          <w:rFonts w:hint="eastAsia" w:cs="Times New Roman"/>
          <w:color w:val="000000" w:themeColor="text1"/>
          <w14:textFill>
            <w14:solidFill>
              <w14:schemeClr w14:val="tx1"/>
            </w14:solidFill>
          </w14:textFill>
        </w:rPr>
        <w:t>新建</w:t>
      </w:r>
      <w:r>
        <w:rPr>
          <w:rFonts w:cs="Times New Roman"/>
          <w:color w:val="000000" w:themeColor="text1"/>
          <w14:textFill>
            <w14:solidFill>
              <w14:schemeClr w14:val="tx1"/>
            </w14:solidFill>
          </w14:textFill>
        </w:rPr>
        <w:t>排污口，类型为</w:t>
      </w:r>
      <w:r>
        <w:rPr>
          <w:color w:val="000000" w:themeColor="text1"/>
          <w14:textFill>
            <w14:solidFill>
              <w14:schemeClr w14:val="tx1"/>
            </w14:solidFill>
          </w14:textFill>
        </w:rPr>
        <w:t>城镇污水处理设施入河排污口</w:t>
      </w:r>
      <w:r>
        <w:rPr>
          <w:rFonts w:cs="Times New Roman"/>
          <w:color w:val="000000" w:themeColor="text1"/>
          <w14:textFill>
            <w14:solidFill>
              <w14:schemeClr w14:val="tx1"/>
            </w14:solidFill>
          </w14:textFill>
        </w:rPr>
        <w:t>，排放方式为连续排放。</w:t>
      </w:r>
    </w:p>
    <w:p w14:paraId="6C42600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规模到90m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/d，出水水质达《城镇污水处理厂污染物排放标准》（GB 18918-2002）一级B</w:t>
      </w:r>
      <w:r>
        <w:rPr>
          <w:rFonts w:hint="eastAsia"/>
          <w:color w:val="000000" w:themeColor="text1"/>
          <w14:textFill>
            <w14:solidFill>
              <w14:schemeClr w14:val="tx1"/>
            </w14:solidFill>
          </w14:textFill>
        </w:rPr>
        <w:t>标</w:t>
      </w:r>
      <w:r>
        <w:rPr>
          <w:color w:val="000000" w:themeColor="text1"/>
          <w:lang w:val="zh-CN"/>
          <w14:textFill>
            <w14:solidFill>
              <w14:schemeClr w14:val="tx1"/>
            </w14:solidFill>
          </w14:textFill>
        </w:rPr>
        <w:t>后排至</w:t>
      </w:r>
      <w:r>
        <w:rPr>
          <w:rFonts w:hint="eastAsia"/>
          <w:color w:val="000000" w:themeColor="text1"/>
          <w:lang w:val="zh-CN"/>
          <w14:textFill>
            <w14:solidFill>
              <w14:schemeClr w14:val="tx1"/>
            </w14:solidFill>
          </w14:textFill>
        </w:rPr>
        <w:t>小河沟后再排入郁江</w:t>
      </w:r>
      <w:r>
        <w:rPr>
          <w:color w:val="000000" w:themeColor="text1"/>
          <w:lang w:val="zh-CN"/>
          <w14:textFill>
            <w14:solidFill>
              <w14:schemeClr w14:val="tx1"/>
            </w14:solidFill>
          </w14:textFill>
        </w:rPr>
        <w:t>，年污水排放总量</w:t>
      </w:r>
      <w:r>
        <w:rPr>
          <w:color w:val="000000" w:themeColor="text1"/>
          <w14:textFill>
            <w14:solidFill>
              <w14:schemeClr w14:val="tx1"/>
            </w14:solidFill>
          </w14:textFill>
        </w:rPr>
        <w:t>3.285</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t，其中COD、NH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-N排放浓度分别为60mg/L、8mg/L，排放量分别为1.971t/a、0.2628t/a。</w:t>
      </w:r>
    </w:p>
    <w:p w14:paraId="0D6AA75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正常工况排污入河后可满足所在水功能区水质管理目标，减轻了污染物直接进入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对水质的影响。</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在叠加现状污染物入河量后，</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r>
        <w:rPr>
          <w:rFonts w:hint="eastAsia" w:cs="Times New Roman"/>
          <w:color w:val="000000" w:themeColor="text1"/>
          <w14:textFill>
            <w14:solidFill>
              <w14:schemeClr w14:val="tx1"/>
            </w14:solidFill>
          </w14:textFill>
        </w:rPr>
        <w:t>和C</w:t>
      </w:r>
      <w:r>
        <w:rPr>
          <w:rFonts w:cs="Times New Roman"/>
          <w:color w:val="000000" w:themeColor="text1"/>
          <w14:textFill>
            <w14:solidFill>
              <w14:schemeClr w14:val="tx1"/>
            </w14:solidFill>
          </w14:textFill>
        </w:rPr>
        <w:t>OD</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《彭水县水功能区纳污能力核定和分阶段限制排污总量控制方案报告》</w:t>
      </w:r>
      <w:r>
        <w:rPr>
          <w:color w:val="000000" w:themeColor="text1"/>
          <w14:textFill>
            <w14:solidFill>
              <w14:schemeClr w14:val="tx1"/>
            </w14:solidFill>
          </w14:textFill>
        </w:rPr>
        <w:t>中提出的各规划水平年限制排污总量要求，</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超出水功能区纳污能力。</w:t>
      </w:r>
    </w:p>
    <w:p w14:paraId="0EBB84D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采用</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AO</w:t>
      </w:r>
      <w:r>
        <w:rPr>
          <w:rFonts w:hint="eastAsia" w:hAnsi="宋体"/>
          <w:bCs/>
          <w:color w:val="000000" w:themeColor="text1"/>
          <w14:textFill>
            <w14:solidFill>
              <w14:schemeClr w14:val="tx1"/>
            </w14:solidFill>
          </w14:textFill>
        </w:rPr>
        <w:t>”</w:t>
      </w:r>
      <w:r>
        <w:rPr>
          <w:color w:val="000000" w:themeColor="text1"/>
          <w14:textFill>
            <w14:solidFill>
              <w14:schemeClr w14:val="tx1"/>
            </w14:solidFill>
          </w14:textFill>
        </w:rPr>
        <w:t>工艺，有良好的处理效率，</w:t>
      </w:r>
      <w:r>
        <w:rPr>
          <w:rFonts w:hint="eastAsia"/>
          <w:color w:val="000000" w:themeColor="text1"/>
          <w14:textFill>
            <w14:solidFill>
              <w14:schemeClr w14:val="tx1"/>
            </w14:solidFill>
          </w14:textFill>
        </w:rPr>
        <w:t>污水处理达标后排放，</w:t>
      </w: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-N、TP消减量分别为9.5265t/a、4.2705t/a、7.555t/a、0.7227t/a、0.0986t/a，排放污染物量消减率分别可达83%、87%、92%、73%、75%。</w:t>
      </w:r>
    </w:p>
    <w:p w14:paraId="628DDBB6">
      <w:pPr>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调研</w:t>
      </w:r>
      <w:r>
        <w:rPr>
          <w:color w:val="000000" w:themeColor="text1"/>
          <w14:textFill>
            <w14:solidFill>
              <w14:schemeClr w14:val="tx1"/>
            </w14:solidFill>
          </w14:textFill>
        </w:rPr>
        <w:t>和资料查阅，论证范围内</w:t>
      </w:r>
      <w:r>
        <w:rPr>
          <w:rFonts w:hint="eastAsia"/>
          <w:color w:val="000000" w:themeColor="text1"/>
          <w14:textFill>
            <w14:solidFill>
              <w14:schemeClr w14:val="tx1"/>
            </w14:solidFill>
          </w14:textFill>
        </w:rPr>
        <w:t>有汉葭街道芦渡沟彭水县自来水厂、县自来水厂关口泵站提水工程、保家工业园区泵站提水工程等取水点，其中，汉葭街道芦渡沟彭水县自来水厂和县自来水厂关口泵站提水工程为饮用水取水口，经论证，本项目尾水达标排放</w:t>
      </w:r>
      <w:r>
        <w:rPr>
          <w:color w:val="000000" w:themeColor="text1"/>
          <w14:textFill>
            <w14:solidFill>
              <w14:schemeClr w14:val="tx1"/>
            </w14:solidFill>
          </w14:textFill>
        </w:rPr>
        <w:t>不会对第三方合法水事权益造成影响。</w:t>
      </w:r>
    </w:p>
    <w:p w14:paraId="7E70CBB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芦塘乡（板栗村）污水处理厂</w:t>
      </w:r>
      <w:r>
        <w:rPr>
          <w:color w:val="000000" w:themeColor="text1"/>
          <w14:textFill>
            <w14:solidFill>
              <w14:schemeClr w14:val="tx1"/>
            </w14:solidFill>
          </w14:textFill>
        </w:rPr>
        <w:t>入河排污口位于</w:t>
      </w:r>
      <w:r>
        <w:rPr>
          <w:rFonts w:hint="eastAsia"/>
          <w:color w:val="000000" w:themeColor="text1"/>
          <w14:textFill>
            <w14:solidFill>
              <w14:schemeClr w14:val="tx1"/>
            </w14:solidFill>
          </w14:textFill>
        </w:rPr>
        <w:t>“郁江彭水保家镇景观娱乐、饮用水源区”</w:t>
      </w:r>
      <w:r>
        <w:rPr>
          <w:color w:val="000000" w:themeColor="text1"/>
          <w14:textFill>
            <w14:solidFill>
              <w14:schemeClr w14:val="tx1"/>
            </w14:solidFill>
          </w14:textFill>
        </w:rPr>
        <w:t>内，符合该水功能区功能定位对排污口设置的要求。由于</w:t>
      </w:r>
      <w:r>
        <w:rPr>
          <w:rFonts w:hint="eastAsia"/>
          <w:color w:val="000000" w:themeColor="text1"/>
          <w14:textFill>
            <w14:solidFill>
              <w14:schemeClr w14:val="tx1"/>
            </w14:solidFill>
          </w14:textFill>
        </w:rPr>
        <w:t>污水处理厂处理规模小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尾水</w:t>
      </w:r>
      <w:r>
        <w:rPr>
          <w:color w:val="000000" w:themeColor="text1"/>
          <w14:textFill>
            <w14:solidFill>
              <w14:schemeClr w14:val="tx1"/>
            </w14:solidFill>
          </w14:textFill>
        </w:rPr>
        <w:t>排入</w:t>
      </w:r>
      <w:r>
        <w:rPr>
          <w:rFonts w:hint="eastAsia"/>
          <w:color w:val="000000" w:themeColor="text1"/>
          <w14:textFill>
            <w14:solidFill>
              <w14:schemeClr w14:val="tx1"/>
            </w14:solidFill>
          </w14:textFill>
        </w:rPr>
        <w:t>郁江</w:t>
      </w:r>
      <w:r>
        <w:rPr>
          <w:color w:val="000000" w:themeColor="text1"/>
          <w14:textFill>
            <w14:solidFill>
              <w14:schemeClr w14:val="tx1"/>
            </w14:solidFill>
          </w14:textFill>
        </w:rPr>
        <w:t>后可迅速与河水混合均匀。因此，本项目污水排放采用岸边式就近排放，其入河排污口位置是合理的。</w:t>
      </w:r>
    </w:p>
    <w:p w14:paraId="05F6A815">
      <w:pPr>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综上所述，本项目为污水处理工程，其主要功能是大幅削减</w:t>
      </w:r>
      <w:r>
        <w:rPr>
          <w:rFonts w:hint="eastAsia"/>
          <w:color w:val="000000" w:themeColor="text1"/>
          <w14:textFill>
            <w14:solidFill>
              <w14:schemeClr w14:val="tx1"/>
            </w14:solidFill>
          </w14:textFill>
        </w:rPr>
        <w:t>彭水苗族土家族自治县芦塘乡中心场镇生活污水</w:t>
      </w:r>
      <w:r>
        <w:rPr>
          <w:color w:val="000000" w:themeColor="text1"/>
          <w14:textFill>
            <w14:solidFill>
              <w14:schemeClr w14:val="tx1"/>
            </w14:solidFill>
          </w14:textFill>
        </w:rPr>
        <w:t>污染物外排量，符合行政主管部门对污染物排放的要求。</w:t>
      </w:r>
      <w:bookmarkStart w:id="113" w:name="_Toc1413"/>
      <w:bookmarkStart w:id="114" w:name="_Toc467139934"/>
      <w:bookmarkStart w:id="115" w:name="_Toc389224702"/>
      <w:bookmarkStart w:id="116" w:name="_Toc384284192"/>
      <w:bookmarkStart w:id="117" w:name="_Toc104903756"/>
      <w:bookmarkStart w:id="118" w:name="_Toc384284406"/>
    </w:p>
    <w:p w14:paraId="2878BE90">
      <w:pPr>
        <w:pStyle w:val="61"/>
        <w:spacing w:before="312"/>
      </w:pPr>
      <w:bookmarkStart w:id="119" w:name="_Toc184805702"/>
      <w:r>
        <w:t>建议</w:t>
      </w:r>
      <w:bookmarkEnd w:id="113"/>
      <w:bookmarkEnd w:id="114"/>
      <w:bookmarkEnd w:id="115"/>
      <w:bookmarkEnd w:id="116"/>
      <w:bookmarkEnd w:id="117"/>
      <w:bookmarkEnd w:id="118"/>
      <w:bookmarkEnd w:id="119"/>
    </w:p>
    <w:p w14:paraId="380197E2">
      <w:pPr>
        <w:ind w:firstLine="480"/>
        <w:rPr>
          <w:color w:val="000000" w:themeColor="text1"/>
          <w14:textFill>
            <w14:solidFill>
              <w14:schemeClr w14:val="tx1"/>
            </w14:solidFill>
          </w14:textFill>
        </w:rPr>
      </w:pPr>
      <w:bookmarkStart w:id="120" w:name="OLE_LINK44"/>
      <w:r>
        <w:rPr>
          <w:rFonts w:hint="eastAsia"/>
          <w:color w:val="000000" w:themeColor="text1"/>
          <w14:textFill>
            <w14:solidFill>
              <w14:schemeClr w14:val="tx1"/>
            </w14:solidFill>
          </w14:textFill>
        </w:rPr>
        <w:t>1、</w:t>
      </w:r>
      <w:r>
        <w:rPr>
          <w:color w:val="000000" w:themeColor="text1"/>
          <w14:textFill>
            <w14:solidFill>
              <w14:schemeClr w14:val="tx1"/>
            </w14:solidFill>
          </w14:textFill>
        </w:rPr>
        <w:t>加强污水排放水质监测</w:t>
      </w:r>
    </w:p>
    <w:p w14:paraId="267A0974">
      <w:pPr>
        <w:ind w:firstLine="480"/>
        <w:rPr>
          <w:color w:val="000000" w:themeColor="text1"/>
          <w14:textFill>
            <w14:solidFill>
              <w14:schemeClr w14:val="tx1"/>
            </w14:solidFill>
          </w14:textFill>
        </w:rPr>
      </w:pPr>
      <w:r>
        <w:rPr>
          <w:color w:val="000000" w:themeColor="text1"/>
          <w14:textFill>
            <w14:solidFill>
              <w14:schemeClr w14:val="tx1"/>
            </w14:solidFill>
          </w14:textFill>
        </w:rPr>
        <w:t>加强对建设项目处理的污水进行长期监测，加强污水处理设备进、出水水质水量监测，动态掌握污水进出水质，以便针对污水中污染物及时采取处理措施。建立每日巡查制度，做好污水排放的水质水量检测记录，并定期向区</w:t>
      </w: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局等有关部门报送排放信息及数据，接受相应的监督管理。</w:t>
      </w:r>
    </w:p>
    <w:p w14:paraId="46DBF609">
      <w:pPr>
        <w:ind w:firstLine="480"/>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cs="Times New Roman"/>
          <w:color w:val="000000" w:themeColor="text1"/>
          <w14:textFill>
            <w14:solidFill>
              <w14:schemeClr w14:val="tx1"/>
            </w14:solidFill>
          </w14:textFill>
        </w:rPr>
        <w:t>建立完善的水环境风险防控体系</w:t>
      </w:r>
    </w:p>
    <w:p w14:paraId="6C1FB6C0">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建立企业水环境风险防控体系，从污染源头、过程处理和最终排放的三级防控体系，防止环境风险事故造成水环境污染。加强日常风险防控监督，保证废水处理设备的正常运行。当废水处理设施出现故障，出水水质不达标时，及时将废水排入事故应急调节池，并实施抢修，防止发生污水泄漏事故</w:t>
      </w:r>
      <w:r>
        <w:rPr>
          <w:color w:val="000000" w:themeColor="text1"/>
          <w14:textFill>
            <w14:solidFill>
              <w14:schemeClr w14:val="tx1"/>
            </w14:solidFill>
          </w14:textFill>
        </w:rPr>
        <w:t>。</w:t>
      </w:r>
    </w:p>
    <w:p w14:paraId="5073A98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及时采取应急处理措施</w:t>
      </w:r>
    </w:p>
    <w:p w14:paraId="474AF0A6">
      <w:pPr>
        <w:ind w:firstLine="480"/>
        <w:rPr>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发生事故时，及时启用应急处理预案。做到及时发现、及时响应、及时处理，把水环境风险事故的不利影响降到最低</w:t>
      </w:r>
      <w:r>
        <w:rPr>
          <w:rFonts w:hint="eastAsia"/>
          <w:color w:val="000000" w:themeColor="text1"/>
          <w14:textFill>
            <w14:solidFill>
              <w14:schemeClr w14:val="tx1"/>
            </w14:solidFill>
          </w14:textFill>
        </w:rPr>
        <w:t>。</w:t>
      </w:r>
      <w:bookmarkEnd w:id="120"/>
    </w:p>
    <w:p w14:paraId="35D06F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定期巡查维护排污通道</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入河排污口在明显位置树立</w:t>
      </w:r>
      <w:r>
        <w:rPr>
          <w:rFonts w:hint="eastAsia"/>
          <w:color w:val="000000" w:themeColor="text1"/>
          <w14:textFill>
            <w14:solidFill>
              <w14:schemeClr w14:val="tx1"/>
            </w14:solidFill>
          </w14:textFill>
        </w:rPr>
        <w:t>规范化</w:t>
      </w:r>
      <w:r>
        <w:rPr>
          <w:color w:val="000000" w:themeColor="text1"/>
          <w14:textFill>
            <w14:solidFill>
              <w14:schemeClr w14:val="tx1"/>
            </w14:solidFill>
          </w14:textFill>
        </w:rPr>
        <w:t>标识牌</w:t>
      </w:r>
      <w:r>
        <w:rPr>
          <w:rFonts w:hint="eastAsia"/>
          <w:color w:val="000000" w:themeColor="text1"/>
          <w14:textFill>
            <w14:solidFill>
              <w14:schemeClr w14:val="tx1"/>
            </w14:solidFill>
          </w14:textFill>
        </w:rPr>
        <w:t>。</w:t>
      </w:r>
    </w:p>
    <w:p w14:paraId="43FE3B20">
      <w:pPr>
        <w:ind w:firstLine="0" w:firstLineChars="0"/>
        <w:rPr>
          <w:rFonts w:cs="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中宋">
    <w:altName w:val="Malgun Gothic Semilight"/>
    <w:panose1 w:val="00000000000000000000"/>
    <w:charset w:val="86"/>
    <w:family w:val="auto"/>
    <w:pitch w:val="default"/>
    <w:sig w:usb0="00000000" w:usb1="00000000" w:usb2="00000010" w:usb3="00000000" w:csb0="0004009F" w:csb1="00000000"/>
  </w:font>
  <w:font w:name="Malgun Gothic Semilight">
    <w:panose1 w:val="020B0502040204020203"/>
    <w:charset w:val="86"/>
    <w:family w:val="auto"/>
    <w:pitch w:val="default"/>
    <w:sig w:usb0="900002AF" w:usb1="01D77CFB" w:usb2="00000012" w:usb3="00000000" w:csb0="203E01BD" w:csb1="D7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E0BBA">
    <w:pPr>
      <w:pStyle w:val="19"/>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34DE7">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50E8">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0087483"/>
    </w:sdtPr>
    <w:sdtContent>
      <w:p w14:paraId="119403F4">
        <w:pPr>
          <w:pStyle w:val="19"/>
          <w:ind w:firstLine="360"/>
          <w:jc w:val="center"/>
        </w:pPr>
        <w:r>
          <w:fldChar w:fldCharType="begin"/>
        </w:r>
        <w:r>
          <w:instrText xml:space="preserve">PAGE   \* MERGEFORMAT</w:instrText>
        </w:r>
        <w:r>
          <w:fldChar w:fldCharType="separate"/>
        </w:r>
        <w:r>
          <w:rPr>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5201768"/>
    </w:sdtPr>
    <w:sdtContent>
      <w:p w14:paraId="41E0DE70">
        <w:pPr>
          <w:pStyle w:val="19"/>
          <w:ind w:firstLine="360"/>
          <w:jc w:val="center"/>
        </w:pPr>
        <w:r>
          <w:fldChar w:fldCharType="begin"/>
        </w:r>
        <w:r>
          <w:instrText xml:space="preserve">PAGE   \* MERGEFORMAT</w:instrText>
        </w:r>
        <w:r>
          <w:fldChar w:fldCharType="separate"/>
        </w:r>
        <w:r>
          <w:rPr>
            <w:lang w:val="zh-CN"/>
          </w:rPr>
          <w:t>59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CA63E">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9D200">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C412">
    <w:pPr>
      <w:pStyle w:val="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BEA63">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A5A1"/>
    <w:multiLevelType w:val="singleLevel"/>
    <w:tmpl w:val="A2E4A5A1"/>
    <w:lvl w:ilvl="0" w:tentative="0">
      <w:start w:val="4"/>
      <w:numFmt w:val="chineseCounting"/>
      <w:suff w:val="space"/>
      <w:lvlText w:val="第%1条"/>
      <w:lvlJc w:val="left"/>
      <w:rPr>
        <w:rFonts w:hint="eastAsia"/>
      </w:rPr>
    </w:lvl>
  </w:abstractNum>
  <w:abstractNum w:abstractNumId="1">
    <w:nsid w:val="C0A257C2"/>
    <w:multiLevelType w:val="singleLevel"/>
    <w:tmpl w:val="C0A257C2"/>
    <w:lvl w:ilvl="0" w:tentative="0">
      <w:start w:val="1"/>
      <w:numFmt w:val="decimal"/>
      <w:suff w:val="nothing"/>
      <w:lvlText w:val="%1"/>
      <w:lvlJc w:val="center"/>
      <w:pPr>
        <w:tabs>
          <w:tab w:val="left" w:pos="420"/>
        </w:tabs>
        <w:ind w:left="0" w:firstLine="0"/>
      </w:pPr>
      <w:rPr>
        <w:rFonts w:hint="default"/>
      </w:rPr>
    </w:lvl>
  </w:abstractNum>
  <w:abstractNum w:abstractNumId="2">
    <w:nsid w:val="00000007"/>
    <w:multiLevelType w:val="multilevel"/>
    <w:tmpl w:val="00000007"/>
    <w:lvl w:ilvl="0" w:tentative="0">
      <w:start w:val="1"/>
      <w:numFmt w:val="decimal"/>
      <w:pStyle w:val="114"/>
      <w:lvlText w:val="%1."/>
      <w:lvlJc w:val="left"/>
      <w:pPr>
        <w:tabs>
          <w:tab w:val="left" w:pos="432"/>
        </w:tabs>
        <w:ind w:left="432" w:hanging="432"/>
      </w:pPr>
      <w:rPr>
        <w:rFonts w:hint="default" w:ascii="Times New Roman" w:hAnsi="Times New Roman"/>
        <w:b/>
        <w:i w:val="0"/>
        <w:caps w:val="0"/>
        <w:strike w:val="0"/>
        <w:dstrike w:val="0"/>
        <w:vanish w:val="0"/>
        <w:color w:val="auto"/>
        <w:kern w:val="0"/>
        <w:u w:val="none"/>
        <w:vertAlign w:val="baseline"/>
      </w:rPr>
    </w:lvl>
    <w:lvl w:ilvl="1" w:tentative="0">
      <w:start w:val="1"/>
      <w:numFmt w:val="decimal"/>
      <w:pStyle w:val="117"/>
      <w:lvlText w:val="%1.%2"/>
      <w:lvlJc w:val="left"/>
      <w:pPr>
        <w:tabs>
          <w:tab w:val="left" w:pos="576"/>
        </w:tabs>
        <w:ind w:left="576" w:hanging="576"/>
      </w:pPr>
      <w:rPr>
        <w:rFonts w:hint="default" w:ascii="Times New Roman" w:hAnsi="Times New Roman"/>
        <w:b w:val="0"/>
        <w:i w:val="0"/>
        <w:caps w:val="0"/>
        <w:strike w:val="0"/>
        <w:dstrike w:val="0"/>
        <w:vanish w:val="0"/>
        <w:color w:val="auto"/>
        <w:u w:val="none"/>
        <w:vertAlign w:val="baseline"/>
      </w:rPr>
    </w:lvl>
    <w:lvl w:ilvl="2" w:tentative="0">
      <w:start w:val="1"/>
      <w:numFmt w:val="decimal"/>
      <w:pStyle w:val="115"/>
      <w:lvlText w:val="%1.%2.%3"/>
      <w:lvlJc w:val="left"/>
      <w:pPr>
        <w:tabs>
          <w:tab w:val="left" w:pos="720"/>
        </w:tabs>
        <w:ind w:left="720" w:hanging="720"/>
      </w:pPr>
      <w:rPr>
        <w:rFonts w:hint="default" w:ascii="Times New Roman" w:hAnsi="Times New Roman" w:cs="Times New Roman"/>
      </w:rPr>
    </w:lvl>
    <w:lvl w:ilvl="3" w:tentative="0">
      <w:start w:val="1"/>
      <w:numFmt w:val="decimal"/>
      <w:pStyle w:val="116"/>
      <w:lvlText w:val="%1.%2.%3.%4"/>
      <w:lvlJc w:val="left"/>
      <w:pPr>
        <w:tabs>
          <w:tab w:val="left" w:pos="864"/>
        </w:tabs>
        <w:ind w:left="864" w:hanging="864"/>
      </w:pPr>
      <w:rPr>
        <w:rFonts w:hint="default" w:ascii="Times New Roman" w:hAnsi="Times New Roman" w:cs="Times New Roma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0CA70CD3"/>
    <w:multiLevelType w:val="multilevel"/>
    <w:tmpl w:val="0CA70CD3"/>
    <w:lvl w:ilvl="0" w:tentative="0">
      <w:start w:val="1"/>
      <w:numFmt w:val="decimal"/>
      <w:pStyle w:val="47"/>
      <w:suff w:val="nothing"/>
      <w:lvlText w:val="（%1）"/>
      <w:lvlJc w:val="left"/>
      <w:pPr>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AE157B1"/>
    <w:multiLevelType w:val="multilevel"/>
    <w:tmpl w:val="4AE157B1"/>
    <w:lvl w:ilvl="0" w:tentative="0">
      <w:start w:val="1"/>
      <w:numFmt w:val="chineseCountingThousand"/>
      <w:pStyle w:val="43"/>
      <w:suff w:val="nothing"/>
      <w:lvlText w:val="%1、"/>
      <w:lvlJc w:val="left"/>
      <w:pPr>
        <w:ind w:left="10782" w:hanging="585"/>
      </w:pPr>
      <w:rPr>
        <w:rFonts w:hint="default" w:ascii="Times New Roman" w:hAnsi="Times New Roman" w:eastAsia="宋体" w:cs="Times New Roman"/>
        <w:b/>
      </w:rPr>
    </w:lvl>
    <w:lvl w:ilvl="1" w:tentative="0">
      <w:start w:val="1"/>
      <w:numFmt w:val="decimal"/>
      <w:pStyle w:val="3"/>
      <w:isLgl/>
      <w:suff w:val="space"/>
      <w:lvlText w:val="%1.%2"/>
      <w:lvlJc w:val="left"/>
      <w:pPr>
        <w:ind w:left="3413" w:hanging="720"/>
      </w:pPr>
      <w:rPr>
        <w:rFonts w:ascii="Times New Roman" w:hAnsi="Times New Roman"/>
        <w:b/>
        <w:bCs w:val="0"/>
        <w:i w:val="0"/>
        <w:iCs w:val="0"/>
        <w:caps w:val="0"/>
        <w:smallCaps w:val="0"/>
        <w:strike w:val="0"/>
        <w:dstrike w:val="0"/>
        <w:snapToGrid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isLgl/>
      <w:suff w:val="space"/>
      <w:lvlText w:val="%1.%2.%3"/>
      <w:lvlJc w:val="left"/>
      <w:pPr>
        <w:ind w:left="2704" w:hanging="720"/>
      </w:pPr>
      <w:rPr>
        <w:rFonts w:hint="default"/>
      </w:rPr>
    </w:lvl>
    <w:lvl w:ilvl="3" w:tentative="0">
      <w:start w:val="1"/>
      <w:numFmt w:val="decimal"/>
      <w:pStyle w:val="69"/>
      <w:isLgl/>
      <w:suff w:val="space"/>
      <w:lvlText w:val="%1.%2.%3.%4"/>
      <w:lvlJc w:val="left"/>
      <w:pPr>
        <w:ind w:left="1495" w:hanging="1080"/>
      </w:pPr>
      <w:rPr>
        <w:rFonts w:hint="default" w:ascii="Times New Roman" w:hAnsi="Times New Roman" w:eastAsia="宋体" w:cs="Times New Roman"/>
        <w:b/>
      </w:rPr>
    </w:lvl>
    <w:lvl w:ilvl="4" w:tentative="0">
      <w:start w:val="1"/>
      <w:numFmt w:val="decimal"/>
      <w:lvlText w:val="%1.%2.%3.%4.%5"/>
      <w:lvlJc w:val="left"/>
      <w:pPr>
        <w:ind w:left="1855" w:hanging="1440"/>
      </w:pPr>
      <w:rPr>
        <w:rFonts w:hint="default" w:ascii="Times New Roman" w:hAnsi="Times New Roman" w:eastAsia="宋体" w:cs="Times New Roman"/>
        <w:b/>
      </w:rPr>
    </w:lvl>
    <w:lvl w:ilvl="5" w:tentative="0">
      <w:start w:val="1"/>
      <w:numFmt w:val="decimal"/>
      <w:lvlText w:val="%1.%2.%3.%4.%5.%6"/>
      <w:lvlJc w:val="left"/>
      <w:pPr>
        <w:ind w:left="2215" w:hanging="1800"/>
      </w:pPr>
      <w:rPr>
        <w:rFonts w:hint="default" w:ascii="Times New Roman" w:hAnsi="Times New Roman" w:eastAsia="宋体" w:cs="Times New Roman"/>
        <w:b/>
      </w:rPr>
    </w:lvl>
    <w:lvl w:ilvl="6" w:tentative="0">
      <w:start w:val="1"/>
      <w:numFmt w:val="decimal"/>
      <w:lvlText w:val="%1.%2.%3.%4.%5.%6.%7"/>
      <w:lvlJc w:val="left"/>
      <w:pPr>
        <w:ind w:left="2215" w:hanging="1800"/>
      </w:pPr>
      <w:rPr>
        <w:rFonts w:hint="default" w:ascii="Times New Roman" w:hAnsi="Times New Roman" w:eastAsia="宋体" w:cs="Times New Roman"/>
        <w:b/>
      </w:rPr>
    </w:lvl>
    <w:lvl w:ilvl="7" w:tentative="0">
      <w:start w:val="1"/>
      <w:numFmt w:val="decimal"/>
      <w:lvlText w:val="%1.%2.%3.%4.%5.%6.%7.%8"/>
      <w:lvlJc w:val="left"/>
      <w:pPr>
        <w:ind w:left="2575" w:hanging="2160"/>
      </w:pPr>
      <w:rPr>
        <w:rFonts w:hint="default" w:ascii="Times New Roman" w:hAnsi="Times New Roman" w:eastAsia="宋体" w:cs="Times New Roman"/>
        <w:b/>
      </w:rPr>
    </w:lvl>
    <w:lvl w:ilvl="8" w:tentative="0">
      <w:start w:val="1"/>
      <w:numFmt w:val="decimal"/>
      <w:lvlText w:val="%1.%2.%3.%4.%5.%6.%7.%8.%9"/>
      <w:lvlJc w:val="left"/>
      <w:pPr>
        <w:ind w:left="2935" w:hanging="2520"/>
      </w:pPr>
      <w:rPr>
        <w:rFonts w:hint="default" w:ascii="Times New Roman" w:hAnsi="Times New Roman" w:eastAsia="宋体" w:cs="Times New Roman"/>
        <w:b/>
      </w:rPr>
    </w:lvl>
  </w:abstractNum>
  <w:abstractNum w:abstractNumId="5">
    <w:nsid w:val="52FE27AC"/>
    <w:multiLevelType w:val="multilevel"/>
    <w:tmpl w:val="52FE27AC"/>
    <w:lvl w:ilvl="0" w:tentative="0">
      <w:start w:val="1"/>
      <w:numFmt w:val="lowerLetter"/>
      <w:pStyle w:val="53"/>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543C45AA"/>
    <w:multiLevelType w:val="multilevel"/>
    <w:tmpl w:val="543C45AA"/>
    <w:lvl w:ilvl="0" w:tentative="0">
      <w:start w:val="1"/>
      <w:numFmt w:val="upperLetter"/>
      <w:pStyle w:val="51"/>
      <w:suff w:val="nothing"/>
      <w:lvlText w:val="%1、"/>
      <w:lvlJc w:val="left"/>
      <w:pPr>
        <w:ind w:left="1259"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7EF01E3A"/>
    <w:multiLevelType w:val="multilevel"/>
    <w:tmpl w:val="7EF01E3A"/>
    <w:lvl w:ilvl="0" w:tentative="0">
      <w:start w:val="1"/>
      <w:numFmt w:val="decimal"/>
      <w:pStyle w:val="49"/>
      <w:suff w:val="space"/>
      <w:lvlText w:val="%1)"/>
      <w:lvlJc w:val="left"/>
      <w:pPr>
        <w:ind w:left="1271" w:hanging="704"/>
      </w:pPr>
      <w:rPr>
        <w:rFonts w:hint="eastAsia"/>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num w:numId="1">
    <w:abstractNumId w:val="4"/>
  </w:num>
  <w:num w:numId="2">
    <w:abstractNumId w:val="3"/>
  </w:num>
  <w:num w:numId="3">
    <w:abstractNumId w:val="7"/>
  </w:num>
  <w:num w:numId="4">
    <w:abstractNumId w:val="6"/>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attachedTemplate r:id="rId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BD"/>
    <w:rsid w:val="00000B80"/>
    <w:rsid w:val="0000154E"/>
    <w:rsid w:val="0000162C"/>
    <w:rsid w:val="00001996"/>
    <w:rsid w:val="000022E5"/>
    <w:rsid w:val="000033B6"/>
    <w:rsid w:val="00003F3C"/>
    <w:rsid w:val="00004648"/>
    <w:rsid w:val="000053C9"/>
    <w:rsid w:val="00006734"/>
    <w:rsid w:val="00006C6A"/>
    <w:rsid w:val="00007FE0"/>
    <w:rsid w:val="00010883"/>
    <w:rsid w:val="00011EAC"/>
    <w:rsid w:val="000129BA"/>
    <w:rsid w:val="00012B6D"/>
    <w:rsid w:val="00012DCB"/>
    <w:rsid w:val="000133FD"/>
    <w:rsid w:val="0001343C"/>
    <w:rsid w:val="00013505"/>
    <w:rsid w:val="00013712"/>
    <w:rsid w:val="000142F0"/>
    <w:rsid w:val="00014ECE"/>
    <w:rsid w:val="000157E6"/>
    <w:rsid w:val="000162D3"/>
    <w:rsid w:val="00017C85"/>
    <w:rsid w:val="00017E9B"/>
    <w:rsid w:val="00021D95"/>
    <w:rsid w:val="00022035"/>
    <w:rsid w:val="000228E4"/>
    <w:rsid w:val="00022C78"/>
    <w:rsid w:val="0002308C"/>
    <w:rsid w:val="00023320"/>
    <w:rsid w:val="000246D2"/>
    <w:rsid w:val="0002489E"/>
    <w:rsid w:val="00025091"/>
    <w:rsid w:val="0002577C"/>
    <w:rsid w:val="00025BB5"/>
    <w:rsid w:val="00026253"/>
    <w:rsid w:val="000273AF"/>
    <w:rsid w:val="0002770E"/>
    <w:rsid w:val="00027B75"/>
    <w:rsid w:val="00027D72"/>
    <w:rsid w:val="00030141"/>
    <w:rsid w:val="00030B80"/>
    <w:rsid w:val="0003140D"/>
    <w:rsid w:val="00031817"/>
    <w:rsid w:val="00031A97"/>
    <w:rsid w:val="00031C1F"/>
    <w:rsid w:val="00031D2F"/>
    <w:rsid w:val="00032434"/>
    <w:rsid w:val="00032AD8"/>
    <w:rsid w:val="00034290"/>
    <w:rsid w:val="000342D7"/>
    <w:rsid w:val="00035EC3"/>
    <w:rsid w:val="00035F91"/>
    <w:rsid w:val="000367F2"/>
    <w:rsid w:val="00037403"/>
    <w:rsid w:val="0004158D"/>
    <w:rsid w:val="00041831"/>
    <w:rsid w:val="00044139"/>
    <w:rsid w:val="0004687B"/>
    <w:rsid w:val="000469B9"/>
    <w:rsid w:val="000470C7"/>
    <w:rsid w:val="0004770D"/>
    <w:rsid w:val="0004787B"/>
    <w:rsid w:val="00051B92"/>
    <w:rsid w:val="0005285B"/>
    <w:rsid w:val="000532BB"/>
    <w:rsid w:val="0005447A"/>
    <w:rsid w:val="0005494D"/>
    <w:rsid w:val="00054D66"/>
    <w:rsid w:val="00057C17"/>
    <w:rsid w:val="00060235"/>
    <w:rsid w:val="000606D0"/>
    <w:rsid w:val="00060E9C"/>
    <w:rsid w:val="000625DB"/>
    <w:rsid w:val="000635B0"/>
    <w:rsid w:val="000639D1"/>
    <w:rsid w:val="00063E3E"/>
    <w:rsid w:val="000647E1"/>
    <w:rsid w:val="00064E2B"/>
    <w:rsid w:val="00064EF5"/>
    <w:rsid w:val="0006563E"/>
    <w:rsid w:val="00066BFA"/>
    <w:rsid w:val="0006715B"/>
    <w:rsid w:val="000676E3"/>
    <w:rsid w:val="00070BDE"/>
    <w:rsid w:val="00071A4D"/>
    <w:rsid w:val="00074183"/>
    <w:rsid w:val="00074421"/>
    <w:rsid w:val="000747D0"/>
    <w:rsid w:val="00074FB6"/>
    <w:rsid w:val="00075EBE"/>
    <w:rsid w:val="00076EFB"/>
    <w:rsid w:val="000772CE"/>
    <w:rsid w:val="00077A3D"/>
    <w:rsid w:val="00077DFB"/>
    <w:rsid w:val="00080222"/>
    <w:rsid w:val="00080A28"/>
    <w:rsid w:val="000821C7"/>
    <w:rsid w:val="000841E6"/>
    <w:rsid w:val="00084B18"/>
    <w:rsid w:val="00084BDF"/>
    <w:rsid w:val="00086461"/>
    <w:rsid w:val="000864DE"/>
    <w:rsid w:val="00090169"/>
    <w:rsid w:val="000909F6"/>
    <w:rsid w:val="0009195C"/>
    <w:rsid w:val="000919EC"/>
    <w:rsid w:val="0009389D"/>
    <w:rsid w:val="00093B52"/>
    <w:rsid w:val="00094081"/>
    <w:rsid w:val="0009446D"/>
    <w:rsid w:val="000948E6"/>
    <w:rsid w:val="00094930"/>
    <w:rsid w:val="0009493E"/>
    <w:rsid w:val="000A0FB7"/>
    <w:rsid w:val="000A20A0"/>
    <w:rsid w:val="000A350A"/>
    <w:rsid w:val="000A3DCA"/>
    <w:rsid w:val="000A49BC"/>
    <w:rsid w:val="000A507D"/>
    <w:rsid w:val="000A6595"/>
    <w:rsid w:val="000A79B9"/>
    <w:rsid w:val="000A7BBE"/>
    <w:rsid w:val="000B033E"/>
    <w:rsid w:val="000B12BC"/>
    <w:rsid w:val="000B1388"/>
    <w:rsid w:val="000B1C3E"/>
    <w:rsid w:val="000B271C"/>
    <w:rsid w:val="000B2AAF"/>
    <w:rsid w:val="000B36BC"/>
    <w:rsid w:val="000B3762"/>
    <w:rsid w:val="000B51FF"/>
    <w:rsid w:val="000B54D0"/>
    <w:rsid w:val="000B692F"/>
    <w:rsid w:val="000B69C2"/>
    <w:rsid w:val="000B7443"/>
    <w:rsid w:val="000B7FF8"/>
    <w:rsid w:val="000C013B"/>
    <w:rsid w:val="000C0AC5"/>
    <w:rsid w:val="000C0AEB"/>
    <w:rsid w:val="000C15CB"/>
    <w:rsid w:val="000C2017"/>
    <w:rsid w:val="000C273C"/>
    <w:rsid w:val="000C2CC2"/>
    <w:rsid w:val="000C48D8"/>
    <w:rsid w:val="000C49CF"/>
    <w:rsid w:val="000C5293"/>
    <w:rsid w:val="000C64B6"/>
    <w:rsid w:val="000D0374"/>
    <w:rsid w:val="000D0668"/>
    <w:rsid w:val="000D08B4"/>
    <w:rsid w:val="000D244C"/>
    <w:rsid w:val="000D3282"/>
    <w:rsid w:val="000D3BA1"/>
    <w:rsid w:val="000D41F7"/>
    <w:rsid w:val="000D6312"/>
    <w:rsid w:val="000D64A0"/>
    <w:rsid w:val="000D70AF"/>
    <w:rsid w:val="000D70E4"/>
    <w:rsid w:val="000D7645"/>
    <w:rsid w:val="000D7F78"/>
    <w:rsid w:val="000E03C6"/>
    <w:rsid w:val="000E04A8"/>
    <w:rsid w:val="000E0C50"/>
    <w:rsid w:val="000E0F79"/>
    <w:rsid w:val="000E1127"/>
    <w:rsid w:val="000E18D0"/>
    <w:rsid w:val="000E1ABA"/>
    <w:rsid w:val="000E2314"/>
    <w:rsid w:val="000E369E"/>
    <w:rsid w:val="000E545C"/>
    <w:rsid w:val="000E6A79"/>
    <w:rsid w:val="000E7311"/>
    <w:rsid w:val="000E7BBE"/>
    <w:rsid w:val="000F227C"/>
    <w:rsid w:val="000F2543"/>
    <w:rsid w:val="000F2559"/>
    <w:rsid w:val="000F2A51"/>
    <w:rsid w:val="000F37E8"/>
    <w:rsid w:val="000F4335"/>
    <w:rsid w:val="000F543F"/>
    <w:rsid w:val="000F5841"/>
    <w:rsid w:val="000F60E9"/>
    <w:rsid w:val="000F6207"/>
    <w:rsid w:val="000F6889"/>
    <w:rsid w:val="000F6E04"/>
    <w:rsid w:val="000F73B3"/>
    <w:rsid w:val="000F73F7"/>
    <w:rsid w:val="000F750F"/>
    <w:rsid w:val="00100260"/>
    <w:rsid w:val="0010093C"/>
    <w:rsid w:val="00100F5F"/>
    <w:rsid w:val="001011E8"/>
    <w:rsid w:val="00101AFF"/>
    <w:rsid w:val="00101C2B"/>
    <w:rsid w:val="00101F8C"/>
    <w:rsid w:val="00102842"/>
    <w:rsid w:val="00102936"/>
    <w:rsid w:val="00102B06"/>
    <w:rsid w:val="001033D0"/>
    <w:rsid w:val="00103711"/>
    <w:rsid w:val="00105113"/>
    <w:rsid w:val="0010550B"/>
    <w:rsid w:val="00106622"/>
    <w:rsid w:val="00106AE0"/>
    <w:rsid w:val="001079C8"/>
    <w:rsid w:val="001102BC"/>
    <w:rsid w:val="00110DFC"/>
    <w:rsid w:val="00111831"/>
    <w:rsid w:val="00111C41"/>
    <w:rsid w:val="001125D3"/>
    <w:rsid w:val="00113660"/>
    <w:rsid w:val="00113FBD"/>
    <w:rsid w:val="00117489"/>
    <w:rsid w:val="00117E58"/>
    <w:rsid w:val="001203A9"/>
    <w:rsid w:val="00120EBE"/>
    <w:rsid w:val="00121EF6"/>
    <w:rsid w:val="001233F7"/>
    <w:rsid w:val="00123C75"/>
    <w:rsid w:val="00123F75"/>
    <w:rsid w:val="00124483"/>
    <w:rsid w:val="00125E32"/>
    <w:rsid w:val="0012735F"/>
    <w:rsid w:val="00127A34"/>
    <w:rsid w:val="00127B06"/>
    <w:rsid w:val="00130467"/>
    <w:rsid w:val="00130495"/>
    <w:rsid w:val="00130942"/>
    <w:rsid w:val="00130F9A"/>
    <w:rsid w:val="00133DA0"/>
    <w:rsid w:val="001355A7"/>
    <w:rsid w:val="00135D30"/>
    <w:rsid w:val="00137064"/>
    <w:rsid w:val="0013782E"/>
    <w:rsid w:val="00137A93"/>
    <w:rsid w:val="00137BD6"/>
    <w:rsid w:val="001402AD"/>
    <w:rsid w:val="00140468"/>
    <w:rsid w:val="00140523"/>
    <w:rsid w:val="00140CD8"/>
    <w:rsid w:val="0014179F"/>
    <w:rsid w:val="0014183D"/>
    <w:rsid w:val="00141878"/>
    <w:rsid w:val="00141BA9"/>
    <w:rsid w:val="00141E89"/>
    <w:rsid w:val="00142784"/>
    <w:rsid w:val="00142F17"/>
    <w:rsid w:val="001432D2"/>
    <w:rsid w:val="00143D7E"/>
    <w:rsid w:val="00143E67"/>
    <w:rsid w:val="0014570F"/>
    <w:rsid w:val="00146296"/>
    <w:rsid w:val="00151EF7"/>
    <w:rsid w:val="0015204D"/>
    <w:rsid w:val="001534B4"/>
    <w:rsid w:val="001540A4"/>
    <w:rsid w:val="00155ADB"/>
    <w:rsid w:val="00155BDD"/>
    <w:rsid w:val="00156A75"/>
    <w:rsid w:val="00156C08"/>
    <w:rsid w:val="00160B4B"/>
    <w:rsid w:val="00161F17"/>
    <w:rsid w:val="001620E4"/>
    <w:rsid w:val="00162962"/>
    <w:rsid w:val="0016331F"/>
    <w:rsid w:val="00163780"/>
    <w:rsid w:val="00163B23"/>
    <w:rsid w:val="00166289"/>
    <w:rsid w:val="001662BD"/>
    <w:rsid w:val="00166C9B"/>
    <w:rsid w:val="00167993"/>
    <w:rsid w:val="00167AE4"/>
    <w:rsid w:val="00167DFE"/>
    <w:rsid w:val="00171255"/>
    <w:rsid w:val="001717C1"/>
    <w:rsid w:val="00171A17"/>
    <w:rsid w:val="00172273"/>
    <w:rsid w:val="00172584"/>
    <w:rsid w:val="00172843"/>
    <w:rsid w:val="00172B56"/>
    <w:rsid w:val="00173048"/>
    <w:rsid w:val="00174CFA"/>
    <w:rsid w:val="00176017"/>
    <w:rsid w:val="001760D5"/>
    <w:rsid w:val="001768B1"/>
    <w:rsid w:val="00177E5D"/>
    <w:rsid w:val="00180106"/>
    <w:rsid w:val="00180726"/>
    <w:rsid w:val="001814E9"/>
    <w:rsid w:val="00181511"/>
    <w:rsid w:val="00181AFD"/>
    <w:rsid w:val="001825B2"/>
    <w:rsid w:val="0018421F"/>
    <w:rsid w:val="00184CF1"/>
    <w:rsid w:val="0018574C"/>
    <w:rsid w:val="00185A23"/>
    <w:rsid w:val="00186141"/>
    <w:rsid w:val="001863C0"/>
    <w:rsid w:val="00186CAF"/>
    <w:rsid w:val="001874CD"/>
    <w:rsid w:val="00190EF1"/>
    <w:rsid w:val="00191789"/>
    <w:rsid w:val="00191C3E"/>
    <w:rsid w:val="00191FE3"/>
    <w:rsid w:val="00192454"/>
    <w:rsid w:val="00192FC9"/>
    <w:rsid w:val="00193482"/>
    <w:rsid w:val="001937B9"/>
    <w:rsid w:val="001937ED"/>
    <w:rsid w:val="0019703D"/>
    <w:rsid w:val="001971D0"/>
    <w:rsid w:val="00197D7A"/>
    <w:rsid w:val="001A07C3"/>
    <w:rsid w:val="001A0D04"/>
    <w:rsid w:val="001A0F77"/>
    <w:rsid w:val="001A162B"/>
    <w:rsid w:val="001A1F52"/>
    <w:rsid w:val="001A2560"/>
    <w:rsid w:val="001A2957"/>
    <w:rsid w:val="001A36A0"/>
    <w:rsid w:val="001A4098"/>
    <w:rsid w:val="001A47E7"/>
    <w:rsid w:val="001A4A50"/>
    <w:rsid w:val="001A4DF8"/>
    <w:rsid w:val="001A55CD"/>
    <w:rsid w:val="001A68AB"/>
    <w:rsid w:val="001A6990"/>
    <w:rsid w:val="001A6DF1"/>
    <w:rsid w:val="001A7630"/>
    <w:rsid w:val="001B031A"/>
    <w:rsid w:val="001B0574"/>
    <w:rsid w:val="001B0AD8"/>
    <w:rsid w:val="001B0B1A"/>
    <w:rsid w:val="001B0BB9"/>
    <w:rsid w:val="001B18DB"/>
    <w:rsid w:val="001B3E8C"/>
    <w:rsid w:val="001B4894"/>
    <w:rsid w:val="001B6CD7"/>
    <w:rsid w:val="001B7BA1"/>
    <w:rsid w:val="001B7FC3"/>
    <w:rsid w:val="001C01E5"/>
    <w:rsid w:val="001C2C26"/>
    <w:rsid w:val="001C384E"/>
    <w:rsid w:val="001C439C"/>
    <w:rsid w:val="001C4B15"/>
    <w:rsid w:val="001C58A8"/>
    <w:rsid w:val="001C5DE9"/>
    <w:rsid w:val="001C6DE0"/>
    <w:rsid w:val="001C6DE7"/>
    <w:rsid w:val="001D1741"/>
    <w:rsid w:val="001D1D1B"/>
    <w:rsid w:val="001D2569"/>
    <w:rsid w:val="001D407F"/>
    <w:rsid w:val="001D4815"/>
    <w:rsid w:val="001D523E"/>
    <w:rsid w:val="001D546E"/>
    <w:rsid w:val="001D6372"/>
    <w:rsid w:val="001D7A45"/>
    <w:rsid w:val="001E021E"/>
    <w:rsid w:val="001E02EC"/>
    <w:rsid w:val="001E0D3C"/>
    <w:rsid w:val="001E2B73"/>
    <w:rsid w:val="001E301D"/>
    <w:rsid w:val="001E3372"/>
    <w:rsid w:val="001E3BA1"/>
    <w:rsid w:val="001E43B6"/>
    <w:rsid w:val="001E44DB"/>
    <w:rsid w:val="001E48C8"/>
    <w:rsid w:val="001E588B"/>
    <w:rsid w:val="001E599D"/>
    <w:rsid w:val="001E6B98"/>
    <w:rsid w:val="001F00E8"/>
    <w:rsid w:val="001F3483"/>
    <w:rsid w:val="001F36E1"/>
    <w:rsid w:val="001F3D83"/>
    <w:rsid w:val="001F3DB7"/>
    <w:rsid w:val="001F41FC"/>
    <w:rsid w:val="001F4BB3"/>
    <w:rsid w:val="001F568A"/>
    <w:rsid w:val="001F5AA1"/>
    <w:rsid w:val="001F5D23"/>
    <w:rsid w:val="001F6AC0"/>
    <w:rsid w:val="002000DC"/>
    <w:rsid w:val="0020026E"/>
    <w:rsid w:val="00200B63"/>
    <w:rsid w:val="002011A6"/>
    <w:rsid w:val="00202927"/>
    <w:rsid w:val="00202EA8"/>
    <w:rsid w:val="00203029"/>
    <w:rsid w:val="00204C58"/>
    <w:rsid w:val="00204FD9"/>
    <w:rsid w:val="002051D0"/>
    <w:rsid w:val="00210755"/>
    <w:rsid w:val="0021090A"/>
    <w:rsid w:val="002109CB"/>
    <w:rsid w:val="00210C47"/>
    <w:rsid w:val="00211578"/>
    <w:rsid w:val="002117FA"/>
    <w:rsid w:val="00211D06"/>
    <w:rsid w:val="00211D11"/>
    <w:rsid w:val="00212941"/>
    <w:rsid w:val="0021413A"/>
    <w:rsid w:val="0021559B"/>
    <w:rsid w:val="002155B0"/>
    <w:rsid w:val="00217FC7"/>
    <w:rsid w:val="00221038"/>
    <w:rsid w:val="002219B1"/>
    <w:rsid w:val="00221BEB"/>
    <w:rsid w:val="00222CD0"/>
    <w:rsid w:val="00223AEA"/>
    <w:rsid w:val="00223B85"/>
    <w:rsid w:val="0022486E"/>
    <w:rsid w:val="0022488D"/>
    <w:rsid w:val="002249A3"/>
    <w:rsid w:val="00225507"/>
    <w:rsid w:val="00227787"/>
    <w:rsid w:val="00227845"/>
    <w:rsid w:val="00227D6D"/>
    <w:rsid w:val="00230BA8"/>
    <w:rsid w:val="00230D40"/>
    <w:rsid w:val="002336A5"/>
    <w:rsid w:val="00233EAB"/>
    <w:rsid w:val="00233F52"/>
    <w:rsid w:val="00234224"/>
    <w:rsid w:val="0023425B"/>
    <w:rsid w:val="002342A8"/>
    <w:rsid w:val="002347EB"/>
    <w:rsid w:val="00234D6C"/>
    <w:rsid w:val="00235362"/>
    <w:rsid w:val="00240D0C"/>
    <w:rsid w:val="00241900"/>
    <w:rsid w:val="00241CBF"/>
    <w:rsid w:val="00242B51"/>
    <w:rsid w:val="0024342C"/>
    <w:rsid w:val="00243E5B"/>
    <w:rsid w:val="00244ABF"/>
    <w:rsid w:val="00245992"/>
    <w:rsid w:val="00245D9D"/>
    <w:rsid w:val="0024661E"/>
    <w:rsid w:val="002474A6"/>
    <w:rsid w:val="00247BDF"/>
    <w:rsid w:val="002511CA"/>
    <w:rsid w:val="00251D3C"/>
    <w:rsid w:val="00251E73"/>
    <w:rsid w:val="00254F45"/>
    <w:rsid w:val="002559EB"/>
    <w:rsid w:val="00256612"/>
    <w:rsid w:val="0025699C"/>
    <w:rsid w:val="00256DC7"/>
    <w:rsid w:val="002570C8"/>
    <w:rsid w:val="002576BF"/>
    <w:rsid w:val="002578C5"/>
    <w:rsid w:val="00261386"/>
    <w:rsid w:val="00261A16"/>
    <w:rsid w:val="00262328"/>
    <w:rsid w:val="00263CA0"/>
    <w:rsid w:val="00265124"/>
    <w:rsid w:val="00265A1B"/>
    <w:rsid w:val="00265E1A"/>
    <w:rsid w:val="002668C6"/>
    <w:rsid w:val="00266EA5"/>
    <w:rsid w:val="00267688"/>
    <w:rsid w:val="00267ED5"/>
    <w:rsid w:val="0027080F"/>
    <w:rsid w:val="002709F9"/>
    <w:rsid w:val="00270A31"/>
    <w:rsid w:val="002720E5"/>
    <w:rsid w:val="00272420"/>
    <w:rsid w:val="002728C5"/>
    <w:rsid w:val="00273E99"/>
    <w:rsid w:val="00274EC5"/>
    <w:rsid w:val="0027579F"/>
    <w:rsid w:val="00276663"/>
    <w:rsid w:val="00277B58"/>
    <w:rsid w:val="00277FB3"/>
    <w:rsid w:val="00280E6D"/>
    <w:rsid w:val="00280FF8"/>
    <w:rsid w:val="00281771"/>
    <w:rsid w:val="002817D2"/>
    <w:rsid w:val="00281EEA"/>
    <w:rsid w:val="0028216E"/>
    <w:rsid w:val="00283997"/>
    <w:rsid w:val="00283AD3"/>
    <w:rsid w:val="00284547"/>
    <w:rsid w:val="0028520C"/>
    <w:rsid w:val="0028548A"/>
    <w:rsid w:val="00286037"/>
    <w:rsid w:val="0028627D"/>
    <w:rsid w:val="002911F9"/>
    <w:rsid w:val="002915DD"/>
    <w:rsid w:val="00291A16"/>
    <w:rsid w:val="00291AD5"/>
    <w:rsid w:val="002922DF"/>
    <w:rsid w:val="00292489"/>
    <w:rsid w:val="00293735"/>
    <w:rsid w:val="0029396E"/>
    <w:rsid w:val="00294301"/>
    <w:rsid w:val="00294CD2"/>
    <w:rsid w:val="002952EB"/>
    <w:rsid w:val="00295F24"/>
    <w:rsid w:val="00296A61"/>
    <w:rsid w:val="002978A8"/>
    <w:rsid w:val="002A10D2"/>
    <w:rsid w:val="002A1556"/>
    <w:rsid w:val="002A23DC"/>
    <w:rsid w:val="002A2775"/>
    <w:rsid w:val="002A286F"/>
    <w:rsid w:val="002A3973"/>
    <w:rsid w:val="002A3F26"/>
    <w:rsid w:val="002A45E8"/>
    <w:rsid w:val="002A472C"/>
    <w:rsid w:val="002A47CF"/>
    <w:rsid w:val="002A53D6"/>
    <w:rsid w:val="002A707B"/>
    <w:rsid w:val="002B0415"/>
    <w:rsid w:val="002B0A52"/>
    <w:rsid w:val="002B111E"/>
    <w:rsid w:val="002B1F0F"/>
    <w:rsid w:val="002B2264"/>
    <w:rsid w:val="002B31FC"/>
    <w:rsid w:val="002B332B"/>
    <w:rsid w:val="002B52FA"/>
    <w:rsid w:val="002B5829"/>
    <w:rsid w:val="002B5BFA"/>
    <w:rsid w:val="002B630C"/>
    <w:rsid w:val="002B66B2"/>
    <w:rsid w:val="002B7D65"/>
    <w:rsid w:val="002C016E"/>
    <w:rsid w:val="002C024D"/>
    <w:rsid w:val="002C05CF"/>
    <w:rsid w:val="002C080E"/>
    <w:rsid w:val="002C2001"/>
    <w:rsid w:val="002C204D"/>
    <w:rsid w:val="002C24E6"/>
    <w:rsid w:val="002C408A"/>
    <w:rsid w:val="002C52DC"/>
    <w:rsid w:val="002C63E4"/>
    <w:rsid w:val="002C6881"/>
    <w:rsid w:val="002C6DF5"/>
    <w:rsid w:val="002C7CF9"/>
    <w:rsid w:val="002D1548"/>
    <w:rsid w:val="002D2288"/>
    <w:rsid w:val="002D2BB4"/>
    <w:rsid w:val="002D2D65"/>
    <w:rsid w:val="002D2DB6"/>
    <w:rsid w:val="002D379B"/>
    <w:rsid w:val="002D41B2"/>
    <w:rsid w:val="002D489C"/>
    <w:rsid w:val="002D55A2"/>
    <w:rsid w:val="002D7016"/>
    <w:rsid w:val="002D76A7"/>
    <w:rsid w:val="002E2969"/>
    <w:rsid w:val="002E3427"/>
    <w:rsid w:val="002E3EBE"/>
    <w:rsid w:val="002E56A5"/>
    <w:rsid w:val="002F0738"/>
    <w:rsid w:val="002F0D2C"/>
    <w:rsid w:val="002F1116"/>
    <w:rsid w:val="002F112D"/>
    <w:rsid w:val="002F1A17"/>
    <w:rsid w:val="002F1B88"/>
    <w:rsid w:val="002F2605"/>
    <w:rsid w:val="002F35AB"/>
    <w:rsid w:val="002F37D7"/>
    <w:rsid w:val="002F3869"/>
    <w:rsid w:val="002F3CCE"/>
    <w:rsid w:val="002F3E4C"/>
    <w:rsid w:val="002F4626"/>
    <w:rsid w:val="002F48F7"/>
    <w:rsid w:val="002F4F50"/>
    <w:rsid w:val="002F56E5"/>
    <w:rsid w:val="002F570C"/>
    <w:rsid w:val="002F5C93"/>
    <w:rsid w:val="002F5E88"/>
    <w:rsid w:val="002F7349"/>
    <w:rsid w:val="002F7FC7"/>
    <w:rsid w:val="00300C49"/>
    <w:rsid w:val="00302032"/>
    <w:rsid w:val="00303690"/>
    <w:rsid w:val="003037A0"/>
    <w:rsid w:val="00303A40"/>
    <w:rsid w:val="00303AEA"/>
    <w:rsid w:val="00303F15"/>
    <w:rsid w:val="0030411F"/>
    <w:rsid w:val="00304A8F"/>
    <w:rsid w:val="00305143"/>
    <w:rsid w:val="00305241"/>
    <w:rsid w:val="00305E0E"/>
    <w:rsid w:val="00305EF5"/>
    <w:rsid w:val="003071AD"/>
    <w:rsid w:val="0030791A"/>
    <w:rsid w:val="00307A93"/>
    <w:rsid w:val="00310551"/>
    <w:rsid w:val="00310D04"/>
    <w:rsid w:val="00311514"/>
    <w:rsid w:val="00312C4F"/>
    <w:rsid w:val="00312F49"/>
    <w:rsid w:val="00313119"/>
    <w:rsid w:val="0031524B"/>
    <w:rsid w:val="0031554E"/>
    <w:rsid w:val="0031608C"/>
    <w:rsid w:val="00316C7F"/>
    <w:rsid w:val="00317D30"/>
    <w:rsid w:val="0032126D"/>
    <w:rsid w:val="00321866"/>
    <w:rsid w:val="0032227B"/>
    <w:rsid w:val="003223D3"/>
    <w:rsid w:val="00322493"/>
    <w:rsid w:val="003241E3"/>
    <w:rsid w:val="00324258"/>
    <w:rsid w:val="00324A8C"/>
    <w:rsid w:val="00325484"/>
    <w:rsid w:val="00326563"/>
    <w:rsid w:val="00326950"/>
    <w:rsid w:val="00327AAD"/>
    <w:rsid w:val="00327B73"/>
    <w:rsid w:val="00330094"/>
    <w:rsid w:val="00330421"/>
    <w:rsid w:val="0033061B"/>
    <w:rsid w:val="00330D57"/>
    <w:rsid w:val="00331A00"/>
    <w:rsid w:val="003322A0"/>
    <w:rsid w:val="00333174"/>
    <w:rsid w:val="0033328D"/>
    <w:rsid w:val="003332ED"/>
    <w:rsid w:val="00334A02"/>
    <w:rsid w:val="003353BE"/>
    <w:rsid w:val="00335737"/>
    <w:rsid w:val="00335898"/>
    <w:rsid w:val="00335EA6"/>
    <w:rsid w:val="00336A16"/>
    <w:rsid w:val="00337A68"/>
    <w:rsid w:val="00337B82"/>
    <w:rsid w:val="00340099"/>
    <w:rsid w:val="00340415"/>
    <w:rsid w:val="00340F0B"/>
    <w:rsid w:val="003412A7"/>
    <w:rsid w:val="00341414"/>
    <w:rsid w:val="003440A7"/>
    <w:rsid w:val="00344241"/>
    <w:rsid w:val="003447C2"/>
    <w:rsid w:val="003458A8"/>
    <w:rsid w:val="00345E0F"/>
    <w:rsid w:val="00346E99"/>
    <w:rsid w:val="00347449"/>
    <w:rsid w:val="0034764F"/>
    <w:rsid w:val="0035101B"/>
    <w:rsid w:val="00351B24"/>
    <w:rsid w:val="00351EF8"/>
    <w:rsid w:val="003526D7"/>
    <w:rsid w:val="0035287A"/>
    <w:rsid w:val="00352B02"/>
    <w:rsid w:val="0035319C"/>
    <w:rsid w:val="003532A7"/>
    <w:rsid w:val="00354A2A"/>
    <w:rsid w:val="00354BF9"/>
    <w:rsid w:val="00356295"/>
    <w:rsid w:val="00356A0C"/>
    <w:rsid w:val="00356D75"/>
    <w:rsid w:val="0035725F"/>
    <w:rsid w:val="0035758F"/>
    <w:rsid w:val="003576C8"/>
    <w:rsid w:val="00357958"/>
    <w:rsid w:val="00362355"/>
    <w:rsid w:val="00362B31"/>
    <w:rsid w:val="00363DFC"/>
    <w:rsid w:val="00363FA7"/>
    <w:rsid w:val="00364CA1"/>
    <w:rsid w:val="003655B0"/>
    <w:rsid w:val="00365EAC"/>
    <w:rsid w:val="003661C7"/>
    <w:rsid w:val="00366408"/>
    <w:rsid w:val="003671BC"/>
    <w:rsid w:val="003677D5"/>
    <w:rsid w:val="003705D6"/>
    <w:rsid w:val="003705F8"/>
    <w:rsid w:val="00370B89"/>
    <w:rsid w:val="00371620"/>
    <w:rsid w:val="003716F7"/>
    <w:rsid w:val="00371E0C"/>
    <w:rsid w:val="003738A3"/>
    <w:rsid w:val="003753AF"/>
    <w:rsid w:val="00375F13"/>
    <w:rsid w:val="003779F2"/>
    <w:rsid w:val="00377EC8"/>
    <w:rsid w:val="00380AA6"/>
    <w:rsid w:val="00380BAC"/>
    <w:rsid w:val="00381D3F"/>
    <w:rsid w:val="00381F85"/>
    <w:rsid w:val="003846E5"/>
    <w:rsid w:val="00384FBD"/>
    <w:rsid w:val="00384FD0"/>
    <w:rsid w:val="00387473"/>
    <w:rsid w:val="00387A90"/>
    <w:rsid w:val="00390B53"/>
    <w:rsid w:val="00391418"/>
    <w:rsid w:val="00391D6F"/>
    <w:rsid w:val="00391EF3"/>
    <w:rsid w:val="0039350E"/>
    <w:rsid w:val="00393916"/>
    <w:rsid w:val="00393EC0"/>
    <w:rsid w:val="00394165"/>
    <w:rsid w:val="00395041"/>
    <w:rsid w:val="003959AC"/>
    <w:rsid w:val="00396DBC"/>
    <w:rsid w:val="00397009"/>
    <w:rsid w:val="003979F8"/>
    <w:rsid w:val="003A1279"/>
    <w:rsid w:val="003A1451"/>
    <w:rsid w:val="003A19DB"/>
    <w:rsid w:val="003A217D"/>
    <w:rsid w:val="003A2635"/>
    <w:rsid w:val="003A2F10"/>
    <w:rsid w:val="003A3B21"/>
    <w:rsid w:val="003A4B51"/>
    <w:rsid w:val="003A4BE0"/>
    <w:rsid w:val="003A5287"/>
    <w:rsid w:val="003A563A"/>
    <w:rsid w:val="003A56CC"/>
    <w:rsid w:val="003A5FD0"/>
    <w:rsid w:val="003A6C00"/>
    <w:rsid w:val="003A78AD"/>
    <w:rsid w:val="003A79A0"/>
    <w:rsid w:val="003A7E31"/>
    <w:rsid w:val="003B1DAC"/>
    <w:rsid w:val="003B2922"/>
    <w:rsid w:val="003B35D0"/>
    <w:rsid w:val="003B36EE"/>
    <w:rsid w:val="003B496E"/>
    <w:rsid w:val="003B4A74"/>
    <w:rsid w:val="003B4BB3"/>
    <w:rsid w:val="003B5184"/>
    <w:rsid w:val="003B615A"/>
    <w:rsid w:val="003B69D0"/>
    <w:rsid w:val="003C1046"/>
    <w:rsid w:val="003C11B3"/>
    <w:rsid w:val="003C176E"/>
    <w:rsid w:val="003C1F67"/>
    <w:rsid w:val="003C2481"/>
    <w:rsid w:val="003C265A"/>
    <w:rsid w:val="003C2AD6"/>
    <w:rsid w:val="003C31A5"/>
    <w:rsid w:val="003C3E37"/>
    <w:rsid w:val="003C4B4E"/>
    <w:rsid w:val="003C6053"/>
    <w:rsid w:val="003C608B"/>
    <w:rsid w:val="003C60A4"/>
    <w:rsid w:val="003C7D66"/>
    <w:rsid w:val="003D0298"/>
    <w:rsid w:val="003D0882"/>
    <w:rsid w:val="003D2A54"/>
    <w:rsid w:val="003D3505"/>
    <w:rsid w:val="003D3D7A"/>
    <w:rsid w:val="003D4401"/>
    <w:rsid w:val="003D5508"/>
    <w:rsid w:val="003D579C"/>
    <w:rsid w:val="003D5E1B"/>
    <w:rsid w:val="003D635B"/>
    <w:rsid w:val="003D653A"/>
    <w:rsid w:val="003D69B1"/>
    <w:rsid w:val="003D6BCE"/>
    <w:rsid w:val="003D7267"/>
    <w:rsid w:val="003D7399"/>
    <w:rsid w:val="003E0231"/>
    <w:rsid w:val="003E065B"/>
    <w:rsid w:val="003E0F6A"/>
    <w:rsid w:val="003E101A"/>
    <w:rsid w:val="003E24B0"/>
    <w:rsid w:val="003E2543"/>
    <w:rsid w:val="003E25D7"/>
    <w:rsid w:val="003E467C"/>
    <w:rsid w:val="003E4AE2"/>
    <w:rsid w:val="003E4DB1"/>
    <w:rsid w:val="003E5FC8"/>
    <w:rsid w:val="003F0F3B"/>
    <w:rsid w:val="003F1D5A"/>
    <w:rsid w:val="003F24DE"/>
    <w:rsid w:val="003F275D"/>
    <w:rsid w:val="003F2C35"/>
    <w:rsid w:val="003F40A7"/>
    <w:rsid w:val="003F42C6"/>
    <w:rsid w:val="003F42EE"/>
    <w:rsid w:val="003F42F5"/>
    <w:rsid w:val="003F4716"/>
    <w:rsid w:val="003F4AA2"/>
    <w:rsid w:val="003F4FA8"/>
    <w:rsid w:val="003F5052"/>
    <w:rsid w:val="003F53DB"/>
    <w:rsid w:val="003F584F"/>
    <w:rsid w:val="003F5972"/>
    <w:rsid w:val="003F6334"/>
    <w:rsid w:val="003F7A49"/>
    <w:rsid w:val="004001B1"/>
    <w:rsid w:val="00400629"/>
    <w:rsid w:val="00400DE1"/>
    <w:rsid w:val="00401496"/>
    <w:rsid w:val="004016E4"/>
    <w:rsid w:val="00401C7D"/>
    <w:rsid w:val="00403747"/>
    <w:rsid w:val="004038B5"/>
    <w:rsid w:val="00403C9D"/>
    <w:rsid w:val="00404624"/>
    <w:rsid w:val="00405BAB"/>
    <w:rsid w:val="00405BFD"/>
    <w:rsid w:val="00411435"/>
    <w:rsid w:val="00411641"/>
    <w:rsid w:val="004122A2"/>
    <w:rsid w:val="00412A34"/>
    <w:rsid w:val="00412F1F"/>
    <w:rsid w:val="00414104"/>
    <w:rsid w:val="00414248"/>
    <w:rsid w:val="0041443F"/>
    <w:rsid w:val="0041448D"/>
    <w:rsid w:val="00414856"/>
    <w:rsid w:val="00415607"/>
    <w:rsid w:val="00416122"/>
    <w:rsid w:val="004167DE"/>
    <w:rsid w:val="00416DAD"/>
    <w:rsid w:val="00416F05"/>
    <w:rsid w:val="0041717D"/>
    <w:rsid w:val="0042072E"/>
    <w:rsid w:val="004215ED"/>
    <w:rsid w:val="00421C56"/>
    <w:rsid w:val="00422EEF"/>
    <w:rsid w:val="00423624"/>
    <w:rsid w:val="004240F4"/>
    <w:rsid w:val="004246DC"/>
    <w:rsid w:val="00425259"/>
    <w:rsid w:val="00425B29"/>
    <w:rsid w:val="00427014"/>
    <w:rsid w:val="00427C2D"/>
    <w:rsid w:val="0043001C"/>
    <w:rsid w:val="00430352"/>
    <w:rsid w:val="00430933"/>
    <w:rsid w:val="0043266F"/>
    <w:rsid w:val="004338D7"/>
    <w:rsid w:val="004339E0"/>
    <w:rsid w:val="0043430E"/>
    <w:rsid w:val="00434446"/>
    <w:rsid w:val="00434CA2"/>
    <w:rsid w:val="0043717A"/>
    <w:rsid w:val="00440416"/>
    <w:rsid w:val="00440EA6"/>
    <w:rsid w:val="0044139B"/>
    <w:rsid w:val="004415E5"/>
    <w:rsid w:val="00441F61"/>
    <w:rsid w:val="00442A3E"/>
    <w:rsid w:val="00444311"/>
    <w:rsid w:val="00445103"/>
    <w:rsid w:val="00446A8A"/>
    <w:rsid w:val="00453088"/>
    <w:rsid w:val="004534E3"/>
    <w:rsid w:val="00453933"/>
    <w:rsid w:val="00453D83"/>
    <w:rsid w:val="00454A95"/>
    <w:rsid w:val="00454DB2"/>
    <w:rsid w:val="00455563"/>
    <w:rsid w:val="00455C70"/>
    <w:rsid w:val="00456467"/>
    <w:rsid w:val="004571EA"/>
    <w:rsid w:val="00457DF3"/>
    <w:rsid w:val="00460516"/>
    <w:rsid w:val="004617D1"/>
    <w:rsid w:val="00462C63"/>
    <w:rsid w:val="00464348"/>
    <w:rsid w:val="004645F3"/>
    <w:rsid w:val="00465765"/>
    <w:rsid w:val="004658CE"/>
    <w:rsid w:val="004669EC"/>
    <w:rsid w:val="00467D28"/>
    <w:rsid w:val="00470740"/>
    <w:rsid w:val="00470D53"/>
    <w:rsid w:val="00470DEE"/>
    <w:rsid w:val="0047111D"/>
    <w:rsid w:val="00471BA0"/>
    <w:rsid w:val="00471CD8"/>
    <w:rsid w:val="004725BD"/>
    <w:rsid w:val="004725CC"/>
    <w:rsid w:val="0047265C"/>
    <w:rsid w:val="0047275E"/>
    <w:rsid w:val="00473A89"/>
    <w:rsid w:val="004743B8"/>
    <w:rsid w:val="00474CC7"/>
    <w:rsid w:val="0047557B"/>
    <w:rsid w:val="00475809"/>
    <w:rsid w:val="00476A07"/>
    <w:rsid w:val="004771AB"/>
    <w:rsid w:val="004800ED"/>
    <w:rsid w:val="00480CC0"/>
    <w:rsid w:val="0048119C"/>
    <w:rsid w:val="00481EFE"/>
    <w:rsid w:val="0048306E"/>
    <w:rsid w:val="00483BC6"/>
    <w:rsid w:val="00484074"/>
    <w:rsid w:val="00484BBC"/>
    <w:rsid w:val="00484D39"/>
    <w:rsid w:val="00486076"/>
    <w:rsid w:val="004863AD"/>
    <w:rsid w:val="004865DF"/>
    <w:rsid w:val="0048679C"/>
    <w:rsid w:val="00486B3F"/>
    <w:rsid w:val="00487628"/>
    <w:rsid w:val="00490C4B"/>
    <w:rsid w:val="00490D25"/>
    <w:rsid w:val="0049241A"/>
    <w:rsid w:val="00494585"/>
    <w:rsid w:val="00494A0B"/>
    <w:rsid w:val="00495274"/>
    <w:rsid w:val="004963CD"/>
    <w:rsid w:val="00496D53"/>
    <w:rsid w:val="0049763E"/>
    <w:rsid w:val="00497F65"/>
    <w:rsid w:val="004A01B6"/>
    <w:rsid w:val="004A0E61"/>
    <w:rsid w:val="004A1050"/>
    <w:rsid w:val="004A34CD"/>
    <w:rsid w:val="004A410F"/>
    <w:rsid w:val="004A7349"/>
    <w:rsid w:val="004A7EC3"/>
    <w:rsid w:val="004B0114"/>
    <w:rsid w:val="004B112F"/>
    <w:rsid w:val="004B197A"/>
    <w:rsid w:val="004B3215"/>
    <w:rsid w:val="004B32F8"/>
    <w:rsid w:val="004B388B"/>
    <w:rsid w:val="004B4AF8"/>
    <w:rsid w:val="004B655A"/>
    <w:rsid w:val="004B698B"/>
    <w:rsid w:val="004B7AA8"/>
    <w:rsid w:val="004C1502"/>
    <w:rsid w:val="004C15CF"/>
    <w:rsid w:val="004C1779"/>
    <w:rsid w:val="004C1DDF"/>
    <w:rsid w:val="004C28AB"/>
    <w:rsid w:val="004C2B36"/>
    <w:rsid w:val="004C2EB3"/>
    <w:rsid w:val="004C2EE4"/>
    <w:rsid w:val="004C36EB"/>
    <w:rsid w:val="004C376A"/>
    <w:rsid w:val="004C3A9A"/>
    <w:rsid w:val="004C4DEE"/>
    <w:rsid w:val="004C72AF"/>
    <w:rsid w:val="004C743D"/>
    <w:rsid w:val="004C7644"/>
    <w:rsid w:val="004C79D9"/>
    <w:rsid w:val="004C79DC"/>
    <w:rsid w:val="004D061C"/>
    <w:rsid w:val="004D0B75"/>
    <w:rsid w:val="004D15AB"/>
    <w:rsid w:val="004D17FD"/>
    <w:rsid w:val="004D1840"/>
    <w:rsid w:val="004D1D1D"/>
    <w:rsid w:val="004D265D"/>
    <w:rsid w:val="004D4193"/>
    <w:rsid w:val="004D47DB"/>
    <w:rsid w:val="004D52CA"/>
    <w:rsid w:val="004D5972"/>
    <w:rsid w:val="004D5B9F"/>
    <w:rsid w:val="004D74D3"/>
    <w:rsid w:val="004D79DF"/>
    <w:rsid w:val="004E02F6"/>
    <w:rsid w:val="004E1309"/>
    <w:rsid w:val="004E135F"/>
    <w:rsid w:val="004E1C88"/>
    <w:rsid w:val="004E1D10"/>
    <w:rsid w:val="004E2D98"/>
    <w:rsid w:val="004E3831"/>
    <w:rsid w:val="004E38FA"/>
    <w:rsid w:val="004E3DA5"/>
    <w:rsid w:val="004E45F0"/>
    <w:rsid w:val="004E5C6E"/>
    <w:rsid w:val="004E63FD"/>
    <w:rsid w:val="004E7226"/>
    <w:rsid w:val="004E733B"/>
    <w:rsid w:val="004E73D2"/>
    <w:rsid w:val="004E754C"/>
    <w:rsid w:val="004E7CB3"/>
    <w:rsid w:val="004E7E79"/>
    <w:rsid w:val="004F1F97"/>
    <w:rsid w:val="004F22C0"/>
    <w:rsid w:val="004F2336"/>
    <w:rsid w:val="004F280D"/>
    <w:rsid w:val="004F2B24"/>
    <w:rsid w:val="004F3232"/>
    <w:rsid w:val="004F3D35"/>
    <w:rsid w:val="004F41CC"/>
    <w:rsid w:val="004F4B52"/>
    <w:rsid w:val="004F4BEB"/>
    <w:rsid w:val="004F4C42"/>
    <w:rsid w:val="004F53C2"/>
    <w:rsid w:val="004F5711"/>
    <w:rsid w:val="004F582B"/>
    <w:rsid w:val="004F5C8A"/>
    <w:rsid w:val="004F6070"/>
    <w:rsid w:val="004F625C"/>
    <w:rsid w:val="004F643F"/>
    <w:rsid w:val="004F67D9"/>
    <w:rsid w:val="004F6D54"/>
    <w:rsid w:val="00500E76"/>
    <w:rsid w:val="0050132D"/>
    <w:rsid w:val="00502153"/>
    <w:rsid w:val="00502664"/>
    <w:rsid w:val="00502948"/>
    <w:rsid w:val="00502CE6"/>
    <w:rsid w:val="0050351C"/>
    <w:rsid w:val="00503893"/>
    <w:rsid w:val="00504763"/>
    <w:rsid w:val="00504D33"/>
    <w:rsid w:val="00505BE6"/>
    <w:rsid w:val="00506AD3"/>
    <w:rsid w:val="0050778B"/>
    <w:rsid w:val="00507D22"/>
    <w:rsid w:val="00510149"/>
    <w:rsid w:val="005104C2"/>
    <w:rsid w:val="00510CAE"/>
    <w:rsid w:val="00511607"/>
    <w:rsid w:val="00512076"/>
    <w:rsid w:val="00512FEF"/>
    <w:rsid w:val="005136F5"/>
    <w:rsid w:val="00513BC2"/>
    <w:rsid w:val="00515EB9"/>
    <w:rsid w:val="00516745"/>
    <w:rsid w:val="0051780E"/>
    <w:rsid w:val="00517CC9"/>
    <w:rsid w:val="00517D24"/>
    <w:rsid w:val="00517D2E"/>
    <w:rsid w:val="00520347"/>
    <w:rsid w:val="0052069D"/>
    <w:rsid w:val="00520795"/>
    <w:rsid w:val="00521FC1"/>
    <w:rsid w:val="00522105"/>
    <w:rsid w:val="00522675"/>
    <w:rsid w:val="00522DD5"/>
    <w:rsid w:val="00522F8F"/>
    <w:rsid w:val="00523259"/>
    <w:rsid w:val="0052373D"/>
    <w:rsid w:val="00524F27"/>
    <w:rsid w:val="00525249"/>
    <w:rsid w:val="005259D6"/>
    <w:rsid w:val="0052607C"/>
    <w:rsid w:val="005303C6"/>
    <w:rsid w:val="005304A7"/>
    <w:rsid w:val="00530625"/>
    <w:rsid w:val="00532139"/>
    <w:rsid w:val="00533A0B"/>
    <w:rsid w:val="00534255"/>
    <w:rsid w:val="005356F6"/>
    <w:rsid w:val="0053574D"/>
    <w:rsid w:val="00537473"/>
    <w:rsid w:val="0053777C"/>
    <w:rsid w:val="005400C6"/>
    <w:rsid w:val="005404C7"/>
    <w:rsid w:val="00540621"/>
    <w:rsid w:val="0054151B"/>
    <w:rsid w:val="00541590"/>
    <w:rsid w:val="00541AB7"/>
    <w:rsid w:val="0054370D"/>
    <w:rsid w:val="005466D1"/>
    <w:rsid w:val="00547727"/>
    <w:rsid w:val="00550D89"/>
    <w:rsid w:val="00550FE8"/>
    <w:rsid w:val="00551491"/>
    <w:rsid w:val="00551699"/>
    <w:rsid w:val="00551C16"/>
    <w:rsid w:val="005529BD"/>
    <w:rsid w:val="00553EAD"/>
    <w:rsid w:val="00553F92"/>
    <w:rsid w:val="00554566"/>
    <w:rsid w:val="00554B4B"/>
    <w:rsid w:val="005552B7"/>
    <w:rsid w:val="00556A1A"/>
    <w:rsid w:val="0055729A"/>
    <w:rsid w:val="005573F5"/>
    <w:rsid w:val="00557ACA"/>
    <w:rsid w:val="0056096E"/>
    <w:rsid w:val="00560FDC"/>
    <w:rsid w:val="005616AD"/>
    <w:rsid w:val="005659FE"/>
    <w:rsid w:val="00565E3F"/>
    <w:rsid w:val="00567FE4"/>
    <w:rsid w:val="00571129"/>
    <w:rsid w:val="00572570"/>
    <w:rsid w:val="0057294E"/>
    <w:rsid w:val="00573E3D"/>
    <w:rsid w:val="005745BA"/>
    <w:rsid w:val="005748DD"/>
    <w:rsid w:val="00574CA3"/>
    <w:rsid w:val="005756F5"/>
    <w:rsid w:val="00575CFD"/>
    <w:rsid w:val="00576322"/>
    <w:rsid w:val="005766D8"/>
    <w:rsid w:val="00577333"/>
    <w:rsid w:val="005774F6"/>
    <w:rsid w:val="00577965"/>
    <w:rsid w:val="0058034F"/>
    <w:rsid w:val="0058036D"/>
    <w:rsid w:val="0058068A"/>
    <w:rsid w:val="005810D1"/>
    <w:rsid w:val="005816BD"/>
    <w:rsid w:val="00582897"/>
    <w:rsid w:val="00582C88"/>
    <w:rsid w:val="005833C5"/>
    <w:rsid w:val="00583D7E"/>
    <w:rsid w:val="00583DFE"/>
    <w:rsid w:val="005843B4"/>
    <w:rsid w:val="00584BA0"/>
    <w:rsid w:val="00585C41"/>
    <w:rsid w:val="00586389"/>
    <w:rsid w:val="0058666A"/>
    <w:rsid w:val="005869C3"/>
    <w:rsid w:val="00586D3D"/>
    <w:rsid w:val="00590C15"/>
    <w:rsid w:val="005910FB"/>
    <w:rsid w:val="005914FE"/>
    <w:rsid w:val="005919A5"/>
    <w:rsid w:val="005920B6"/>
    <w:rsid w:val="00593C53"/>
    <w:rsid w:val="00597CE6"/>
    <w:rsid w:val="00597D94"/>
    <w:rsid w:val="005A0259"/>
    <w:rsid w:val="005A103F"/>
    <w:rsid w:val="005A19D8"/>
    <w:rsid w:val="005A36FA"/>
    <w:rsid w:val="005A3E9A"/>
    <w:rsid w:val="005A3FC1"/>
    <w:rsid w:val="005A428C"/>
    <w:rsid w:val="005A7136"/>
    <w:rsid w:val="005A7910"/>
    <w:rsid w:val="005A7CA8"/>
    <w:rsid w:val="005B0002"/>
    <w:rsid w:val="005B126D"/>
    <w:rsid w:val="005B12AA"/>
    <w:rsid w:val="005B2759"/>
    <w:rsid w:val="005B372E"/>
    <w:rsid w:val="005B678C"/>
    <w:rsid w:val="005B7257"/>
    <w:rsid w:val="005B72F9"/>
    <w:rsid w:val="005B7F25"/>
    <w:rsid w:val="005C0624"/>
    <w:rsid w:val="005C0B92"/>
    <w:rsid w:val="005C0BAD"/>
    <w:rsid w:val="005C177C"/>
    <w:rsid w:val="005C1AC7"/>
    <w:rsid w:val="005C1F9A"/>
    <w:rsid w:val="005C39D3"/>
    <w:rsid w:val="005C3D51"/>
    <w:rsid w:val="005C4097"/>
    <w:rsid w:val="005C52B2"/>
    <w:rsid w:val="005C54CB"/>
    <w:rsid w:val="005C5B7C"/>
    <w:rsid w:val="005C5D86"/>
    <w:rsid w:val="005C5EF9"/>
    <w:rsid w:val="005C683F"/>
    <w:rsid w:val="005C691B"/>
    <w:rsid w:val="005C6ED0"/>
    <w:rsid w:val="005D1557"/>
    <w:rsid w:val="005D2669"/>
    <w:rsid w:val="005D2FA7"/>
    <w:rsid w:val="005D3642"/>
    <w:rsid w:val="005D39DF"/>
    <w:rsid w:val="005D4E47"/>
    <w:rsid w:val="005D54D5"/>
    <w:rsid w:val="005D5581"/>
    <w:rsid w:val="005D5779"/>
    <w:rsid w:val="005D5B78"/>
    <w:rsid w:val="005D615C"/>
    <w:rsid w:val="005D640F"/>
    <w:rsid w:val="005D7C63"/>
    <w:rsid w:val="005E09BD"/>
    <w:rsid w:val="005E12AB"/>
    <w:rsid w:val="005E17F0"/>
    <w:rsid w:val="005E1F7D"/>
    <w:rsid w:val="005E218F"/>
    <w:rsid w:val="005E2A16"/>
    <w:rsid w:val="005E3065"/>
    <w:rsid w:val="005E32B1"/>
    <w:rsid w:val="005E3CF3"/>
    <w:rsid w:val="005E5F54"/>
    <w:rsid w:val="005E6041"/>
    <w:rsid w:val="005E6799"/>
    <w:rsid w:val="005E6BEE"/>
    <w:rsid w:val="005E7912"/>
    <w:rsid w:val="005F0975"/>
    <w:rsid w:val="005F10C4"/>
    <w:rsid w:val="005F1C70"/>
    <w:rsid w:val="005F1EB6"/>
    <w:rsid w:val="005F3584"/>
    <w:rsid w:val="005F382B"/>
    <w:rsid w:val="005F388E"/>
    <w:rsid w:val="005F4699"/>
    <w:rsid w:val="005F4EA6"/>
    <w:rsid w:val="005F5010"/>
    <w:rsid w:val="005F6EDC"/>
    <w:rsid w:val="005F701D"/>
    <w:rsid w:val="005F7170"/>
    <w:rsid w:val="005F7B20"/>
    <w:rsid w:val="006004C2"/>
    <w:rsid w:val="006009C0"/>
    <w:rsid w:val="00600F66"/>
    <w:rsid w:val="006014CF"/>
    <w:rsid w:val="006016E3"/>
    <w:rsid w:val="00601D65"/>
    <w:rsid w:val="00601D92"/>
    <w:rsid w:val="00601EC2"/>
    <w:rsid w:val="00603304"/>
    <w:rsid w:val="00603D8D"/>
    <w:rsid w:val="00605706"/>
    <w:rsid w:val="00605D32"/>
    <w:rsid w:val="006111B1"/>
    <w:rsid w:val="00611ABF"/>
    <w:rsid w:val="00611BE7"/>
    <w:rsid w:val="0061220F"/>
    <w:rsid w:val="006124E8"/>
    <w:rsid w:val="00613FD7"/>
    <w:rsid w:val="00614E50"/>
    <w:rsid w:val="00615182"/>
    <w:rsid w:val="006161DB"/>
    <w:rsid w:val="00616D0E"/>
    <w:rsid w:val="00621309"/>
    <w:rsid w:val="006223CF"/>
    <w:rsid w:val="00622BAE"/>
    <w:rsid w:val="00622EC6"/>
    <w:rsid w:val="00623E84"/>
    <w:rsid w:val="00624311"/>
    <w:rsid w:val="00624C1A"/>
    <w:rsid w:val="00625547"/>
    <w:rsid w:val="006255C3"/>
    <w:rsid w:val="006258E9"/>
    <w:rsid w:val="00626347"/>
    <w:rsid w:val="00626577"/>
    <w:rsid w:val="00627F22"/>
    <w:rsid w:val="0063124E"/>
    <w:rsid w:val="006330EF"/>
    <w:rsid w:val="006332DF"/>
    <w:rsid w:val="0063384F"/>
    <w:rsid w:val="00633A52"/>
    <w:rsid w:val="00634478"/>
    <w:rsid w:val="00634726"/>
    <w:rsid w:val="0063480C"/>
    <w:rsid w:val="006352AE"/>
    <w:rsid w:val="0063543D"/>
    <w:rsid w:val="006356CC"/>
    <w:rsid w:val="00637B6D"/>
    <w:rsid w:val="00640196"/>
    <w:rsid w:val="006406CB"/>
    <w:rsid w:val="00642347"/>
    <w:rsid w:val="00642E65"/>
    <w:rsid w:val="00642F23"/>
    <w:rsid w:val="00643AF1"/>
    <w:rsid w:val="00643F74"/>
    <w:rsid w:val="00644230"/>
    <w:rsid w:val="0064466D"/>
    <w:rsid w:val="00645137"/>
    <w:rsid w:val="006454EF"/>
    <w:rsid w:val="00645C32"/>
    <w:rsid w:val="006464CB"/>
    <w:rsid w:val="0064687E"/>
    <w:rsid w:val="0064691D"/>
    <w:rsid w:val="00646BA3"/>
    <w:rsid w:val="0064743A"/>
    <w:rsid w:val="00647FAC"/>
    <w:rsid w:val="00650962"/>
    <w:rsid w:val="00651093"/>
    <w:rsid w:val="0065214B"/>
    <w:rsid w:val="006525CD"/>
    <w:rsid w:val="00653031"/>
    <w:rsid w:val="0065332C"/>
    <w:rsid w:val="006549BA"/>
    <w:rsid w:val="00656407"/>
    <w:rsid w:val="006567CE"/>
    <w:rsid w:val="006569FD"/>
    <w:rsid w:val="0065760E"/>
    <w:rsid w:val="006578A0"/>
    <w:rsid w:val="00657CA6"/>
    <w:rsid w:val="00660286"/>
    <w:rsid w:val="0066093D"/>
    <w:rsid w:val="00661DD3"/>
    <w:rsid w:val="006634DF"/>
    <w:rsid w:val="00663755"/>
    <w:rsid w:val="0066401C"/>
    <w:rsid w:val="00665558"/>
    <w:rsid w:val="0066556C"/>
    <w:rsid w:val="00665C19"/>
    <w:rsid w:val="00665FAE"/>
    <w:rsid w:val="006664E7"/>
    <w:rsid w:val="00666BDA"/>
    <w:rsid w:val="00667401"/>
    <w:rsid w:val="00667542"/>
    <w:rsid w:val="00670C06"/>
    <w:rsid w:val="00672368"/>
    <w:rsid w:val="0067288D"/>
    <w:rsid w:val="0067289F"/>
    <w:rsid w:val="00673883"/>
    <w:rsid w:val="00673A80"/>
    <w:rsid w:val="00673DAF"/>
    <w:rsid w:val="006753E8"/>
    <w:rsid w:val="006766CF"/>
    <w:rsid w:val="00681132"/>
    <w:rsid w:val="00681819"/>
    <w:rsid w:val="00681AC0"/>
    <w:rsid w:val="00681CB9"/>
    <w:rsid w:val="006823B9"/>
    <w:rsid w:val="0068396F"/>
    <w:rsid w:val="00684293"/>
    <w:rsid w:val="0068438A"/>
    <w:rsid w:val="00684781"/>
    <w:rsid w:val="00685D5B"/>
    <w:rsid w:val="006860E9"/>
    <w:rsid w:val="00686A3F"/>
    <w:rsid w:val="0068779E"/>
    <w:rsid w:val="00687A49"/>
    <w:rsid w:val="00690D6D"/>
    <w:rsid w:val="0069161A"/>
    <w:rsid w:val="00691828"/>
    <w:rsid w:val="00691DF1"/>
    <w:rsid w:val="006925AE"/>
    <w:rsid w:val="006925B7"/>
    <w:rsid w:val="00692F8C"/>
    <w:rsid w:val="006945C4"/>
    <w:rsid w:val="006947C0"/>
    <w:rsid w:val="00694994"/>
    <w:rsid w:val="00694BDF"/>
    <w:rsid w:val="00696840"/>
    <w:rsid w:val="0069691A"/>
    <w:rsid w:val="00696B48"/>
    <w:rsid w:val="006979E7"/>
    <w:rsid w:val="00697D3C"/>
    <w:rsid w:val="006A0ACA"/>
    <w:rsid w:val="006A2138"/>
    <w:rsid w:val="006A23DE"/>
    <w:rsid w:val="006A35F7"/>
    <w:rsid w:val="006A47CC"/>
    <w:rsid w:val="006A5757"/>
    <w:rsid w:val="006A5D67"/>
    <w:rsid w:val="006A603B"/>
    <w:rsid w:val="006A64FA"/>
    <w:rsid w:val="006A6963"/>
    <w:rsid w:val="006A6E29"/>
    <w:rsid w:val="006A74AE"/>
    <w:rsid w:val="006A74FD"/>
    <w:rsid w:val="006A7DD3"/>
    <w:rsid w:val="006B03CA"/>
    <w:rsid w:val="006B0F66"/>
    <w:rsid w:val="006B1E2B"/>
    <w:rsid w:val="006B2CE5"/>
    <w:rsid w:val="006B312D"/>
    <w:rsid w:val="006B3265"/>
    <w:rsid w:val="006B34C8"/>
    <w:rsid w:val="006B41F9"/>
    <w:rsid w:val="006B4226"/>
    <w:rsid w:val="006B45B0"/>
    <w:rsid w:val="006B45D9"/>
    <w:rsid w:val="006B5B3A"/>
    <w:rsid w:val="006B5BF5"/>
    <w:rsid w:val="006B63B1"/>
    <w:rsid w:val="006B65D5"/>
    <w:rsid w:val="006B6E09"/>
    <w:rsid w:val="006B6E87"/>
    <w:rsid w:val="006B6FD5"/>
    <w:rsid w:val="006B723A"/>
    <w:rsid w:val="006B7915"/>
    <w:rsid w:val="006B7B3E"/>
    <w:rsid w:val="006B7F4B"/>
    <w:rsid w:val="006C0A73"/>
    <w:rsid w:val="006C0B79"/>
    <w:rsid w:val="006C196E"/>
    <w:rsid w:val="006C27BA"/>
    <w:rsid w:val="006C367C"/>
    <w:rsid w:val="006C37BB"/>
    <w:rsid w:val="006C3989"/>
    <w:rsid w:val="006C3D0B"/>
    <w:rsid w:val="006C4FB0"/>
    <w:rsid w:val="006C51C6"/>
    <w:rsid w:val="006C6429"/>
    <w:rsid w:val="006C78E8"/>
    <w:rsid w:val="006C7DF1"/>
    <w:rsid w:val="006D0B72"/>
    <w:rsid w:val="006D25CA"/>
    <w:rsid w:val="006D27BD"/>
    <w:rsid w:val="006D3E0A"/>
    <w:rsid w:val="006D42B2"/>
    <w:rsid w:val="006D542F"/>
    <w:rsid w:val="006D5D62"/>
    <w:rsid w:val="006D6391"/>
    <w:rsid w:val="006D6AE6"/>
    <w:rsid w:val="006D6E50"/>
    <w:rsid w:val="006D708D"/>
    <w:rsid w:val="006E009D"/>
    <w:rsid w:val="006E02C6"/>
    <w:rsid w:val="006E0311"/>
    <w:rsid w:val="006E1503"/>
    <w:rsid w:val="006E1698"/>
    <w:rsid w:val="006E183F"/>
    <w:rsid w:val="006E1978"/>
    <w:rsid w:val="006E19AD"/>
    <w:rsid w:val="006E2232"/>
    <w:rsid w:val="006E2A9D"/>
    <w:rsid w:val="006E3790"/>
    <w:rsid w:val="006E426D"/>
    <w:rsid w:val="006E479A"/>
    <w:rsid w:val="006E47FE"/>
    <w:rsid w:val="006E4F25"/>
    <w:rsid w:val="006E520C"/>
    <w:rsid w:val="006E5BF8"/>
    <w:rsid w:val="006E69A4"/>
    <w:rsid w:val="006E7200"/>
    <w:rsid w:val="006E72F8"/>
    <w:rsid w:val="006F024A"/>
    <w:rsid w:val="006F0F3D"/>
    <w:rsid w:val="006F2EB8"/>
    <w:rsid w:val="006F4BF4"/>
    <w:rsid w:val="006F5000"/>
    <w:rsid w:val="006F5AF0"/>
    <w:rsid w:val="006F5CC7"/>
    <w:rsid w:val="006F644C"/>
    <w:rsid w:val="006F71EE"/>
    <w:rsid w:val="006F73D0"/>
    <w:rsid w:val="00700D0C"/>
    <w:rsid w:val="00700F35"/>
    <w:rsid w:val="00700FE3"/>
    <w:rsid w:val="007016C3"/>
    <w:rsid w:val="00702421"/>
    <w:rsid w:val="00702AD3"/>
    <w:rsid w:val="00702B8D"/>
    <w:rsid w:val="007033A6"/>
    <w:rsid w:val="00703408"/>
    <w:rsid w:val="00703655"/>
    <w:rsid w:val="00703A3F"/>
    <w:rsid w:val="00704298"/>
    <w:rsid w:val="00704B5C"/>
    <w:rsid w:val="00704EB7"/>
    <w:rsid w:val="007058D0"/>
    <w:rsid w:val="007074FC"/>
    <w:rsid w:val="0070772A"/>
    <w:rsid w:val="007133F3"/>
    <w:rsid w:val="00713417"/>
    <w:rsid w:val="007136E5"/>
    <w:rsid w:val="007141BF"/>
    <w:rsid w:val="007150A6"/>
    <w:rsid w:val="007152DA"/>
    <w:rsid w:val="00716E48"/>
    <w:rsid w:val="007172B9"/>
    <w:rsid w:val="007200C5"/>
    <w:rsid w:val="00720257"/>
    <w:rsid w:val="007225BB"/>
    <w:rsid w:val="00722A7B"/>
    <w:rsid w:val="00723301"/>
    <w:rsid w:val="00724236"/>
    <w:rsid w:val="0072443B"/>
    <w:rsid w:val="0072492E"/>
    <w:rsid w:val="00724ABA"/>
    <w:rsid w:val="007258D9"/>
    <w:rsid w:val="007267A6"/>
    <w:rsid w:val="00726D3B"/>
    <w:rsid w:val="00726FBF"/>
    <w:rsid w:val="00727345"/>
    <w:rsid w:val="00727B20"/>
    <w:rsid w:val="00727B8C"/>
    <w:rsid w:val="0073090D"/>
    <w:rsid w:val="007312BF"/>
    <w:rsid w:val="0073155A"/>
    <w:rsid w:val="0073382D"/>
    <w:rsid w:val="00733A78"/>
    <w:rsid w:val="00733CE9"/>
    <w:rsid w:val="00733FF3"/>
    <w:rsid w:val="00734540"/>
    <w:rsid w:val="00734AFC"/>
    <w:rsid w:val="00735253"/>
    <w:rsid w:val="0073533F"/>
    <w:rsid w:val="00735750"/>
    <w:rsid w:val="00735988"/>
    <w:rsid w:val="00736C3F"/>
    <w:rsid w:val="00740BBD"/>
    <w:rsid w:val="00740C5F"/>
    <w:rsid w:val="00740C60"/>
    <w:rsid w:val="00740CBC"/>
    <w:rsid w:val="00740D86"/>
    <w:rsid w:val="00741529"/>
    <w:rsid w:val="00741FAA"/>
    <w:rsid w:val="00742205"/>
    <w:rsid w:val="007431BD"/>
    <w:rsid w:val="0074404F"/>
    <w:rsid w:val="007460C5"/>
    <w:rsid w:val="00746C3A"/>
    <w:rsid w:val="007479E2"/>
    <w:rsid w:val="0075068A"/>
    <w:rsid w:val="007514BD"/>
    <w:rsid w:val="00753621"/>
    <w:rsid w:val="00753B74"/>
    <w:rsid w:val="00755F84"/>
    <w:rsid w:val="00756549"/>
    <w:rsid w:val="00756738"/>
    <w:rsid w:val="00757E92"/>
    <w:rsid w:val="00761EA9"/>
    <w:rsid w:val="007620D4"/>
    <w:rsid w:val="007629F7"/>
    <w:rsid w:val="00763106"/>
    <w:rsid w:val="007636B3"/>
    <w:rsid w:val="00764119"/>
    <w:rsid w:val="00764FCE"/>
    <w:rsid w:val="00765097"/>
    <w:rsid w:val="007657A2"/>
    <w:rsid w:val="00765A74"/>
    <w:rsid w:val="00765A87"/>
    <w:rsid w:val="007662C8"/>
    <w:rsid w:val="00766497"/>
    <w:rsid w:val="00766AAB"/>
    <w:rsid w:val="00767DED"/>
    <w:rsid w:val="007703A8"/>
    <w:rsid w:val="00771B22"/>
    <w:rsid w:val="00771F46"/>
    <w:rsid w:val="00772773"/>
    <w:rsid w:val="00773107"/>
    <w:rsid w:val="0077314F"/>
    <w:rsid w:val="00773154"/>
    <w:rsid w:val="00774A0A"/>
    <w:rsid w:val="00774EC0"/>
    <w:rsid w:val="00776BFA"/>
    <w:rsid w:val="00777080"/>
    <w:rsid w:val="00777847"/>
    <w:rsid w:val="00777A0E"/>
    <w:rsid w:val="007809CC"/>
    <w:rsid w:val="00781766"/>
    <w:rsid w:val="007818CE"/>
    <w:rsid w:val="00781904"/>
    <w:rsid w:val="007824AE"/>
    <w:rsid w:val="007824C6"/>
    <w:rsid w:val="00782684"/>
    <w:rsid w:val="007826FE"/>
    <w:rsid w:val="0078395E"/>
    <w:rsid w:val="007849AB"/>
    <w:rsid w:val="00784D6A"/>
    <w:rsid w:val="00785D49"/>
    <w:rsid w:val="007860D9"/>
    <w:rsid w:val="0078718D"/>
    <w:rsid w:val="0078739C"/>
    <w:rsid w:val="007877F8"/>
    <w:rsid w:val="00790DA8"/>
    <w:rsid w:val="00791627"/>
    <w:rsid w:val="007919CB"/>
    <w:rsid w:val="00791BB5"/>
    <w:rsid w:val="00791D3B"/>
    <w:rsid w:val="00791D7A"/>
    <w:rsid w:val="0079204E"/>
    <w:rsid w:val="00792256"/>
    <w:rsid w:val="007925E2"/>
    <w:rsid w:val="0079313D"/>
    <w:rsid w:val="00793997"/>
    <w:rsid w:val="007953F6"/>
    <w:rsid w:val="00796808"/>
    <w:rsid w:val="00796981"/>
    <w:rsid w:val="007A0649"/>
    <w:rsid w:val="007A0D1E"/>
    <w:rsid w:val="007A132F"/>
    <w:rsid w:val="007A13F0"/>
    <w:rsid w:val="007A1A6B"/>
    <w:rsid w:val="007A21FD"/>
    <w:rsid w:val="007A2541"/>
    <w:rsid w:val="007A2953"/>
    <w:rsid w:val="007A3C4B"/>
    <w:rsid w:val="007A447C"/>
    <w:rsid w:val="007A5C1D"/>
    <w:rsid w:val="007A5FF0"/>
    <w:rsid w:val="007A5FFC"/>
    <w:rsid w:val="007A630F"/>
    <w:rsid w:val="007A6A39"/>
    <w:rsid w:val="007A6AB0"/>
    <w:rsid w:val="007A6B6A"/>
    <w:rsid w:val="007A73AB"/>
    <w:rsid w:val="007A76EB"/>
    <w:rsid w:val="007B0C0F"/>
    <w:rsid w:val="007B0C51"/>
    <w:rsid w:val="007B15C7"/>
    <w:rsid w:val="007B377D"/>
    <w:rsid w:val="007B3ED9"/>
    <w:rsid w:val="007B4C11"/>
    <w:rsid w:val="007B5A33"/>
    <w:rsid w:val="007B658F"/>
    <w:rsid w:val="007B6BE5"/>
    <w:rsid w:val="007B7C7A"/>
    <w:rsid w:val="007C007A"/>
    <w:rsid w:val="007C170F"/>
    <w:rsid w:val="007C3575"/>
    <w:rsid w:val="007C4E33"/>
    <w:rsid w:val="007C5441"/>
    <w:rsid w:val="007C68C4"/>
    <w:rsid w:val="007D0677"/>
    <w:rsid w:val="007D13C7"/>
    <w:rsid w:val="007D1B3C"/>
    <w:rsid w:val="007D2FAF"/>
    <w:rsid w:val="007D3509"/>
    <w:rsid w:val="007D3914"/>
    <w:rsid w:val="007D62CE"/>
    <w:rsid w:val="007D6885"/>
    <w:rsid w:val="007D7887"/>
    <w:rsid w:val="007D7EBD"/>
    <w:rsid w:val="007D7EFB"/>
    <w:rsid w:val="007E018C"/>
    <w:rsid w:val="007E01DF"/>
    <w:rsid w:val="007E095A"/>
    <w:rsid w:val="007E0B17"/>
    <w:rsid w:val="007E0FCB"/>
    <w:rsid w:val="007E1066"/>
    <w:rsid w:val="007E10CE"/>
    <w:rsid w:val="007E1C01"/>
    <w:rsid w:val="007E2783"/>
    <w:rsid w:val="007E2A15"/>
    <w:rsid w:val="007E2EE0"/>
    <w:rsid w:val="007E33AA"/>
    <w:rsid w:val="007E3B87"/>
    <w:rsid w:val="007E47A9"/>
    <w:rsid w:val="007E5655"/>
    <w:rsid w:val="007E6F1D"/>
    <w:rsid w:val="007E722C"/>
    <w:rsid w:val="007E7DAC"/>
    <w:rsid w:val="007E7ECE"/>
    <w:rsid w:val="007F0D64"/>
    <w:rsid w:val="007F27B3"/>
    <w:rsid w:val="007F30EC"/>
    <w:rsid w:val="007F3861"/>
    <w:rsid w:val="007F423E"/>
    <w:rsid w:val="007F4894"/>
    <w:rsid w:val="007F5999"/>
    <w:rsid w:val="007F59B9"/>
    <w:rsid w:val="007F5E51"/>
    <w:rsid w:val="007F65BC"/>
    <w:rsid w:val="007F69F4"/>
    <w:rsid w:val="007F6EB0"/>
    <w:rsid w:val="007F6F80"/>
    <w:rsid w:val="007F7265"/>
    <w:rsid w:val="007F73D9"/>
    <w:rsid w:val="00800318"/>
    <w:rsid w:val="0080084D"/>
    <w:rsid w:val="0080151D"/>
    <w:rsid w:val="00802979"/>
    <w:rsid w:val="00802B68"/>
    <w:rsid w:val="00802C85"/>
    <w:rsid w:val="00803356"/>
    <w:rsid w:val="0080381E"/>
    <w:rsid w:val="00804184"/>
    <w:rsid w:val="00804748"/>
    <w:rsid w:val="0080482B"/>
    <w:rsid w:val="008052D9"/>
    <w:rsid w:val="00805CCA"/>
    <w:rsid w:val="008064FD"/>
    <w:rsid w:val="00806F75"/>
    <w:rsid w:val="008075F4"/>
    <w:rsid w:val="00811BDE"/>
    <w:rsid w:val="008127EA"/>
    <w:rsid w:val="00812D45"/>
    <w:rsid w:val="00813054"/>
    <w:rsid w:val="00813DDE"/>
    <w:rsid w:val="0081425C"/>
    <w:rsid w:val="00814AE3"/>
    <w:rsid w:val="00815E9E"/>
    <w:rsid w:val="00815EBD"/>
    <w:rsid w:val="00816A28"/>
    <w:rsid w:val="00817192"/>
    <w:rsid w:val="0081720D"/>
    <w:rsid w:val="0082036D"/>
    <w:rsid w:val="0082095C"/>
    <w:rsid w:val="00820B53"/>
    <w:rsid w:val="00820B5E"/>
    <w:rsid w:val="00821ABF"/>
    <w:rsid w:val="00821C74"/>
    <w:rsid w:val="008220E0"/>
    <w:rsid w:val="00822BA5"/>
    <w:rsid w:val="00822BB4"/>
    <w:rsid w:val="00822D7B"/>
    <w:rsid w:val="00822E43"/>
    <w:rsid w:val="00823C95"/>
    <w:rsid w:val="00824545"/>
    <w:rsid w:val="008258E3"/>
    <w:rsid w:val="00826910"/>
    <w:rsid w:val="00827163"/>
    <w:rsid w:val="00827295"/>
    <w:rsid w:val="00827C22"/>
    <w:rsid w:val="00827F12"/>
    <w:rsid w:val="008306E6"/>
    <w:rsid w:val="0083123E"/>
    <w:rsid w:val="00831EEE"/>
    <w:rsid w:val="00833AA1"/>
    <w:rsid w:val="00834441"/>
    <w:rsid w:val="00835B09"/>
    <w:rsid w:val="008362B5"/>
    <w:rsid w:val="00836664"/>
    <w:rsid w:val="00836D61"/>
    <w:rsid w:val="00837732"/>
    <w:rsid w:val="00837B5E"/>
    <w:rsid w:val="00837E5D"/>
    <w:rsid w:val="0084012A"/>
    <w:rsid w:val="0084213E"/>
    <w:rsid w:val="008433E6"/>
    <w:rsid w:val="0084381A"/>
    <w:rsid w:val="00843D88"/>
    <w:rsid w:val="00844328"/>
    <w:rsid w:val="00845BB7"/>
    <w:rsid w:val="00846241"/>
    <w:rsid w:val="0084642B"/>
    <w:rsid w:val="008478EF"/>
    <w:rsid w:val="00850D50"/>
    <w:rsid w:val="00850F24"/>
    <w:rsid w:val="008514B0"/>
    <w:rsid w:val="00852B5F"/>
    <w:rsid w:val="008538C3"/>
    <w:rsid w:val="00853B34"/>
    <w:rsid w:val="00853E9D"/>
    <w:rsid w:val="008545F4"/>
    <w:rsid w:val="00854655"/>
    <w:rsid w:val="00854702"/>
    <w:rsid w:val="008558BB"/>
    <w:rsid w:val="00855CFD"/>
    <w:rsid w:val="00855F26"/>
    <w:rsid w:val="00857539"/>
    <w:rsid w:val="008607F0"/>
    <w:rsid w:val="008615C9"/>
    <w:rsid w:val="008619D4"/>
    <w:rsid w:val="00861CA3"/>
    <w:rsid w:val="0086200D"/>
    <w:rsid w:val="00862010"/>
    <w:rsid w:val="00862427"/>
    <w:rsid w:val="008634EC"/>
    <w:rsid w:val="00863CFF"/>
    <w:rsid w:val="0086422A"/>
    <w:rsid w:val="00864E54"/>
    <w:rsid w:val="00865A93"/>
    <w:rsid w:val="00866463"/>
    <w:rsid w:val="008672FE"/>
    <w:rsid w:val="00867A13"/>
    <w:rsid w:val="00867C85"/>
    <w:rsid w:val="00867DCD"/>
    <w:rsid w:val="008713A7"/>
    <w:rsid w:val="00871A63"/>
    <w:rsid w:val="00872441"/>
    <w:rsid w:val="00872AF9"/>
    <w:rsid w:val="00872D96"/>
    <w:rsid w:val="008749DB"/>
    <w:rsid w:val="00876036"/>
    <w:rsid w:val="008763E0"/>
    <w:rsid w:val="0088068C"/>
    <w:rsid w:val="00880EF0"/>
    <w:rsid w:val="00881052"/>
    <w:rsid w:val="00881B08"/>
    <w:rsid w:val="0088391F"/>
    <w:rsid w:val="00886982"/>
    <w:rsid w:val="00887E5C"/>
    <w:rsid w:val="008972C0"/>
    <w:rsid w:val="0089793C"/>
    <w:rsid w:val="008A1A04"/>
    <w:rsid w:val="008A2089"/>
    <w:rsid w:val="008A24FD"/>
    <w:rsid w:val="008A2CED"/>
    <w:rsid w:val="008A35DA"/>
    <w:rsid w:val="008A4DBD"/>
    <w:rsid w:val="008A59FD"/>
    <w:rsid w:val="008A69A7"/>
    <w:rsid w:val="008A6F1C"/>
    <w:rsid w:val="008A703B"/>
    <w:rsid w:val="008A7694"/>
    <w:rsid w:val="008A7AD7"/>
    <w:rsid w:val="008B146B"/>
    <w:rsid w:val="008B1F90"/>
    <w:rsid w:val="008B2391"/>
    <w:rsid w:val="008B25D4"/>
    <w:rsid w:val="008B272C"/>
    <w:rsid w:val="008B2E90"/>
    <w:rsid w:val="008B2F12"/>
    <w:rsid w:val="008B4BEE"/>
    <w:rsid w:val="008B59D2"/>
    <w:rsid w:val="008B5A97"/>
    <w:rsid w:val="008B73B3"/>
    <w:rsid w:val="008B7A46"/>
    <w:rsid w:val="008C02A3"/>
    <w:rsid w:val="008C02D7"/>
    <w:rsid w:val="008C05D7"/>
    <w:rsid w:val="008C19CC"/>
    <w:rsid w:val="008C2329"/>
    <w:rsid w:val="008C24EA"/>
    <w:rsid w:val="008C30E6"/>
    <w:rsid w:val="008C497E"/>
    <w:rsid w:val="008C560A"/>
    <w:rsid w:val="008C5ACD"/>
    <w:rsid w:val="008C5B81"/>
    <w:rsid w:val="008C683C"/>
    <w:rsid w:val="008C69CC"/>
    <w:rsid w:val="008C700B"/>
    <w:rsid w:val="008C73C1"/>
    <w:rsid w:val="008D0558"/>
    <w:rsid w:val="008D0D26"/>
    <w:rsid w:val="008D0E6A"/>
    <w:rsid w:val="008D241B"/>
    <w:rsid w:val="008D2899"/>
    <w:rsid w:val="008D2CC3"/>
    <w:rsid w:val="008D30D9"/>
    <w:rsid w:val="008D32FB"/>
    <w:rsid w:val="008D3FF7"/>
    <w:rsid w:val="008D5B4B"/>
    <w:rsid w:val="008D5ECA"/>
    <w:rsid w:val="008D62A8"/>
    <w:rsid w:val="008D658A"/>
    <w:rsid w:val="008D6867"/>
    <w:rsid w:val="008D7D2C"/>
    <w:rsid w:val="008D7FD1"/>
    <w:rsid w:val="008E02E9"/>
    <w:rsid w:val="008E09A1"/>
    <w:rsid w:val="008E0C59"/>
    <w:rsid w:val="008E1CB5"/>
    <w:rsid w:val="008E3AD3"/>
    <w:rsid w:val="008E3EE9"/>
    <w:rsid w:val="008E4532"/>
    <w:rsid w:val="008E4C5A"/>
    <w:rsid w:val="008E52E9"/>
    <w:rsid w:val="008E5777"/>
    <w:rsid w:val="008E5FAD"/>
    <w:rsid w:val="008F04ED"/>
    <w:rsid w:val="008F2BE5"/>
    <w:rsid w:val="008F3C00"/>
    <w:rsid w:val="008F3F7E"/>
    <w:rsid w:val="008F4F92"/>
    <w:rsid w:val="008F7373"/>
    <w:rsid w:val="009002D9"/>
    <w:rsid w:val="00901388"/>
    <w:rsid w:val="009019CF"/>
    <w:rsid w:val="00901DF0"/>
    <w:rsid w:val="00902BC7"/>
    <w:rsid w:val="0090300D"/>
    <w:rsid w:val="00903884"/>
    <w:rsid w:val="00904099"/>
    <w:rsid w:val="009043C0"/>
    <w:rsid w:val="00906202"/>
    <w:rsid w:val="0090666D"/>
    <w:rsid w:val="009076CB"/>
    <w:rsid w:val="009078B3"/>
    <w:rsid w:val="00907A78"/>
    <w:rsid w:val="009102B6"/>
    <w:rsid w:val="009119AF"/>
    <w:rsid w:val="00911F0F"/>
    <w:rsid w:val="00912CF7"/>
    <w:rsid w:val="00912D82"/>
    <w:rsid w:val="00913E3F"/>
    <w:rsid w:val="00914369"/>
    <w:rsid w:val="00914638"/>
    <w:rsid w:val="00914C66"/>
    <w:rsid w:val="00916326"/>
    <w:rsid w:val="00916B02"/>
    <w:rsid w:val="00916C43"/>
    <w:rsid w:val="00917368"/>
    <w:rsid w:val="0091798E"/>
    <w:rsid w:val="0092058A"/>
    <w:rsid w:val="00920A05"/>
    <w:rsid w:val="0092142D"/>
    <w:rsid w:val="00922D3E"/>
    <w:rsid w:val="00922E5F"/>
    <w:rsid w:val="009239A4"/>
    <w:rsid w:val="00923B9B"/>
    <w:rsid w:val="00925881"/>
    <w:rsid w:val="009259DF"/>
    <w:rsid w:val="00925D67"/>
    <w:rsid w:val="0092615A"/>
    <w:rsid w:val="0092685D"/>
    <w:rsid w:val="00926918"/>
    <w:rsid w:val="0093030D"/>
    <w:rsid w:val="0093049F"/>
    <w:rsid w:val="00930577"/>
    <w:rsid w:val="009305D2"/>
    <w:rsid w:val="00930C2D"/>
    <w:rsid w:val="00930F54"/>
    <w:rsid w:val="0093198A"/>
    <w:rsid w:val="0093204B"/>
    <w:rsid w:val="00932F73"/>
    <w:rsid w:val="00933619"/>
    <w:rsid w:val="00933670"/>
    <w:rsid w:val="00933F51"/>
    <w:rsid w:val="0093434F"/>
    <w:rsid w:val="00934A18"/>
    <w:rsid w:val="00934B7C"/>
    <w:rsid w:val="00936C05"/>
    <w:rsid w:val="00936D95"/>
    <w:rsid w:val="00937266"/>
    <w:rsid w:val="0094095A"/>
    <w:rsid w:val="00941A75"/>
    <w:rsid w:val="009420CD"/>
    <w:rsid w:val="00942469"/>
    <w:rsid w:val="00942E41"/>
    <w:rsid w:val="0094329C"/>
    <w:rsid w:val="009434DE"/>
    <w:rsid w:val="00944457"/>
    <w:rsid w:val="00944A8F"/>
    <w:rsid w:val="009452C2"/>
    <w:rsid w:val="00945BCA"/>
    <w:rsid w:val="00945ED3"/>
    <w:rsid w:val="00947AC5"/>
    <w:rsid w:val="0095059F"/>
    <w:rsid w:val="00950B2F"/>
    <w:rsid w:val="00950FDC"/>
    <w:rsid w:val="009517B3"/>
    <w:rsid w:val="00951A02"/>
    <w:rsid w:val="00954562"/>
    <w:rsid w:val="00954F29"/>
    <w:rsid w:val="00955199"/>
    <w:rsid w:val="00955855"/>
    <w:rsid w:val="00955AB2"/>
    <w:rsid w:val="0095741C"/>
    <w:rsid w:val="009576CA"/>
    <w:rsid w:val="00960326"/>
    <w:rsid w:val="0096092E"/>
    <w:rsid w:val="00960D50"/>
    <w:rsid w:val="00961C27"/>
    <w:rsid w:val="00961FD5"/>
    <w:rsid w:val="009621C6"/>
    <w:rsid w:val="00962629"/>
    <w:rsid w:val="00964A60"/>
    <w:rsid w:val="00964DB3"/>
    <w:rsid w:val="00965363"/>
    <w:rsid w:val="009663A9"/>
    <w:rsid w:val="009664F9"/>
    <w:rsid w:val="0096713E"/>
    <w:rsid w:val="00967957"/>
    <w:rsid w:val="00967C82"/>
    <w:rsid w:val="00971B71"/>
    <w:rsid w:val="00971B73"/>
    <w:rsid w:val="00972472"/>
    <w:rsid w:val="0097291E"/>
    <w:rsid w:val="00972C5B"/>
    <w:rsid w:val="009737E6"/>
    <w:rsid w:val="009739FF"/>
    <w:rsid w:val="00973A85"/>
    <w:rsid w:val="00973B4A"/>
    <w:rsid w:val="00974488"/>
    <w:rsid w:val="00974ECB"/>
    <w:rsid w:val="00975EC6"/>
    <w:rsid w:val="00977A84"/>
    <w:rsid w:val="00977ED8"/>
    <w:rsid w:val="0098290C"/>
    <w:rsid w:val="00983199"/>
    <w:rsid w:val="0098387D"/>
    <w:rsid w:val="00984501"/>
    <w:rsid w:val="009848C5"/>
    <w:rsid w:val="009849E6"/>
    <w:rsid w:val="00985AC9"/>
    <w:rsid w:val="00985C03"/>
    <w:rsid w:val="00985D1A"/>
    <w:rsid w:val="00987807"/>
    <w:rsid w:val="00990A6B"/>
    <w:rsid w:val="00990F85"/>
    <w:rsid w:val="00991392"/>
    <w:rsid w:val="009913D6"/>
    <w:rsid w:val="0099239C"/>
    <w:rsid w:val="0099243C"/>
    <w:rsid w:val="009924BB"/>
    <w:rsid w:val="009926FF"/>
    <w:rsid w:val="00995903"/>
    <w:rsid w:val="00996AAC"/>
    <w:rsid w:val="009978CC"/>
    <w:rsid w:val="009A1914"/>
    <w:rsid w:val="009A2508"/>
    <w:rsid w:val="009A4734"/>
    <w:rsid w:val="009A4794"/>
    <w:rsid w:val="009A48DC"/>
    <w:rsid w:val="009A5F0C"/>
    <w:rsid w:val="009A6F99"/>
    <w:rsid w:val="009A74B7"/>
    <w:rsid w:val="009B1C20"/>
    <w:rsid w:val="009B2416"/>
    <w:rsid w:val="009B3384"/>
    <w:rsid w:val="009B348E"/>
    <w:rsid w:val="009B4FE5"/>
    <w:rsid w:val="009B56AF"/>
    <w:rsid w:val="009B6575"/>
    <w:rsid w:val="009B6640"/>
    <w:rsid w:val="009B66B6"/>
    <w:rsid w:val="009C07AB"/>
    <w:rsid w:val="009C13E6"/>
    <w:rsid w:val="009C25FC"/>
    <w:rsid w:val="009C2885"/>
    <w:rsid w:val="009C2A8A"/>
    <w:rsid w:val="009C2FAE"/>
    <w:rsid w:val="009C33E9"/>
    <w:rsid w:val="009C50FF"/>
    <w:rsid w:val="009C617B"/>
    <w:rsid w:val="009C6592"/>
    <w:rsid w:val="009C6C66"/>
    <w:rsid w:val="009C7170"/>
    <w:rsid w:val="009C7AA7"/>
    <w:rsid w:val="009C7E2C"/>
    <w:rsid w:val="009D1760"/>
    <w:rsid w:val="009D1A82"/>
    <w:rsid w:val="009D2313"/>
    <w:rsid w:val="009D32C2"/>
    <w:rsid w:val="009D3CF2"/>
    <w:rsid w:val="009D4A83"/>
    <w:rsid w:val="009D5125"/>
    <w:rsid w:val="009D7DEA"/>
    <w:rsid w:val="009E1147"/>
    <w:rsid w:val="009E11E6"/>
    <w:rsid w:val="009E1365"/>
    <w:rsid w:val="009E145A"/>
    <w:rsid w:val="009E1D00"/>
    <w:rsid w:val="009E24BF"/>
    <w:rsid w:val="009E2867"/>
    <w:rsid w:val="009E2913"/>
    <w:rsid w:val="009E3547"/>
    <w:rsid w:val="009E3679"/>
    <w:rsid w:val="009E37C1"/>
    <w:rsid w:val="009E496E"/>
    <w:rsid w:val="009E4C6A"/>
    <w:rsid w:val="009E64A6"/>
    <w:rsid w:val="009E6AFA"/>
    <w:rsid w:val="009F0355"/>
    <w:rsid w:val="009F0D90"/>
    <w:rsid w:val="009F0DF6"/>
    <w:rsid w:val="009F1702"/>
    <w:rsid w:val="009F34FB"/>
    <w:rsid w:val="009F61F9"/>
    <w:rsid w:val="009F6CA3"/>
    <w:rsid w:val="009F77B6"/>
    <w:rsid w:val="009F7B87"/>
    <w:rsid w:val="009F7BA6"/>
    <w:rsid w:val="00A00617"/>
    <w:rsid w:val="00A00679"/>
    <w:rsid w:val="00A00E6A"/>
    <w:rsid w:val="00A0115D"/>
    <w:rsid w:val="00A01540"/>
    <w:rsid w:val="00A01F03"/>
    <w:rsid w:val="00A02227"/>
    <w:rsid w:val="00A022E7"/>
    <w:rsid w:val="00A02313"/>
    <w:rsid w:val="00A026D5"/>
    <w:rsid w:val="00A04850"/>
    <w:rsid w:val="00A0496F"/>
    <w:rsid w:val="00A0695D"/>
    <w:rsid w:val="00A07681"/>
    <w:rsid w:val="00A1082E"/>
    <w:rsid w:val="00A114CE"/>
    <w:rsid w:val="00A1304E"/>
    <w:rsid w:val="00A132D5"/>
    <w:rsid w:val="00A166F0"/>
    <w:rsid w:val="00A2023B"/>
    <w:rsid w:val="00A21287"/>
    <w:rsid w:val="00A2267D"/>
    <w:rsid w:val="00A235BA"/>
    <w:rsid w:val="00A23E25"/>
    <w:rsid w:val="00A242D2"/>
    <w:rsid w:val="00A249BB"/>
    <w:rsid w:val="00A24AC6"/>
    <w:rsid w:val="00A25229"/>
    <w:rsid w:val="00A25608"/>
    <w:rsid w:val="00A25E20"/>
    <w:rsid w:val="00A261B4"/>
    <w:rsid w:val="00A2775B"/>
    <w:rsid w:val="00A279A1"/>
    <w:rsid w:val="00A30CC3"/>
    <w:rsid w:val="00A31296"/>
    <w:rsid w:val="00A31C72"/>
    <w:rsid w:val="00A32867"/>
    <w:rsid w:val="00A33A05"/>
    <w:rsid w:val="00A33F89"/>
    <w:rsid w:val="00A34916"/>
    <w:rsid w:val="00A34EAB"/>
    <w:rsid w:val="00A35176"/>
    <w:rsid w:val="00A35BF7"/>
    <w:rsid w:val="00A3629B"/>
    <w:rsid w:val="00A366FB"/>
    <w:rsid w:val="00A3702A"/>
    <w:rsid w:val="00A3749E"/>
    <w:rsid w:val="00A415FF"/>
    <w:rsid w:val="00A43099"/>
    <w:rsid w:val="00A43578"/>
    <w:rsid w:val="00A438DD"/>
    <w:rsid w:val="00A44B0D"/>
    <w:rsid w:val="00A44D85"/>
    <w:rsid w:val="00A46133"/>
    <w:rsid w:val="00A469A7"/>
    <w:rsid w:val="00A476A7"/>
    <w:rsid w:val="00A504E6"/>
    <w:rsid w:val="00A50DE3"/>
    <w:rsid w:val="00A50DFC"/>
    <w:rsid w:val="00A51CF3"/>
    <w:rsid w:val="00A52E50"/>
    <w:rsid w:val="00A5318A"/>
    <w:rsid w:val="00A56199"/>
    <w:rsid w:val="00A57565"/>
    <w:rsid w:val="00A60810"/>
    <w:rsid w:val="00A61180"/>
    <w:rsid w:val="00A61377"/>
    <w:rsid w:val="00A61557"/>
    <w:rsid w:val="00A61A14"/>
    <w:rsid w:val="00A62A72"/>
    <w:rsid w:val="00A63AA2"/>
    <w:rsid w:val="00A64148"/>
    <w:rsid w:val="00A64565"/>
    <w:rsid w:val="00A64E82"/>
    <w:rsid w:val="00A662A1"/>
    <w:rsid w:val="00A662BC"/>
    <w:rsid w:val="00A6654A"/>
    <w:rsid w:val="00A709FE"/>
    <w:rsid w:val="00A71098"/>
    <w:rsid w:val="00A716F7"/>
    <w:rsid w:val="00A718FF"/>
    <w:rsid w:val="00A71A2F"/>
    <w:rsid w:val="00A72121"/>
    <w:rsid w:val="00A7221C"/>
    <w:rsid w:val="00A7425A"/>
    <w:rsid w:val="00A74650"/>
    <w:rsid w:val="00A752F4"/>
    <w:rsid w:val="00A756AB"/>
    <w:rsid w:val="00A756B4"/>
    <w:rsid w:val="00A75B90"/>
    <w:rsid w:val="00A7646B"/>
    <w:rsid w:val="00A776E9"/>
    <w:rsid w:val="00A77CF9"/>
    <w:rsid w:val="00A8003D"/>
    <w:rsid w:val="00A80174"/>
    <w:rsid w:val="00A8080F"/>
    <w:rsid w:val="00A80B8A"/>
    <w:rsid w:val="00A824C9"/>
    <w:rsid w:val="00A831FD"/>
    <w:rsid w:val="00A8331D"/>
    <w:rsid w:val="00A83948"/>
    <w:rsid w:val="00A8437D"/>
    <w:rsid w:val="00A84E85"/>
    <w:rsid w:val="00A85450"/>
    <w:rsid w:val="00A86449"/>
    <w:rsid w:val="00A87328"/>
    <w:rsid w:val="00A90B4B"/>
    <w:rsid w:val="00A91438"/>
    <w:rsid w:val="00A91565"/>
    <w:rsid w:val="00A91870"/>
    <w:rsid w:val="00A9193B"/>
    <w:rsid w:val="00A91D35"/>
    <w:rsid w:val="00A92007"/>
    <w:rsid w:val="00A92609"/>
    <w:rsid w:val="00A93597"/>
    <w:rsid w:val="00A937F2"/>
    <w:rsid w:val="00A945E9"/>
    <w:rsid w:val="00A94C2F"/>
    <w:rsid w:val="00A94D16"/>
    <w:rsid w:val="00A94F92"/>
    <w:rsid w:val="00A95197"/>
    <w:rsid w:val="00A952CB"/>
    <w:rsid w:val="00A96496"/>
    <w:rsid w:val="00A96543"/>
    <w:rsid w:val="00A96ABD"/>
    <w:rsid w:val="00A97F37"/>
    <w:rsid w:val="00AA0C59"/>
    <w:rsid w:val="00AA1623"/>
    <w:rsid w:val="00AA1AF8"/>
    <w:rsid w:val="00AA270D"/>
    <w:rsid w:val="00AA2F61"/>
    <w:rsid w:val="00AA366C"/>
    <w:rsid w:val="00AA3D8D"/>
    <w:rsid w:val="00AA4693"/>
    <w:rsid w:val="00AA4DAC"/>
    <w:rsid w:val="00AA53F6"/>
    <w:rsid w:val="00AA5607"/>
    <w:rsid w:val="00AA6242"/>
    <w:rsid w:val="00AA715B"/>
    <w:rsid w:val="00AA7C1C"/>
    <w:rsid w:val="00AA7EE4"/>
    <w:rsid w:val="00AB1779"/>
    <w:rsid w:val="00AB1DC5"/>
    <w:rsid w:val="00AB203A"/>
    <w:rsid w:val="00AB237C"/>
    <w:rsid w:val="00AB2412"/>
    <w:rsid w:val="00AB2763"/>
    <w:rsid w:val="00AB2C96"/>
    <w:rsid w:val="00AB2E28"/>
    <w:rsid w:val="00AB420D"/>
    <w:rsid w:val="00AB4241"/>
    <w:rsid w:val="00AB548D"/>
    <w:rsid w:val="00AB5FCE"/>
    <w:rsid w:val="00AB6200"/>
    <w:rsid w:val="00AB6900"/>
    <w:rsid w:val="00AB6FB1"/>
    <w:rsid w:val="00AC00B2"/>
    <w:rsid w:val="00AC07BA"/>
    <w:rsid w:val="00AC0E1E"/>
    <w:rsid w:val="00AC134E"/>
    <w:rsid w:val="00AC2486"/>
    <w:rsid w:val="00AC25EF"/>
    <w:rsid w:val="00AC354D"/>
    <w:rsid w:val="00AC378E"/>
    <w:rsid w:val="00AC40AD"/>
    <w:rsid w:val="00AC48C7"/>
    <w:rsid w:val="00AC4C36"/>
    <w:rsid w:val="00AC5319"/>
    <w:rsid w:val="00AC7526"/>
    <w:rsid w:val="00AC7A09"/>
    <w:rsid w:val="00AC7AC7"/>
    <w:rsid w:val="00AD065E"/>
    <w:rsid w:val="00AD1C8F"/>
    <w:rsid w:val="00AD1F9F"/>
    <w:rsid w:val="00AD508C"/>
    <w:rsid w:val="00AD5529"/>
    <w:rsid w:val="00AD58BA"/>
    <w:rsid w:val="00AD5F45"/>
    <w:rsid w:val="00AD606B"/>
    <w:rsid w:val="00AD617F"/>
    <w:rsid w:val="00AD6467"/>
    <w:rsid w:val="00AD6D5F"/>
    <w:rsid w:val="00AD6E0D"/>
    <w:rsid w:val="00AD7402"/>
    <w:rsid w:val="00AE042F"/>
    <w:rsid w:val="00AE0ECC"/>
    <w:rsid w:val="00AE121B"/>
    <w:rsid w:val="00AE1830"/>
    <w:rsid w:val="00AE3D4B"/>
    <w:rsid w:val="00AE40ED"/>
    <w:rsid w:val="00AE480D"/>
    <w:rsid w:val="00AE607C"/>
    <w:rsid w:val="00AE7679"/>
    <w:rsid w:val="00AE7C9B"/>
    <w:rsid w:val="00AF0871"/>
    <w:rsid w:val="00AF0E4D"/>
    <w:rsid w:val="00AF1A17"/>
    <w:rsid w:val="00AF2387"/>
    <w:rsid w:val="00AF28BB"/>
    <w:rsid w:val="00AF3039"/>
    <w:rsid w:val="00AF3BBC"/>
    <w:rsid w:val="00AF4987"/>
    <w:rsid w:val="00AF56AE"/>
    <w:rsid w:val="00AF7215"/>
    <w:rsid w:val="00AF74B3"/>
    <w:rsid w:val="00AF787E"/>
    <w:rsid w:val="00B00D7F"/>
    <w:rsid w:val="00B00F1A"/>
    <w:rsid w:val="00B0141C"/>
    <w:rsid w:val="00B01DE7"/>
    <w:rsid w:val="00B02AE8"/>
    <w:rsid w:val="00B02B67"/>
    <w:rsid w:val="00B02B72"/>
    <w:rsid w:val="00B02FBE"/>
    <w:rsid w:val="00B03C36"/>
    <w:rsid w:val="00B042D1"/>
    <w:rsid w:val="00B077C7"/>
    <w:rsid w:val="00B07E72"/>
    <w:rsid w:val="00B11791"/>
    <w:rsid w:val="00B12AF3"/>
    <w:rsid w:val="00B13391"/>
    <w:rsid w:val="00B16099"/>
    <w:rsid w:val="00B160C1"/>
    <w:rsid w:val="00B160FF"/>
    <w:rsid w:val="00B163F1"/>
    <w:rsid w:val="00B177AD"/>
    <w:rsid w:val="00B1783E"/>
    <w:rsid w:val="00B20410"/>
    <w:rsid w:val="00B2075E"/>
    <w:rsid w:val="00B215BC"/>
    <w:rsid w:val="00B22C58"/>
    <w:rsid w:val="00B237F5"/>
    <w:rsid w:val="00B23AF3"/>
    <w:rsid w:val="00B23B9A"/>
    <w:rsid w:val="00B27238"/>
    <w:rsid w:val="00B27245"/>
    <w:rsid w:val="00B31BA3"/>
    <w:rsid w:val="00B328C3"/>
    <w:rsid w:val="00B32D4D"/>
    <w:rsid w:val="00B344BA"/>
    <w:rsid w:val="00B35BBE"/>
    <w:rsid w:val="00B372B1"/>
    <w:rsid w:val="00B40CD4"/>
    <w:rsid w:val="00B421AB"/>
    <w:rsid w:val="00B42747"/>
    <w:rsid w:val="00B42AF0"/>
    <w:rsid w:val="00B42B04"/>
    <w:rsid w:val="00B42F9C"/>
    <w:rsid w:val="00B42FFD"/>
    <w:rsid w:val="00B43243"/>
    <w:rsid w:val="00B4468E"/>
    <w:rsid w:val="00B447F3"/>
    <w:rsid w:val="00B470E9"/>
    <w:rsid w:val="00B503CC"/>
    <w:rsid w:val="00B5077C"/>
    <w:rsid w:val="00B51322"/>
    <w:rsid w:val="00B53AC6"/>
    <w:rsid w:val="00B5411A"/>
    <w:rsid w:val="00B546AF"/>
    <w:rsid w:val="00B54795"/>
    <w:rsid w:val="00B550AC"/>
    <w:rsid w:val="00B55340"/>
    <w:rsid w:val="00B55582"/>
    <w:rsid w:val="00B56727"/>
    <w:rsid w:val="00B56A69"/>
    <w:rsid w:val="00B61BF5"/>
    <w:rsid w:val="00B62C4A"/>
    <w:rsid w:val="00B63894"/>
    <w:rsid w:val="00B64986"/>
    <w:rsid w:val="00B657E9"/>
    <w:rsid w:val="00B6621F"/>
    <w:rsid w:val="00B6697F"/>
    <w:rsid w:val="00B66E99"/>
    <w:rsid w:val="00B6795B"/>
    <w:rsid w:val="00B67D02"/>
    <w:rsid w:val="00B71257"/>
    <w:rsid w:val="00B71C1F"/>
    <w:rsid w:val="00B73F77"/>
    <w:rsid w:val="00B74ADF"/>
    <w:rsid w:val="00B75275"/>
    <w:rsid w:val="00B75F33"/>
    <w:rsid w:val="00B764DB"/>
    <w:rsid w:val="00B7659C"/>
    <w:rsid w:val="00B77BB5"/>
    <w:rsid w:val="00B81EF3"/>
    <w:rsid w:val="00B82780"/>
    <w:rsid w:val="00B82C44"/>
    <w:rsid w:val="00B82DC8"/>
    <w:rsid w:val="00B83293"/>
    <w:rsid w:val="00B83535"/>
    <w:rsid w:val="00B84A13"/>
    <w:rsid w:val="00B872FF"/>
    <w:rsid w:val="00B903D2"/>
    <w:rsid w:val="00B9049A"/>
    <w:rsid w:val="00B90F1D"/>
    <w:rsid w:val="00B91D86"/>
    <w:rsid w:val="00B9211F"/>
    <w:rsid w:val="00B92B2B"/>
    <w:rsid w:val="00B92FB8"/>
    <w:rsid w:val="00B93457"/>
    <w:rsid w:val="00B938A3"/>
    <w:rsid w:val="00B9555A"/>
    <w:rsid w:val="00B95C4B"/>
    <w:rsid w:val="00B95ED8"/>
    <w:rsid w:val="00B972A2"/>
    <w:rsid w:val="00B9791F"/>
    <w:rsid w:val="00BA0293"/>
    <w:rsid w:val="00BA06C4"/>
    <w:rsid w:val="00BA15A3"/>
    <w:rsid w:val="00BA1FED"/>
    <w:rsid w:val="00BA20C0"/>
    <w:rsid w:val="00BA26E3"/>
    <w:rsid w:val="00BA3989"/>
    <w:rsid w:val="00BA5CCD"/>
    <w:rsid w:val="00BA6DA2"/>
    <w:rsid w:val="00BA7148"/>
    <w:rsid w:val="00BA71EA"/>
    <w:rsid w:val="00BB003F"/>
    <w:rsid w:val="00BB237A"/>
    <w:rsid w:val="00BB2E05"/>
    <w:rsid w:val="00BB30BD"/>
    <w:rsid w:val="00BB37CB"/>
    <w:rsid w:val="00BB4B6E"/>
    <w:rsid w:val="00BB534F"/>
    <w:rsid w:val="00BB60BD"/>
    <w:rsid w:val="00BB6506"/>
    <w:rsid w:val="00BB707F"/>
    <w:rsid w:val="00BB7748"/>
    <w:rsid w:val="00BC00FF"/>
    <w:rsid w:val="00BC0340"/>
    <w:rsid w:val="00BC1C5C"/>
    <w:rsid w:val="00BC265F"/>
    <w:rsid w:val="00BC2A9D"/>
    <w:rsid w:val="00BC2D77"/>
    <w:rsid w:val="00BC2F2C"/>
    <w:rsid w:val="00BC4EA7"/>
    <w:rsid w:val="00BC5C69"/>
    <w:rsid w:val="00BC5F2C"/>
    <w:rsid w:val="00BC6898"/>
    <w:rsid w:val="00BC7121"/>
    <w:rsid w:val="00BD09D0"/>
    <w:rsid w:val="00BD156A"/>
    <w:rsid w:val="00BD1D42"/>
    <w:rsid w:val="00BD1D93"/>
    <w:rsid w:val="00BD251F"/>
    <w:rsid w:val="00BD2FB1"/>
    <w:rsid w:val="00BD316B"/>
    <w:rsid w:val="00BD317B"/>
    <w:rsid w:val="00BD4754"/>
    <w:rsid w:val="00BD65F9"/>
    <w:rsid w:val="00BD6664"/>
    <w:rsid w:val="00BE0D3A"/>
    <w:rsid w:val="00BE1128"/>
    <w:rsid w:val="00BE119E"/>
    <w:rsid w:val="00BE1762"/>
    <w:rsid w:val="00BE227D"/>
    <w:rsid w:val="00BE244B"/>
    <w:rsid w:val="00BE2BEE"/>
    <w:rsid w:val="00BE2F59"/>
    <w:rsid w:val="00BE33E9"/>
    <w:rsid w:val="00BE38FA"/>
    <w:rsid w:val="00BE39EA"/>
    <w:rsid w:val="00BE4696"/>
    <w:rsid w:val="00BE55E8"/>
    <w:rsid w:val="00BE6F5E"/>
    <w:rsid w:val="00BF01D1"/>
    <w:rsid w:val="00BF047F"/>
    <w:rsid w:val="00BF0595"/>
    <w:rsid w:val="00BF10FA"/>
    <w:rsid w:val="00BF1A9E"/>
    <w:rsid w:val="00BF2179"/>
    <w:rsid w:val="00BF354C"/>
    <w:rsid w:val="00BF4065"/>
    <w:rsid w:val="00BF40C5"/>
    <w:rsid w:val="00BF416E"/>
    <w:rsid w:val="00BF42F9"/>
    <w:rsid w:val="00BF48BC"/>
    <w:rsid w:val="00BF4FF4"/>
    <w:rsid w:val="00BF505B"/>
    <w:rsid w:val="00BF5666"/>
    <w:rsid w:val="00BF604B"/>
    <w:rsid w:val="00C008B2"/>
    <w:rsid w:val="00C00D42"/>
    <w:rsid w:val="00C01A8E"/>
    <w:rsid w:val="00C02120"/>
    <w:rsid w:val="00C0227A"/>
    <w:rsid w:val="00C026B1"/>
    <w:rsid w:val="00C026DF"/>
    <w:rsid w:val="00C02ECC"/>
    <w:rsid w:val="00C03A88"/>
    <w:rsid w:val="00C0483B"/>
    <w:rsid w:val="00C04BAF"/>
    <w:rsid w:val="00C05397"/>
    <w:rsid w:val="00C059B6"/>
    <w:rsid w:val="00C05B63"/>
    <w:rsid w:val="00C076F4"/>
    <w:rsid w:val="00C07EB0"/>
    <w:rsid w:val="00C111A2"/>
    <w:rsid w:val="00C12D20"/>
    <w:rsid w:val="00C138D2"/>
    <w:rsid w:val="00C14E5A"/>
    <w:rsid w:val="00C17822"/>
    <w:rsid w:val="00C2211F"/>
    <w:rsid w:val="00C22A64"/>
    <w:rsid w:val="00C23655"/>
    <w:rsid w:val="00C23B0F"/>
    <w:rsid w:val="00C240A4"/>
    <w:rsid w:val="00C2428B"/>
    <w:rsid w:val="00C24A6C"/>
    <w:rsid w:val="00C25489"/>
    <w:rsid w:val="00C2650E"/>
    <w:rsid w:val="00C32748"/>
    <w:rsid w:val="00C33017"/>
    <w:rsid w:val="00C33162"/>
    <w:rsid w:val="00C33702"/>
    <w:rsid w:val="00C33DF1"/>
    <w:rsid w:val="00C3413A"/>
    <w:rsid w:val="00C349CB"/>
    <w:rsid w:val="00C34F73"/>
    <w:rsid w:val="00C350B3"/>
    <w:rsid w:val="00C35F1A"/>
    <w:rsid w:val="00C362F5"/>
    <w:rsid w:val="00C36717"/>
    <w:rsid w:val="00C37F08"/>
    <w:rsid w:val="00C40BDA"/>
    <w:rsid w:val="00C41499"/>
    <w:rsid w:val="00C41DB0"/>
    <w:rsid w:val="00C42B7D"/>
    <w:rsid w:val="00C4374B"/>
    <w:rsid w:val="00C458E9"/>
    <w:rsid w:val="00C46D0F"/>
    <w:rsid w:val="00C47461"/>
    <w:rsid w:val="00C4767A"/>
    <w:rsid w:val="00C511E5"/>
    <w:rsid w:val="00C52471"/>
    <w:rsid w:val="00C53035"/>
    <w:rsid w:val="00C546B7"/>
    <w:rsid w:val="00C5646C"/>
    <w:rsid w:val="00C56592"/>
    <w:rsid w:val="00C56C2D"/>
    <w:rsid w:val="00C57978"/>
    <w:rsid w:val="00C57A0B"/>
    <w:rsid w:val="00C57E2D"/>
    <w:rsid w:val="00C605A7"/>
    <w:rsid w:val="00C60D73"/>
    <w:rsid w:val="00C61CF1"/>
    <w:rsid w:val="00C62D10"/>
    <w:rsid w:val="00C63316"/>
    <w:rsid w:val="00C64411"/>
    <w:rsid w:val="00C64D10"/>
    <w:rsid w:val="00C65712"/>
    <w:rsid w:val="00C662A4"/>
    <w:rsid w:val="00C6640D"/>
    <w:rsid w:val="00C66820"/>
    <w:rsid w:val="00C669A2"/>
    <w:rsid w:val="00C6789D"/>
    <w:rsid w:val="00C703AC"/>
    <w:rsid w:val="00C71488"/>
    <w:rsid w:val="00C71E3A"/>
    <w:rsid w:val="00C73041"/>
    <w:rsid w:val="00C7327B"/>
    <w:rsid w:val="00C737DE"/>
    <w:rsid w:val="00C73A76"/>
    <w:rsid w:val="00C74D27"/>
    <w:rsid w:val="00C75732"/>
    <w:rsid w:val="00C763A3"/>
    <w:rsid w:val="00C76C3D"/>
    <w:rsid w:val="00C7766F"/>
    <w:rsid w:val="00C80546"/>
    <w:rsid w:val="00C8101C"/>
    <w:rsid w:val="00C8142E"/>
    <w:rsid w:val="00C814E7"/>
    <w:rsid w:val="00C820CF"/>
    <w:rsid w:val="00C8361D"/>
    <w:rsid w:val="00C85F3F"/>
    <w:rsid w:val="00C8636D"/>
    <w:rsid w:val="00C86903"/>
    <w:rsid w:val="00C86BE9"/>
    <w:rsid w:val="00C86DD2"/>
    <w:rsid w:val="00C8793E"/>
    <w:rsid w:val="00C90517"/>
    <w:rsid w:val="00C907F6"/>
    <w:rsid w:val="00C9115C"/>
    <w:rsid w:val="00C9280C"/>
    <w:rsid w:val="00C94992"/>
    <w:rsid w:val="00C94B14"/>
    <w:rsid w:val="00C955E7"/>
    <w:rsid w:val="00C95856"/>
    <w:rsid w:val="00C95EEA"/>
    <w:rsid w:val="00C9699C"/>
    <w:rsid w:val="00C9699E"/>
    <w:rsid w:val="00C96F39"/>
    <w:rsid w:val="00C97481"/>
    <w:rsid w:val="00C97CBA"/>
    <w:rsid w:val="00CA0695"/>
    <w:rsid w:val="00CA0C9B"/>
    <w:rsid w:val="00CA351A"/>
    <w:rsid w:val="00CA4B31"/>
    <w:rsid w:val="00CA5B41"/>
    <w:rsid w:val="00CA6024"/>
    <w:rsid w:val="00CA6076"/>
    <w:rsid w:val="00CA6FA1"/>
    <w:rsid w:val="00CA6FCB"/>
    <w:rsid w:val="00CA7536"/>
    <w:rsid w:val="00CA7CA0"/>
    <w:rsid w:val="00CB084D"/>
    <w:rsid w:val="00CB1036"/>
    <w:rsid w:val="00CB2330"/>
    <w:rsid w:val="00CB24D9"/>
    <w:rsid w:val="00CB2F3D"/>
    <w:rsid w:val="00CB30F1"/>
    <w:rsid w:val="00CB329A"/>
    <w:rsid w:val="00CB356F"/>
    <w:rsid w:val="00CB4681"/>
    <w:rsid w:val="00CB54CF"/>
    <w:rsid w:val="00CB561D"/>
    <w:rsid w:val="00CB73CD"/>
    <w:rsid w:val="00CC1617"/>
    <w:rsid w:val="00CC2132"/>
    <w:rsid w:val="00CC3B7E"/>
    <w:rsid w:val="00CC462B"/>
    <w:rsid w:val="00CC4AEA"/>
    <w:rsid w:val="00CC712A"/>
    <w:rsid w:val="00CC77D7"/>
    <w:rsid w:val="00CC7D43"/>
    <w:rsid w:val="00CD03BB"/>
    <w:rsid w:val="00CD046C"/>
    <w:rsid w:val="00CD0789"/>
    <w:rsid w:val="00CD0E74"/>
    <w:rsid w:val="00CD135B"/>
    <w:rsid w:val="00CD1C85"/>
    <w:rsid w:val="00CD2352"/>
    <w:rsid w:val="00CD4B4D"/>
    <w:rsid w:val="00CD4CDA"/>
    <w:rsid w:val="00CD4F73"/>
    <w:rsid w:val="00CD5041"/>
    <w:rsid w:val="00CD5AF8"/>
    <w:rsid w:val="00CD6DC1"/>
    <w:rsid w:val="00CE0896"/>
    <w:rsid w:val="00CE15C8"/>
    <w:rsid w:val="00CE16E2"/>
    <w:rsid w:val="00CE228E"/>
    <w:rsid w:val="00CE2B8A"/>
    <w:rsid w:val="00CE36FE"/>
    <w:rsid w:val="00CE4CB4"/>
    <w:rsid w:val="00CE4E51"/>
    <w:rsid w:val="00CE5FBC"/>
    <w:rsid w:val="00CE6710"/>
    <w:rsid w:val="00CE6C0E"/>
    <w:rsid w:val="00CE6FBE"/>
    <w:rsid w:val="00CE7631"/>
    <w:rsid w:val="00CE764F"/>
    <w:rsid w:val="00CF0AA2"/>
    <w:rsid w:val="00CF0B35"/>
    <w:rsid w:val="00CF1030"/>
    <w:rsid w:val="00CF3474"/>
    <w:rsid w:val="00CF4213"/>
    <w:rsid w:val="00CF44D5"/>
    <w:rsid w:val="00CF4904"/>
    <w:rsid w:val="00CF66F0"/>
    <w:rsid w:val="00CF67B1"/>
    <w:rsid w:val="00CF7F35"/>
    <w:rsid w:val="00D01033"/>
    <w:rsid w:val="00D01B39"/>
    <w:rsid w:val="00D02CA5"/>
    <w:rsid w:val="00D0331B"/>
    <w:rsid w:val="00D0345E"/>
    <w:rsid w:val="00D04063"/>
    <w:rsid w:val="00D044B0"/>
    <w:rsid w:val="00D04C16"/>
    <w:rsid w:val="00D0542B"/>
    <w:rsid w:val="00D065B9"/>
    <w:rsid w:val="00D06C02"/>
    <w:rsid w:val="00D0712B"/>
    <w:rsid w:val="00D1123E"/>
    <w:rsid w:val="00D12ABA"/>
    <w:rsid w:val="00D12FF7"/>
    <w:rsid w:val="00D1408B"/>
    <w:rsid w:val="00D147CB"/>
    <w:rsid w:val="00D14A39"/>
    <w:rsid w:val="00D14A60"/>
    <w:rsid w:val="00D1559E"/>
    <w:rsid w:val="00D15736"/>
    <w:rsid w:val="00D15B13"/>
    <w:rsid w:val="00D17A0C"/>
    <w:rsid w:val="00D20963"/>
    <w:rsid w:val="00D21CB0"/>
    <w:rsid w:val="00D22C8D"/>
    <w:rsid w:val="00D23F25"/>
    <w:rsid w:val="00D24030"/>
    <w:rsid w:val="00D24D2E"/>
    <w:rsid w:val="00D24EA2"/>
    <w:rsid w:val="00D274FD"/>
    <w:rsid w:val="00D27A56"/>
    <w:rsid w:val="00D303B6"/>
    <w:rsid w:val="00D30B48"/>
    <w:rsid w:val="00D31C7D"/>
    <w:rsid w:val="00D3250C"/>
    <w:rsid w:val="00D33990"/>
    <w:rsid w:val="00D33CBC"/>
    <w:rsid w:val="00D34193"/>
    <w:rsid w:val="00D345DD"/>
    <w:rsid w:val="00D351A0"/>
    <w:rsid w:val="00D35698"/>
    <w:rsid w:val="00D3580D"/>
    <w:rsid w:val="00D35BA7"/>
    <w:rsid w:val="00D36484"/>
    <w:rsid w:val="00D36BF8"/>
    <w:rsid w:val="00D36FB8"/>
    <w:rsid w:val="00D37187"/>
    <w:rsid w:val="00D40122"/>
    <w:rsid w:val="00D4079F"/>
    <w:rsid w:val="00D40B9B"/>
    <w:rsid w:val="00D4133F"/>
    <w:rsid w:val="00D41841"/>
    <w:rsid w:val="00D4468B"/>
    <w:rsid w:val="00D45334"/>
    <w:rsid w:val="00D46F63"/>
    <w:rsid w:val="00D4747F"/>
    <w:rsid w:val="00D5104D"/>
    <w:rsid w:val="00D516F5"/>
    <w:rsid w:val="00D51807"/>
    <w:rsid w:val="00D54E71"/>
    <w:rsid w:val="00D55C08"/>
    <w:rsid w:val="00D55E9F"/>
    <w:rsid w:val="00D56228"/>
    <w:rsid w:val="00D569EA"/>
    <w:rsid w:val="00D56C47"/>
    <w:rsid w:val="00D57D6E"/>
    <w:rsid w:val="00D60A2E"/>
    <w:rsid w:val="00D62F85"/>
    <w:rsid w:val="00D636FD"/>
    <w:rsid w:val="00D64C21"/>
    <w:rsid w:val="00D65418"/>
    <w:rsid w:val="00D65BA3"/>
    <w:rsid w:val="00D66CCF"/>
    <w:rsid w:val="00D67329"/>
    <w:rsid w:val="00D6744C"/>
    <w:rsid w:val="00D67DCB"/>
    <w:rsid w:val="00D703A5"/>
    <w:rsid w:val="00D71A61"/>
    <w:rsid w:val="00D71B50"/>
    <w:rsid w:val="00D71B6F"/>
    <w:rsid w:val="00D728D5"/>
    <w:rsid w:val="00D7299D"/>
    <w:rsid w:val="00D72EAE"/>
    <w:rsid w:val="00D75186"/>
    <w:rsid w:val="00D76385"/>
    <w:rsid w:val="00D773FA"/>
    <w:rsid w:val="00D7746A"/>
    <w:rsid w:val="00D801CB"/>
    <w:rsid w:val="00D80471"/>
    <w:rsid w:val="00D81AC8"/>
    <w:rsid w:val="00D84AAD"/>
    <w:rsid w:val="00D855BF"/>
    <w:rsid w:val="00D858F7"/>
    <w:rsid w:val="00D85A92"/>
    <w:rsid w:val="00D861CC"/>
    <w:rsid w:val="00D8630B"/>
    <w:rsid w:val="00D8674D"/>
    <w:rsid w:val="00D877C8"/>
    <w:rsid w:val="00D904A2"/>
    <w:rsid w:val="00D905C8"/>
    <w:rsid w:val="00D906F0"/>
    <w:rsid w:val="00D90A87"/>
    <w:rsid w:val="00D90C24"/>
    <w:rsid w:val="00D91557"/>
    <w:rsid w:val="00D9207C"/>
    <w:rsid w:val="00D920C9"/>
    <w:rsid w:val="00D9311F"/>
    <w:rsid w:val="00D95065"/>
    <w:rsid w:val="00D97060"/>
    <w:rsid w:val="00D972B3"/>
    <w:rsid w:val="00DA1396"/>
    <w:rsid w:val="00DA1EF5"/>
    <w:rsid w:val="00DA22F9"/>
    <w:rsid w:val="00DA4C50"/>
    <w:rsid w:val="00DA4F19"/>
    <w:rsid w:val="00DA5C21"/>
    <w:rsid w:val="00DA5C37"/>
    <w:rsid w:val="00DA6201"/>
    <w:rsid w:val="00DA642F"/>
    <w:rsid w:val="00DA696C"/>
    <w:rsid w:val="00DA6A05"/>
    <w:rsid w:val="00DA6B4A"/>
    <w:rsid w:val="00DA730C"/>
    <w:rsid w:val="00DA7518"/>
    <w:rsid w:val="00DA7A73"/>
    <w:rsid w:val="00DB12E4"/>
    <w:rsid w:val="00DB180F"/>
    <w:rsid w:val="00DB1DE4"/>
    <w:rsid w:val="00DB2427"/>
    <w:rsid w:val="00DB2E91"/>
    <w:rsid w:val="00DB315E"/>
    <w:rsid w:val="00DB39AE"/>
    <w:rsid w:val="00DB467B"/>
    <w:rsid w:val="00DB4EA1"/>
    <w:rsid w:val="00DB555F"/>
    <w:rsid w:val="00DB5737"/>
    <w:rsid w:val="00DB5C3A"/>
    <w:rsid w:val="00DB5D27"/>
    <w:rsid w:val="00DC056F"/>
    <w:rsid w:val="00DC0697"/>
    <w:rsid w:val="00DC0780"/>
    <w:rsid w:val="00DC09AD"/>
    <w:rsid w:val="00DC0C72"/>
    <w:rsid w:val="00DC0C7A"/>
    <w:rsid w:val="00DC1B90"/>
    <w:rsid w:val="00DC1EEA"/>
    <w:rsid w:val="00DC1FB1"/>
    <w:rsid w:val="00DC2EAC"/>
    <w:rsid w:val="00DC32A3"/>
    <w:rsid w:val="00DC398C"/>
    <w:rsid w:val="00DC4386"/>
    <w:rsid w:val="00DC4F58"/>
    <w:rsid w:val="00DC4F9B"/>
    <w:rsid w:val="00DC4FA0"/>
    <w:rsid w:val="00DC5424"/>
    <w:rsid w:val="00DC5A52"/>
    <w:rsid w:val="00DC64BD"/>
    <w:rsid w:val="00DC66C2"/>
    <w:rsid w:val="00DC6E9E"/>
    <w:rsid w:val="00DC7350"/>
    <w:rsid w:val="00DC76CD"/>
    <w:rsid w:val="00DC770D"/>
    <w:rsid w:val="00DC7728"/>
    <w:rsid w:val="00DC7DA3"/>
    <w:rsid w:val="00DD0EAD"/>
    <w:rsid w:val="00DD0FFC"/>
    <w:rsid w:val="00DD282C"/>
    <w:rsid w:val="00DD2D05"/>
    <w:rsid w:val="00DD2DCE"/>
    <w:rsid w:val="00DD2F7E"/>
    <w:rsid w:val="00DD3031"/>
    <w:rsid w:val="00DD3B0F"/>
    <w:rsid w:val="00DD455E"/>
    <w:rsid w:val="00DD59A0"/>
    <w:rsid w:val="00DD7E64"/>
    <w:rsid w:val="00DE033A"/>
    <w:rsid w:val="00DE0D7B"/>
    <w:rsid w:val="00DE25EC"/>
    <w:rsid w:val="00DE2865"/>
    <w:rsid w:val="00DE35C4"/>
    <w:rsid w:val="00DE3A10"/>
    <w:rsid w:val="00DE3FED"/>
    <w:rsid w:val="00DE4A4A"/>
    <w:rsid w:val="00DE5564"/>
    <w:rsid w:val="00DE564F"/>
    <w:rsid w:val="00DE5B76"/>
    <w:rsid w:val="00DE7BDA"/>
    <w:rsid w:val="00DF0803"/>
    <w:rsid w:val="00DF08F9"/>
    <w:rsid w:val="00DF120C"/>
    <w:rsid w:val="00DF138A"/>
    <w:rsid w:val="00DF24E9"/>
    <w:rsid w:val="00DF26F6"/>
    <w:rsid w:val="00DF4335"/>
    <w:rsid w:val="00DF47D1"/>
    <w:rsid w:val="00DF4A45"/>
    <w:rsid w:val="00DF5FD7"/>
    <w:rsid w:val="00DF6216"/>
    <w:rsid w:val="00DF654A"/>
    <w:rsid w:val="00DF7920"/>
    <w:rsid w:val="00DF7EB5"/>
    <w:rsid w:val="00E002F2"/>
    <w:rsid w:val="00E00480"/>
    <w:rsid w:val="00E006B6"/>
    <w:rsid w:val="00E00B2C"/>
    <w:rsid w:val="00E02064"/>
    <w:rsid w:val="00E025E8"/>
    <w:rsid w:val="00E03652"/>
    <w:rsid w:val="00E068FA"/>
    <w:rsid w:val="00E07991"/>
    <w:rsid w:val="00E07C9F"/>
    <w:rsid w:val="00E116DA"/>
    <w:rsid w:val="00E11A0C"/>
    <w:rsid w:val="00E135CD"/>
    <w:rsid w:val="00E1425E"/>
    <w:rsid w:val="00E156A9"/>
    <w:rsid w:val="00E156F8"/>
    <w:rsid w:val="00E15C9D"/>
    <w:rsid w:val="00E16BEE"/>
    <w:rsid w:val="00E16CB9"/>
    <w:rsid w:val="00E17DCA"/>
    <w:rsid w:val="00E20A98"/>
    <w:rsid w:val="00E218B0"/>
    <w:rsid w:val="00E22B68"/>
    <w:rsid w:val="00E2351F"/>
    <w:rsid w:val="00E247A3"/>
    <w:rsid w:val="00E262A2"/>
    <w:rsid w:val="00E26431"/>
    <w:rsid w:val="00E26A6D"/>
    <w:rsid w:val="00E27459"/>
    <w:rsid w:val="00E279E5"/>
    <w:rsid w:val="00E308F4"/>
    <w:rsid w:val="00E312BF"/>
    <w:rsid w:val="00E31E7B"/>
    <w:rsid w:val="00E323B2"/>
    <w:rsid w:val="00E323E1"/>
    <w:rsid w:val="00E32622"/>
    <w:rsid w:val="00E338E7"/>
    <w:rsid w:val="00E341BB"/>
    <w:rsid w:val="00E34823"/>
    <w:rsid w:val="00E3568D"/>
    <w:rsid w:val="00E36517"/>
    <w:rsid w:val="00E3681A"/>
    <w:rsid w:val="00E37345"/>
    <w:rsid w:val="00E3757C"/>
    <w:rsid w:val="00E37610"/>
    <w:rsid w:val="00E37639"/>
    <w:rsid w:val="00E3776F"/>
    <w:rsid w:val="00E3799C"/>
    <w:rsid w:val="00E40527"/>
    <w:rsid w:val="00E40CD1"/>
    <w:rsid w:val="00E40D3A"/>
    <w:rsid w:val="00E41208"/>
    <w:rsid w:val="00E4296F"/>
    <w:rsid w:val="00E42FCD"/>
    <w:rsid w:val="00E44D6F"/>
    <w:rsid w:val="00E45C66"/>
    <w:rsid w:val="00E45C9E"/>
    <w:rsid w:val="00E47225"/>
    <w:rsid w:val="00E472CD"/>
    <w:rsid w:val="00E475A3"/>
    <w:rsid w:val="00E50442"/>
    <w:rsid w:val="00E50E6E"/>
    <w:rsid w:val="00E518EA"/>
    <w:rsid w:val="00E52841"/>
    <w:rsid w:val="00E53755"/>
    <w:rsid w:val="00E55C1C"/>
    <w:rsid w:val="00E566E7"/>
    <w:rsid w:val="00E570FA"/>
    <w:rsid w:val="00E60926"/>
    <w:rsid w:val="00E622B5"/>
    <w:rsid w:val="00E634A8"/>
    <w:rsid w:val="00E634AE"/>
    <w:rsid w:val="00E63915"/>
    <w:rsid w:val="00E63B49"/>
    <w:rsid w:val="00E63C0A"/>
    <w:rsid w:val="00E64495"/>
    <w:rsid w:val="00E65D38"/>
    <w:rsid w:val="00E67A77"/>
    <w:rsid w:val="00E7046E"/>
    <w:rsid w:val="00E7060A"/>
    <w:rsid w:val="00E7153E"/>
    <w:rsid w:val="00E71C7F"/>
    <w:rsid w:val="00E72265"/>
    <w:rsid w:val="00E72EC8"/>
    <w:rsid w:val="00E72F85"/>
    <w:rsid w:val="00E73828"/>
    <w:rsid w:val="00E75045"/>
    <w:rsid w:val="00E755F8"/>
    <w:rsid w:val="00E75C79"/>
    <w:rsid w:val="00E75CAB"/>
    <w:rsid w:val="00E76F80"/>
    <w:rsid w:val="00E770BE"/>
    <w:rsid w:val="00E8003A"/>
    <w:rsid w:val="00E80A77"/>
    <w:rsid w:val="00E82D57"/>
    <w:rsid w:val="00E82D79"/>
    <w:rsid w:val="00E8327B"/>
    <w:rsid w:val="00E83622"/>
    <w:rsid w:val="00E838B7"/>
    <w:rsid w:val="00E840BC"/>
    <w:rsid w:val="00E845FA"/>
    <w:rsid w:val="00E84916"/>
    <w:rsid w:val="00E849F0"/>
    <w:rsid w:val="00E85359"/>
    <w:rsid w:val="00E85BFE"/>
    <w:rsid w:val="00E860C8"/>
    <w:rsid w:val="00E8697C"/>
    <w:rsid w:val="00E86E9C"/>
    <w:rsid w:val="00E874F1"/>
    <w:rsid w:val="00E9029F"/>
    <w:rsid w:val="00E9073E"/>
    <w:rsid w:val="00E90A21"/>
    <w:rsid w:val="00E9121D"/>
    <w:rsid w:val="00E91755"/>
    <w:rsid w:val="00E91FC2"/>
    <w:rsid w:val="00E9230A"/>
    <w:rsid w:val="00E926B4"/>
    <w:rsid w:val="00E927AE"/>
    <w:rsid w:val="00E92AC4"/>
    <w:rsid w:val="00E92AE4"/>
    <w:rsid w:val="00E93050"/>
    <w:rsid w:val="00E93B90"/>
    <w:rsid w:val="00E94BC1"/>
    <w:rsid w:val="00E95D15"/>
    <w:rsid w:val="00E9731C"/>
    <w:rsid w:val="00E976B7"/>
    <w:rsid w:val="00E97E5B"/>
    <w:rsid w:val="00E97E90"/>
    <w:rsid w:val="00EA0468"/>
    <w:rsid w:val="00EA0E26"/>
    <w:rsid w:val="00EA2364"/>
    <w:rsid w:val="00EA2465"/>
    <w:rsid w:val="00EA449F"/>
    <w:rsid w:val="00EA45B0"/>
    <w:rsid w:val="00EA4B60"/>
    <w:rsid w:val="00EA5775"/>
    <w:rsid w:val="00EA5BB9"/>
    <w:rsid w:val="00EA645A"/>
    <w:rsid w:val="00EA694C"/>
    <w:rsid w:val="00EA6ACB"/>
    <w:rsid w:val="00EA70F2"/>
    <w:rsid w:val="00EA7760"/>
    <w:rsid w:val="00EB0B3D"/>
    <w:rsid w:val="00EB13E5"/>
    <w:rsid w:val="00EB1DA4"/>
    <w:rsid w:val="00EB2908"/>
    <w:rsid w:val="00EB3A17"/>
    <w:rsid w:val="00EB409F"/>
    <w:rsid w:val="00EB4C10"/>
    <w:rsid w:val="00EB4DAF"/>
    <w:rsid w:val="00EB57A3"/>
    <w:rsid w:val="00EB57A6"/>
    <w:rsid w:val="00EB627C"/>
    <w:rsid w:val="00EB642A"/>
    <w:rsid w:val="00EB6EA0"/>
    <w:rsid w:val="00EB7210"/>
    <w:rsid w:val="00EB768D"/>
    <w:rsid w:val="00EC00E7"/>
    <w:rsid w:val="00EC0DE8"/>
    <w:rsid w:val="00EC142A"/>
    <w:rsid w:val="00EC1454"/>
    <w:rsid w:val="00EC1592"/>
    <w:rsid w:val="00EC1B91"/>
    <w:rsid w:val="00EC25E8"/>
    <w:rsid w:val="00EC26A2"/>
    <w:rsid w:val="00EC3224"/>
    <w:rsid w:val="00EC450E"/>
    <w:rsid w:val="00EC4873"/>
    <w:rsid w:val="00EC5296"/>
    <w:rsid w:val="00EC5B96"/>
    <w:rsid w:val="00EC6445"/>
    <w:rsid w:val="00EC6D9B"/>
    <w:rsid w:val="00EC6F6B"/>
    <w:rsid w:val="00EC7816"/>
    <w:rsid w:val="00EC7A7A"/>
    <w:rsid w:val="00EC7AE0"/>
    <w:rsid w:val="00EC7CCF"/>
    <w:rsid w:val="00ED1907"/>
    <w:rsid w:val="00ED1D17"/>
    <w:rsid w:val="00ED2378"/>
    <w:rsid w:val="00ED2C4C"/>
    <w:rsid w:val="00ED3A30"/>
    <w:rsid w:val="00ED45B0"/>
    <w:rsid w:val="00ED52D1"/>
    <w:rsid w:val="00ED5905"/>
    <w:rsid w:val="00ED5C18"/>
    <w:rsid w:val="00ED6D9F"/>
    <w:rsid w:val="00ED6F2D"/>
    <w:rsid w:val="00EE0838"/>
    <w:rsid w:val="00EE1E95"/>
    <w:rsid w:val="00EE1F76"/>
    <w:rsid w:val="00EE26FC"/>
    <w:rsid w:val="00EE2745"/>
    <w:rsid w:val="00EE2B48"/>
    <w:rsid w:val="00EE2DC6"/>
    <w:rsid w:val="00EE3234"/>
    <w:rsid w:val="00EE3FC2"/>
    <w:rsid w:val="00EE6071"/>
    <w:rsid w:val="00EE7213"/>
    <w:rsid w:val="00EE76DF"/>
    <w:rsid w:val="00EE7E06"/>
    <w:rsid w:val="00EE7EE6"/>
    <w:rsid w:val="00EF00CE"/>
    <w:rsid w:val="00EF0AB8"/>
    <w:rsid w:val="00EF1083"/>
    <w:rsid w:val="00EF1A08"/>
    <w:rsid w:val="00EF20C0"/>
    <w:rsid w:val="00EF4082"/>
    <w:rsid w:val="00EF483F"/>
    <w:rsid w:val="00EF554B"/>
    <w:rsid w:val="00EF565A"/>
    <w:rsid w:val="00EF6936"/>
    <w:rsid w:val="00EF7D59"/>
    <w:rsid w:val="00EF7E00"/>
    <w:rsid w:val="00F014FB"/>
    <w:rsid w:val="00F031C1"/>
    <w:rsid w:val="00F03C4C"/>
    <w:rsid w:val="00F05B40"/>
    <w:rsid w:val="00F05CE8"/>
    <w:rsid w:val="00F05E97"/>
    <w:rsid w:val="00F06A2B"/>
    <w:rsid w:val="00F06BA2"/>
    <w:rsid w:val="00F06F35"/>
    <w:rsid w:val="00F0707A"/>
    <w:rsid w:val="00F07589"/>
    <w:rsid w:val="00F07D1A"/>
    <w:rsid w:val="00F120FE"/>
    <w:rsid w:val="00F125A1"/>
    <w:rsid w:val="00F12985"/>
    <w:rsid w:val="00F13D01"/>
    <w:rsid w:val="00F13D2F"/>
    <w:rsid w:val="00F15AC5"/>
    <w:rsid w:val="00F20B58"/>
    <w:rsid w:val="00F2189C"/>
    <w:rsid w:val="00F21B02"/>
    <w:rsid w:val="00F2264C"/>
    <w:rsid w:val="00F2326F"/>
    <w:rsid w:val="00F23AA0"/>
    <w:rsid w:val="00F23AFF"/>
    <w:rsid w:val="00F2450A"/>
    <w:rsid w:val="00F24AA5"/>
    <w:rsid w:val="00F24FC4"/>
    <w:rsid w:val="00F25A57"/>
    <w:rsid w:val="00F30E08"/>
    <w:rsid w:val="00F31A19"/>
    <w:rsid w:val="00F31E3C"/>
    <w:rsid w:val="00F34152"/>
    <w:rsid w:val="00F34476"/>
    <w:rsid w:val="00F34DC9"/>
    <w:rsid w:val="00F34DEB"/>
    <w:rsid w:val="00F353BD"/>
    <w:rsid w:val="00F35CD4"/>
    <w:rsid w:val="00F364E2"/>
    <w:rsid w:val="00F365D8"/>
    <w:rsid w:val="00F37C77"/>
    <w:rsid w:val="00F37FCB"/>
    <w:rsid w:val="00F4078E"/>
    <w:rsid w:val="00F40B4E"/>
    <w:rsid w:val="00F40CA5"/>
    <w:rsid w:val="00F40E54"/>
    <w:rsid w:val="00F419D4"/>
    <w:rsid w:val="00F41D92"/>
    <w:rsid w:val="00F42230"/>
    <w:rsid w:val="00F4277E"/>
    <w:rsid w:val="00F42EE9"/>
    <w:rsid w:val="00F430CE"/>
    <w:rsid w:val="00F44901"/>
    <w:rsid w:val="00F44EBD"/>
    <w:rsid w:val="00F45787"/>
    <w:rsid w:val="00F458CD"/>
    <w:rsid w:val="00F47D59"/>
    <w:rsid w:val="00F50E1C"/>
    <w:rsid w:val="00F511FF"/>
    <w:rsid w:val="00F51634"/>
    <w:rsid w:val="00F54C5A"/>
    <w:rsid w:val="00F54C64"/>
    <w:rsid w:val="00F54DDF"/>
    <w:rsid w:val="00F55DEA"/>
    <w:rsid w:val="00F56980"/>
    <w:rsid w:val="00F5738A"/>
    <w:rsid w:val="00F57A01"/>
    <w:rsid w:val="00F57A41"/>
    <w:rsid w:val="00F57A93"/>
    <w:rsid w:val="00F57E97"/>
    <w:rsid w:val="00F60E64"/>
    <w:rsid w:val="00F616CA"/>
    <w:rsid w:val="00F62B17"/>
    <w:rsid w:val="00F63E86"/>
    <w:rsid w:val="00F64968"/>
    <w:rsid w:val="00F64F0C"/>
    <w:rsid w:val="00F653F0"/>
    <w:rsid w:val="00F6544A"/>
    <w:rsid w:val="00F66317"/>
    <w:rsid w:val="00F66D49"/>
    <w:rsid w:val="00F66FC0"/>
    <w:rsid w:val="00F67C13"/>
    <w:rsid w:val="00F716A6"/>
    <w:rsid w:val="00F71C99"/>
    <w:rsid w:val="00F72968"/>
    <w:rsid w:val="00F737EE"/>
    <w:rsid w:val="00F745AD"/>
    <w:rsid w:val="00F74A7F"/>
    <w:rsid w:val="00F764C6"/>
    <w:rsid w:val="00F767F0"/>
    <w:rsid w:val="00F77DCF"/>
    <w:rsid w:val="00F77EDB"/>
    <w:rsid w:val="00F80B92"/>
    <w:rsid w:val="00F82828"/>
    <w:rsid w:val="00F82881"/>
    <w:rsid w:val="00F8727D"/>
    <w:rsid w:val="00F905EA"/>
    <w:rsid w:val="00F90D93"/>
    <w:rsid w:val="00F92617"/>
    <w:rsid w:val="00F92710"/>
    <w:rsid w:val="00F9431E"/>
    <w:rsid w:val="00F9443C"/>
    <w:rsid w:val="00F94968"/>
    <w:rsid w:val="00F9518E"/>
    <w:rsid w:val="00F95775"/>
    <w:rsid w:val="00F95B6F"/>
    <w:rsid w:val="00F961F8"/>
    <w:rsid w:val="00F97495"/>
    <w:rsid w:val="00FA016F"/>
    <w:rsid w:val="00FA029A"/>
    <w:rsid w:val="00FA0586"/>
    <w:rsid w:val="00FA07BD"/>
    <w:rsid w:val="00FA08C1"/>
    <w:rsid w:val="00FA09A7"/>
    <w:rsid w:val="00FA0CCB"/>
    <w:rsid w:val="00FA1D58"/>
    <w:rsid w:val="00FA220A"/>
    <w:rsid w:val="00FA24E8"/>
    <w:rsid w:val="00FA26D7"/>
    <w:rsid w:val="00FA2EA3"/>
    <w:rsid w:val="00FA3858"/>
    <w:rsid w:val="00FA3C83"/>
    <w:rsid w:val="00FA3D6D"/>
    <w:rsid w:val="00FA5AAD"/>
    <w:rsid w:val="00FA6C58"/>
    <w:rsid w:val="00FA77E8"/>
    <w:rsid w:val="00FB142B"/>
    <w:rsid w:val="00FB2589"/>
    <w:rsid w:val="00FB41AA"/>
    <w:rsid w:val="00FB50EC"/>
    <w:rsid w:val="00FB5B69"/>
    <w:rsid w:val="00FB5C22"/>
    <w:rsid w:val="00FB61A9"/>
    <w:rsid w:val="00FB7D0A"/>
    <w:rsid w:val="00FC12CD"/>
    <w:rsid w:val="00FC15FF"/>
    <w:rsid w:val="00FC19CC"/>
    <w:rsid w:val="00FC1DCD"/>
    <w:rsid w:val="00FC2E82"/>
    <w:rsid w:val="00FC3D10"/>
    <w:rsid w:val="00FC3DB3"/>
    <w:rsid w:val="00FC458D"/>
    <w:rsid w:val="00FC4FD8"/>
    <w:rsid w:val="00FC6CD2"/>
    <w:rsid w:val="00FC6DB4"/>
    <w:rsid w:val="00FC7547"/>
    <w:rsid w:val="00FC7C69"/>
    <w:rsid w:val="00FC7D2A"/>
    <w:rsid w:val="00FD053B"/>
    <w:rsid w:val="00FD0650"/>
    <w:rsid w:val="00FD098D"/>
    <w:rsid w:val="00FD1453"/>
    <w:rsid w:val="00FD1CF4"/>
    <w:rsid w:val="00FD2901"/>
    <w:rsid w:val="00FD2C55"/>
    <w:rsid w:val="00FD33C1"/>
    <w:rsid w:val="00FD3E1C"/>
    <w:rsid w:val="00FD4248"/>
    <w:rsid w:val="00FD466D"/>
    <w:rsid w:val="00FD4AE6"/>
    <w:rsid w:val="00FD54F8"/>
    <w:rsid w:val="00FD631A"/>
    <w:rsid w:val="00FD68B7"/>
    <w:rsid w:val="00FD700C"/>
    <w:rsid w:val="00FE1655"/>
    <w:rsid w:val="00FE36E9"/>
    <w:rsid w:val="00FE3A04"/>
    <w:rsid w:val="00FE4A3A"/>
    <w:rsid w:val="00FE4B43"/>
    <w:rsid w:val="00FE4F6C"/>
    <w:rsid w:val="00FE52D4"/>
    <w:rsid w:val="00FE731A"/>
    <w:rsid w:val="00FF0917"/>
    <w:rsid w:val="00FF0C03"/>
    <w:rsid w:val="00FF1931"/>
    <w:rsid w:val="00FF2502"/>
    <w:rsid w:val="00FF4456"/>
    <w:rsid w:val="00FF4F20"/>
    <w:rsid w:val="00FF53A1"/>
    <w:rsid w:val="00FF5C7B"/>
    <w:rsid w:val="00FF5E98"/>
    <w:rsid w:val="00FF60C3"/>
    <w:rsid w:val="02A42F06"/>
    <w:rsid w:val="03D574C4"/>
    <w:rsid w:val="15E30689"/>
    <w:rsid w:val="22CE2CF6"/>
    <w:rsid w:val="232A61F9"/>
    <w:rsid w:val="2DFF5A19"/>
    <w:rsid w:val="342908A0"/>
    <w:rsid w:val="51C246D3"/>
    <w:rsid w:val="6DCA18FC"/>
    <w:rsid w:val="7E8B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nhideWhenUsed="0" w:uiPriority="0" w:semiHidden="0" w:name="heading 3"/>
    <w:lsdException w:qFormat="1" w:uiPriority="0"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spacing w:line="360" w:lineRule="auto"/>
      <w:ind w:firstLine="200" w:firstLineChars="200"/>
      <w:jc w:val="both"/>
      <w:textAlignment w:val="baseline"/>
    </w:pPr>
    <w:rPr>
      <w:rFonts w:ascii="Times New Roman" w:hAnsi="Times New Roman" w:eastAsia="宋体" w:cs="Arial"/>
      <w:snapToGrid w:val="0"/>
      <w:color w:val="000000"/>
      <w:sz w:val="24"/>
      <w:szCs w:val="24"/>
      <w:lang w:val="en-US" w:eastAsia="zh-CN" w:bidi="ar-SA"/>
    </w:rPr>
  </w:style>
  <w:style w:type="paragraph" w:styleId="2">
    <w:name w:val="heading 1"/>
    <w:basedOn w:val="1"/>
    <w:next w:val="1"/>
    <w:link w:val="37"/>
    <w:qFormat/>
    <w:uiPriority w:val="99"/>
    <w:pPr>
      <w:keepNext/>
      <w:keepLines/>
      <w:spacing w:before="340" w:after="330" w:line="578" w:lineRule="auto"/>
      <w:outlineLvl w:val="0"/>
    </w:pPr>
    <w:rPr>
      <w:b/>
      <w:bCs/>
      <w:kern w:val="44"/>
      <w:sz w:val="44"/>
      <w:szCs w:val="44"/>
    </w:rPr>
  </w:style>
  <w:style w:type="paragraph" w:styleId="3">
    <w:name w:val="heading 2"/>
    <w:next w:val="1"/>
    <w:link w:val="40"/>
    <w:autoRedefine/>
    <w:unhideWhenUsed/>
    <w:qFormat/>
    <w:uiPriority w:val="9"/>
    <w:pPr>
      <w:keepNext/>
      <w:numPr>
        <w:ilvl w:val="1"/>
        <w:numId w:val="1"/>
      </w:numPr>
      <w:adjustRightInd w:val="0"/>
      <w:snapToGrid w:val="0"/>
      <w:spacing w:before="156" w:beforeLines="50" w:line="360" w:lineRule="auto"/>
      <w:outlineLvl w:val="1"/>
    </w:pPr>
    <w:rPr>
      <w:rFonts w:ascii="Times New Roman" w:hAnsi="Times New Roman" w:eastAsia="宋体" w:cs="宋体"/>
      <w:b/>
      <w:snapToGrid w:val="0"/>
      <w:spacing w:val="-4"/>
      <w:sz w:val="28"/>
      <w:szCs w:val="28"/>
      <w:lang w:val="en-US" w:eastAsia="zh-CN" w:bidi="ar-SA"/>
    </w:rPr>
  </w:style>
  <w:style w:type="paragraph" w:styleId="4">
    <w:name w:val="heading 3"/>
    <w:basedOn w:val="1"/>
    <w:next w:val="1"/>
    <w:link w:val="41"/>
    <w:qFormat/>
    <w:uiPriority w:val="0"/>
    <w:pPr>
      <w:keepNext/>
      <w:keepLines/>
      <w:tabs>
        <w:tab w:val="left" w:pos="720"/>
      </w:tabs>
      <w:autoSpaceDE/>
      <w:autoSpaceDN/>
      <w:spacing w:before="260" w:after="260"/>
      <w:ind w:firstLine="0" w:firstLineChars="0"/>
      <w:textAlignment w:val="auto"/>
      <w:outlineLvl w:val="2"/>
    </w:pPr>
    <w:rPr>
      <w:rFonts w:cs="Times New Roman"/>
      <w:b/>
      <w:bCs/>
      <w:snapToGrid/>
      <w:color w:val="auto"/>
      <w:kern w:val="2"/>
      <w:sz w:val="32"/>
      <w:szCs w:val="32"/>
    </w:rPr>
  </w:style>
  <w:style w:type="paragraph" w:styleId="5">
    <w:name w:val="heading 4"/>
    <w:basedOn w:val="1"/>
    <w:next w:val="1"/>
    <w:link w:val="42"/>
    <w:unhideWhenUsed/>
    <w:qFormat/>
    <w:uiPriority w:val="0"/>
    <w:pPr>
      <w:keepNext/>
      <w:keepLines/>
      <w:autoSpaceDE/>
      <w:autoSpaceDN/>
      <w:ind w:firstLine="0" w:firstLineChars="0"/>
      <w:textAlignment w:val="auto"/>
      <w:outlineLvl w:val="3"/>
    </w:pPr>
    <w:rPr>
      <w:rFonts w:eastAsia="Times New Roman" w:asciiTheme="majorHAnsi" w:hAnsiTheme="majorHAnsi" w:cstheme="majorBidi"/>
      <w:b/>
      <w:bCs/>
      <w:snapToGrid/>
      <w:color w:val="auto"/>
      <w:kern w:val="2"/>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napToGrid/>
      <w:spacing w:line="240" w:lineRule="auto"/>
      <w:ind w:left="2520" w:leftChars="1200" w:firstLine="0" w:firstLineChars="0"/>
      <w:textAlignment w:val="auto"/>
    </w:pPr>
    <w:rPr>
      <w:rFonts w:asciiTheme="minorHAnsi" w:hAnsiTheme="minorHAnsi" w:eastAsiaTheme="minorEastAsia" w:cstheme="minorBidi"/>
      <w:snapToGrid/>
      <w:color w:val="auto"/>
      <w:kern w:val="2"/>
      <w:sz w:val="21"/>
      <w:szCs w:val="22"/>
    </w:rPr>
  </w:style>
  <w:style w:type="paragraph" w:styleId="7">
    <w:name w:val="Normal Indent"/>
    <w:basedOn w:val="1"/>
    <w:link w:val="101"/>
    <w:unhideWhenUsed/>
    <w:qFormat/>
    <w:uiPriority w:val="0"/>
    <w:pPr>
      <w:autoSpaceDE/>
      <w:autoSpaceDN/>
      <w:adjustRightInd/>
      <w:snapToGrid/>
      <w:spacing w:line="240" w:lineRule="auto"/>
      <w:ind w:firstLine="420" w:firstLineChars="0"/>
      <w:textAlignment w:val="auto"/>
    </w:pPr>
    <w:rPr>
      <w:rFonts w:ascii="宋体" w:cs="Times New Roman"/>
      <w:snapToGrid/>
      <w:color w:val="auto"/>
      <w:kern w:val="2"/>
      <w:szCs w:val="20"/>
    </w:rPr>
  </w:style>
  <w:style w:type="paragraph" w:styleId="8">
    <w:name w:val="caption"/>
    <w:next w:val="1"/>
    <w:unhideWhenUsed/>
    <w:qFormat/>
    <w:uiPriority w:val="35"/>
    <w:pPr>
      <w:ind w:left="200" w:hanging="200" w:hangingChars="200"/>
    </w:pPr>
    <w:rPr>
      <w:rFonts w:ascii="Times New Roman" w:hAnsi="Times New Roman" w:eastAsia="宋体" w:cstheme="majorBidi"/>
      <w:color w:val="000000"/>
      <w:sz w:val="21"/>
      <w:lang w:val="en-US" w:eastAsia="zh-CN" w:bidi="ar-SA"/>
    </w:rPr>
  </w:style>
  <w:style w:type="paragraph" w:styleId="9">
    <w:name w:val="annotation text"/>
    <w:basedOn w:val="1"/>
    <w:link w:val="81"/>
    <w:semiHidden/>
    <w:unhideWhenUsed/>
    <w:qFormat/>
    <w:uiPriority w:val="0"/>
    <w:pPr>
      <w:jc w:val="left"/>
    </w:pPr>
  </w:style>
  <w:style w:type="paragraph" w:styleId="10">
    <w:name w:val="Body Text"/>
    <w:basedOn w:val="1"/>
    <w:link w:val="86"/>
    <w:unhideWhenUsed/>
    <w:qFormat/>
    <w:uiPriority w:val="99"/>
    <w:pPr>
      <w:autoSpaceDE/>
      <w:autoSpaceDN/>
      <w:adjustRightInd/>
      <w:snapToGrid/>
      <w:spacing w:after="120" w:line="24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11">
    <w:name w:val="Body Text Indent"/>
    <w:basedOn w:val="1"/>
    <w:link w:val="122"/>
    <w:semiHidden/>
    <w:unhideWhenUsed/>
    <w:qFormat/>
    <w:uiPriority w:val="0"/>
    <w:pPr>
      <w:spacing w:after="120"/>
      <w:ind w:left="420" w:leftChars="200"/>
    </w:pPr>
  </w:style>
  <w:style w:type="paragraph" w:styleId="12">
    <w:name w:val="toc 5"/>
    <w:basedOn w:val="1"/>
    <w:next w:val="1"/>
    <w:unhideWhenUsed/>
    <w:qFormat/>
    <w:uiPriority w:val="39"/>
    <w:pPr>
      <w:autoSpaceDE/>
      <w:autoSpaceDN/>
      <w:adjustRightInd/>
      <w:snapToGrid/>
      <w:spacing w:line="240" w:lineRule="auto"/>
      <w:ind w:left="1680" w:leftChars="800" w:firstLine="0" w:firstLineChars="0"/>
      <w:textAlignment w:val="auto"/>
    </w:pPr>
    <w:rPr>
      <w:rFonts w:asciiTheme="minorHAnsi" w:hAnsiTheme="minorHAnsi" w:eastAsiaTheme="minorEastAsia" w:cstheme="minorBidi"/>
      <w:snapToGrid/>
      <w:color w:val="auto"/>
      <w:kern w:val="2"/>
      <w:sz w:val="21"/>
      <w:szCs w:val="22"/>
    </w:rPr>
  </w:style>
  <w:style w:type="paragraph" w:styleId="13">
    <w:name w:val="toc 3"/>
    <w:basedOn w:val="1"/>
    <w:next w:val="1"/>
    <w:unhideWhenUsed/>
    <w:qFormat/>
    <w:uiPriority w:val="39"/>
    <w:pPr>
      <w:ind w:left="840" w:leftChars="400"/>
    </w:pPr>
  </w:style>
  <w:style w:type="paragraph" w:styleId="14">
    <w:name w:val="Plain Text"/>
    <w:basedOn w:val="1"/>
    <w:link w:val="104"/>
    <w:qFormat/>
    <w:uiPriority w:val="0"/>
    <w:pPr>
      <w:autoSpaceDE/>
      <w:autoSpaceDN/>
      <w:adjustRightInd/>
      <w:snapToGrid/>
      <w:spacing w:line="240" w:lineRule="auto"/>
      <w:ind w:firstLine="0" w:firstLineChars="0"/>
      <w:textAlignment w:val="auto"/>
    </w:pPr>
    <w:rPr>
      <w:rFonts w:ascii="宋体" w:hAnsi="Courier New"/>
      <w:snapToGrid/>
      <w:color w:val="auto"/>
      <w:kern w:val="2"/>
      <w:sz w:val="21"/>
    </w:rPr>
  </w:style>
  <w:style w:type="paragraph" w:styleId="15">
    <w:name w:val="toc 8"/>
    <w:basedOn w:val="1"/>
    <w:next w:val="1"/>
    <w:unhideWhenUsed/>
    <w:qFormat/>
    <w:uiPriority w:val="39"/>
    <w:pPr>
      <w:autoSpaceDE/>
      <w:autoSpaceDN/>
      <w:adjustRightInd/>
      <w:snapToGrid/>
      <w:spacing w:line="240" w:lineRule="auto"/>
      <w:ind w:left="2940" w:leftChars="1400" w:firstLine="0" w:firstLineChars="0"/>
      <w:textAlignment w:val="auto"/>
    </w:pPr>
    <w:rPr>
      <w:rFonts w:asciiTheme="minorHAnsi" w:hAnsiTheme="minorHAnsi" w:eastAsiaTheme="minorEastAsia" w:cstheme="minorBidi"/>
      <w:snapToGrid/>
      <w:color w:val="auto"/>
      <w:kern w:val="2"/>
      <w:sz w:val="21"/>
      <w:szCs w:val="22"/>
    </w:rPr>
  </w:style>
  <w:style w:type="paragraph" w:styleId="16">
    <w:name w:val="Date"/>
    <w:basedOn w:val="1"/>
    <w:next w:val="1"/>
    <w:link w:val="107"/>
    <w:semiHidden/>
    <w:unhideWhenUsed/>
    <w:qFormat/>
    <w:uiPriority w:val="0"/>
    <w:pPr>
      <w:ind w:left="100" w:leftChars="2500"/>
    </w:pPr>
  </w:style>
  <w:style w:type="paragraph" w:styleId="17">
    <w:name w:val="Body Text Indent 2"/>
    <w:basedOn w:val="1"/>
    <w:link w:val="109"/>
    <w:semiHidden/>
    <w:unhideWhenUsed/>
    <w:qFormat/>
    <w:uiPriority w:val="99"/>
    <w:pPr>
      <w:spacing w:after="120" w:line="480" w:lineRule="auto"/>
      <w:ind w:left="420" w:leftChars="200"/>
    </w:pPr>
  </w:style>
  <w:style w:type="paragraph" w:styleId="18">
    <w:name w:val="Balloon Text"/>
    <w:basedOn w:val="1"/>
    <w:link w:val="55"/>
    <w:semiHidden/>
    <w:unhideWhenUsed/>
    <w:qFormat/>
    <w:uiPriority w:val="99"/>
    <w:pPr>
      <w:spacing w:line="240" w:lineRule="auto"/>
    </w:pPr>
    <w:rPr>
      <w:sz w:val="18"/>
      <w:szCs w:val="18"/>
    </w:rPr>
  </w:style>
  <w:style w:type="paragraph" w:styleId="19">
    <w:name w:val="footer"/>
    <w:basedOn w:val="1"/>
    <w:link w:val="85"/>
    <w:unhideWhenUsed/>
    <w:qFormat/>
    <w:uiPriority w:val="99"/>
    <w:pPr>
      <w:tabs>
        <w:tab w:val="center" w:pos="4153"/>
        <w:tab w:val="right" w:pos="8306"/>
      </w:tabs>
      <w:spacing w:line="240" w:lineRule="auto"/>
      <w:jc w:val="left"/>
    </w:pPr>
    <w:rPr>
      <w:sz w:val="18"/>
      <w:szCs w:val="18"/>
    </w:rPr>
  </w:style>
  <w:style w:type="paragraph" w:styleId="20">
    <w:name w:val="header"/>
    <w:basedOn w:val="1"/>
    <w:link w:val="84"/>
    <w:unhideWhenUsed/>
    <w:qFormat/>
    <w:uiPriority w:val="0"/>
    <w:pPr>
      <w:pBdr>
        <w:bottom w:val="single" w:color="auto" w:sz="6" w:space="1"/>
      </w:pBdr>
      <w:tabs>
        <w:tab w:val="center" w:pos="4153"/>
        <w:tab w:val="right" w:pos="8306"/>
      </w:tabs>
      <w:spacing w:line="240" w:lineRule="auto"/>
      <w:jc w:val="center"/>
    </w:pPr>
    <w:rPr>
      <w:sz w:val="18"/>
      <w:szCs w:val="18"/>
    </w:rPr>
  </w:style>
  <w:style w:type="paragraph" w:styleId="21">
    <w:name w:val="toc 1"/>
    <w:basedOn w:val="1"/>
    <w:next w:val="1"/>
    <w:unhideWhenUsed/>
    <w:qFormat/>
    <w:uiPriority w:val="39"/>
    <w:pPr>
      <w:tabs>
        <w:tab w:val="right" w:leader="dot" w:pos="8296"/>
      </w:tabs>
      <w:ind w:firstLine="0" w:firstLineChars="0"/>
    </w:pPr>
    <w:rPr>
      <w:rFonts w:cs="Times New Roman"/>
    </w:rPr>
  </w:style>
  <w:style w:type="paragraph" w:styleId="22">
    <w:name w:val="toc 4"/>
    <w:basedOn w:val="1"/>
    <w:next w:val="1"/>
    <w:unhideWhenUsed/>
    <w:qFormat/>
    <w:uiPriority w:val="39"/>
    <w:pPr>
      <w:autoSpaceDE/>
      <w:autoSpaceDN/>
      <w:adjustRightInd/>
      <w:snapToGrid/>
      <w:spacing w:line="240" w:lineRule="auto"/>
      <w:ind w:left="1260" w:leftChars="600" w:firstLine="0" w:firstLineChars="0"/>
      <w:textAlignment w:val="auto"/>
    </w:pPr>
    <w:rPr>
      <w:rFonts w:asciiTheme="minorHAnsi" w:hAnsiTheme="minorHAnsi" w:eastAsiaTheme="minorEastAsia" w:cstheme="minorBidi"/>
      <w:snapToGrid/>
      <w:color w:val="auto"/>
      <w:kern w:val="2"/>
      <w:sz w:val="21"/>
      <w:szCs w:val="22"/>
    </w:rPr>
  </w:style>
  <w:style w:type="paragraph" w:styleId="23">
    <w:name w:val="toc 6"/>
    <w:basedOn w:val="1"/>
    <w:next w:val="1"/>
    <w:unhideWhenUsed/>
    <w:qFormat/>
    <w:uiPriority w:val="39"/>
    <w:pPr>
      <w:autoSpaceDE/>
      <w:autoSpaceDN/>
      <w:adjustRightInd/>
      <w:snapToGrid/>
      <w:spacing w:line="240" w:lineRule="auto"/>
      <w:ind w:left="2100" w:leftChars="1000" w:firstLine="0" w:firstLineChars="0"/>
      <w:textAlignment w:val="auto"/>
    </w:pPr>
    <w:rPr>
      <w:rFonts w:asciiTheme="minorHAnsi" w:hAnsiTheme="minorHAnsi" w:eastAsiaTheme="minorEastAsia" w:cstheme="minorBidi"/>
      <w:snapToGrid/>
      <w:color w:val="auto"/>
      <w:kern w:val="2"/>
      <w:sz w:val="21"/>
      <w:szCs w:val="22"/>
    </w:rPr>
  </w:style>
  <w:style w:type="paragraph" w:styleId="24">
    <w:name w:val="toc 2"/>
    <w:basedOn w:val="1"/>
    <w:next w:val="1"/>
    <w:unhideWhenUsed/>
    <w:qFormat/>
    <w:uiPriority w:val="39"/>
    <w:pPr>
      <w:tabs>
        <w:tab w:val="right" w:leader="dot" w:pos="8296"/>
      </w:tabs>
      <w:ind w:left="480" w:leftChars="200" w:firstLine="0" w:firstLineChars="0"/>
    </w:pPr>
  </w:style>
  <w:style w:type="paragraph" w:styleId="25">
    <w:name w:val="toc 9"/>
    <w:basedOn w:val="1"/>
    <w:next w:val="1"/>
    <w:unhideWhenUsed/>
    <w:qFormat/>
    <w:uiPriority w:val="39"/>
    <w:pPr>
      <w:autoSpaceDE/>
      <w:autoSpaceDN/>
      <w:adjustRightInd/>
      <w:snapToGrid/>
      <w:spacing w:line="240" w:lineRule="auto"/>
      <w:ind w:left="3360" w:leftChars="1600" w:firstLine="0" w:firstLineChars="0"/>
      <w:textAlignment w:val="auto"/>
    </w:pPr>
    <w:rPr>
      <w:rFonts w:asciiTheme="minorHAnsi" w:hAnsiTheme="minorHAnsi" w:eastAsiaTheme="minorEastAsia" w:cstheme="minorBidi"/>
      <w:snapToGrid/>
      <w:color w:val="auto"/>
      <w:kern w:val="2"/>
      <w:sz w:val="21"/>
      <w:szCs w:val="22"/>
    </w:rPr>
  </w:style>
  <w:style w:type="paragraph" w:styleId="26">
    <w:name w:val="Body Text 2"/>
    <w:basedOn w:val="1"/>
    <w:link w:val="87"/>
    <w:unhideWhenUsed/>
    <w:qFormat/>
    <w:uiPriority w:val="99"/>
    <w:pPr>
      <w:autoSpaceDE/>
      <w:autoSpaceDN/>
      <w:adjustRightInd/>
      <w:snapToGrid/>
      <w:spacing w:after="120" w:line="480" w:lineRule="auto"/>
      <w:ind w:firstLine="0" w:firstLineChars="0"/>
      <w:textAlignment w:val="auto"/>
    </w:pPr>
    <w:rPr>
      <w:rFonts w:asciiTheme="minorHAnsi" w:hAnsiTheme="minorHAnsi" w:eastAsiaTheme="minorEastAsia" w:cstheme="minorBidi"/>
      <w:snapToGrid/>
      <w:color w:val="auto"/>
      <w:kern w:val="2"/>
      <w:sz w:val="21"/>
      <w:szCs w:val="22"/>
    </w:rPr>
  </w:style>
  <w:style w:type="paragraph" w:styleId="27">
    <w:name w:val="Normal (Web)"/>
    <w:basedOn w:val="1"/>
    <w:link w:val="121"/>
    <w:unhideWhenUsed/>
    <w:qFormat/>
    <w:uiPriority w:val="99"/>
    <w:pPr>
      <w:widowControl/>
      <w:autoSpaceDE/>
      <w:autoSpaceDN/>
      <w:adjustRightInd/>
      <w:snapToGrid/>
      <w:spacing w:before="100" w:beforeAutospacing="1" w:after="100" w:afterAutospacing="1" w:line="240" w:lineRule="auto"/>
      <w:ind w:firstLine="0" w:firstLineChars="0"/>
      <w:jc w:val="left"/>
      <w:textAlignment w:val="auto"/>
    </w:pPr>
    <w:rPr>
      <w:rFonts w:hint="eastAsia" w:ascii="宋体" w:hAnsi="宋体" w:cs="宋体"/>
      <w:snapToGrid/>
      <w:color w:val="auto"/>
    </w:rPr>
  </w:style>
  <w:style w:type="paragraph" w:styleId="28">
    <w:name w:val="annotation subject"/>
    <w:basedOn w:val="1"/>
    <w:next w:val="9"/>
    <w:link w:val="56"/>
    <w:semiHidden/>
    <w:unhideWhenUsed/>
    <w:qFormat/>
    <w:uiPriority w:val="0"/>
    <w:rPr>
      <w:b/>
      <w:bCs/>
    </w:rPr>
  </w:style>
  <w:style w:type="paragraph" w:styleId="29">
    <w:name w:val="Body Text First Indent"/>
    <w:basedOn w:val="10"/>
    <w:link w:val="88"/>
    <w:qFormat/>
    <w:uiPriority w:val="0"/>
    <w:pPr>
      <w:spacing w:line="360" w:lineRule="auto"/>
      <w:ind w:firstLine="420" w:firstLineChars="100"/>
    </w:pPr>
    <w:rPr>
      <w:rFonts w:ascii="Times New Roman" w:hAnsi="Times New Roman" w:eastAsia="仿宋"/>
      <w:sz w:val="28"/>
      <w:szCs w:val="24"/>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FollowedHyperlink"/>
    <w:basedOn w:val="32"/>
    <w:semiHidden/>
    <w:unhideWhenUsed/>
    <w:qFormat/>
    <w:uiPriority w:val="99"/>
    <w:rPr>
      <w:color w:val="954F72" w:themeColor="followedHyperlink"/>
      <w:u w:val="single"/>
      <w14:textFill>
        <w14:solidFill>
          <w14:schemeClr w14:val="folHlink"/>
        </w14:solidFill>
      </w14:textFill>
    </w:rPr>
  </w:style>
  <w:style w:type="character" w:styleId="35">
    <w:name w:val="Hyperlink"/>
    <w:basedOn w:val="32"/>
    <w:unhideWhenUsed/>
    <w:qFormat/>
    <w:uiPriority w:val="99"/>
    <w:rPr>
      <w:color w:val="0563C1" w:themeColor="hyperlink"/>
      <w:u w:val="single"/>
      <w14:textFill>
        <w14:solidFill>
          <w14:schemeClr w14:val="hlink"/>
        </w14:solidFill>
      </w14:textFill>
    </w:rPr>
  </w:style>
  <w:style w:type="character" w:styleId="36">
    <w:name w:val="annotation reference"/>
    <w:basedOn w:val="32"/>
    <w:unhideWhenUsed/>
    <w:qFormat/>
    <w:uiPriority w:val="99"/>
    <w:rPr>
      <w:sz w:val="21"/>
      <w:szCs w:val="21"/>
    </w:rPr>
  </w:style>
  <w:style w:type="character" w:customStyle="1" w:styleId="37">
    <w:name w:val="标题 1 字符"/>
    <w:basedOn w:val="32"/>
    <w:link w:val="2"/>
    <w:qFormat/>
    <w:uiPriority w:val="99"/>
    <w:rPr>
      <w:b/>
      <w:bCs/>
      <w:kern w:val="44"/>
      <w:sz w:val="44"/>
      <w:szCs w:val="44"/>
    </w:rPr>
  </w:style>
  <w:style w:type="paragraph" w:customStyle="1" w:styleId="38">
    <w:name w:val="弃用 标题2"/>
    <w:basedOn w:val="1"/>
    <w:link w:val="39"/>
    <w:qFormat/>
    <w:uiPriority w:val="0"/>
    <w:pPr>
      <w:ind w:firstLine="0" w:firstLineChars="0"/>
      <w:outlineLvl w:val="1"/>
    </w:pPr>
    <w:rPr>
      <w:rFonts w:cs="宋体"/>
      <w:spacing w:val="-4"/>
      <w:sz w:val="28"/>
      <w:szCs w:val="28"/>
    </w:rPr>
  </w:style>
  <w:style w:type="character" w:customStyle="1" w:styleId="39">
    <w:name w:val="弃用 标题2 字符"/>
    <w:basedOn w:val="32"/>
    <w:link w:val="38"/>
    <w:qFormat/>
    <w:uiPriority w:val="0"/>
    <w:rPr>
      <w:rFonts w:ascii="Times New Roman" w:hAnsi="Times New Roman" w:cs="宋体"/>
      <w:spacing w:val="-4"/>
      <w:sz w:val="28"/>
      <w:szCs w:val="28"/>
    </w:rPr>
  </w:style>
  <w:style w:type="character" w:customStyle="1" w:styleId="40">
    <w:name w:val="标题 2 字符"/>
    <w:basedOn w:val="32"/>
    <w:link w:val="3"/>
    <w:qFormat/>
    <w:uiPriority w:val="9"/>
    <w:rPr>
      <w:rFonts w:ascii="Times New Roman" w:hAnsi="Times New Roman" w:cs="宋体"/>
      <w:b/>
      <w:snapToGrid w:val="0"/>
      <w:spacing w:val="-4"/>
      <w:sz w:val="28"/>
      <w:szCs w:val="28"/>
    </w:rPr>
  </w:style>
  <w:style w:type="character" w:customStyle="1" w:styleId="41">
    <w:name w:val="标题 3 字符"/>
    <w:basedOn w:val="32"/>
    <w:link w:val="4"/>
    <w:qFormat/>
    <w:uiPriority w:val="0"/>
    <w:rPr>
      <w:rFonts w:ascii="Times New Roman" w:hAnsi="Times New Roman" w:cs="Times New Roman"/>
      <w:b/>
      <w:bCs/>
      <w:snapToGrid/>
      <w:color w:val="auto"/>
      <w:kern w:val="2"/>
      <w:sz w:val="32"/>
      <w:szCs w:val="32"/>
    </w:rPr>
  </w:style>
  <w:style w:type="character" w:customStyle="1" w:styleId="42">
    <w:name w:val="标题 4 字符"/>
    <w:basedOn w:val="32"/>
    <w:link w:val="5"/>
    <w:qFormat/>
    <w:uiPriority w:val="0"/>
    <w:rPr>
      <w:rFonts w:eastAsia="Times New Roman" w:asciiTheme="majorHAnsi" w:hAnsiTheme="majorHAnsi" w:cstheme="majorBidi"/>
      <w:b/>
      <w:bCs/>
      <w:kern w:val="2"/>
      <w:sz w:val="24"/>
      <w:szCs w:val="28"/>
    </w:rPr>
  </w:style>
  <w:style w:type="paragraph" w:customStyle="1" w:styleId="43">
    <w:name w:val="标题1"/>
    <w:next w:val="1"/>
    <w:link w:val="44"/>
    <w:qFormat/>
    <w:uiPriority w:val="0"/>
    <w:pPr>
      <w:keepNext/>
      <w:numPr>
        <w:ilvl w:val="0"/>
        <w:numId w:val="1"/>
      </w:numPr>
      <w:adjustRightInd w:val="0"/>
      <w:snapToGrid w:val="0"/>
      <w:spacing w:line="360" w:lineRule="auto"/>
      <w:jc w:val="center"/>
      <w:outlineLvl w:val="0"/>
    </w:pPr>
    <w:rPr>
      <w:rFonts w:ascii="Times New Roman" w:hAnsi="Times New Roman" w:eastAsia="宋体" w:cs="宋体"/>
      <w:b/>
      <w:snapToGrid w:val="0"/>
      <w:color w:val="000000"/>
      <w:sz w:val="32"/>
      <w:szCs w:val="32"/>
      <w:lang w:val="en-US" w:eastAsia="zh-CN" w:bidi="ar-SA"/>
    </w:rPr>
  </w:style>
  <w:style w:type="character" w:customStyle="1" w:styleId="44">
    <w:name w:val="标题1 字符"/>
    <w:basedOn w:val="32"/>
    <w:link w:val="43"/>
    <w:qFormat/>
    <w:uiPriority w:val="0"/>
    <w:rPr>
      <w:rFonts w:ascii="Times New Roman" w:hAnsi="Times New Roman" w:cs="宋体"/>
      <w:b/>
      <w:snapToGrid w:val="0"/>
      <w:color w:val="000000"/>
      <w:sz w:val="32"/>
      <w:szCs w:val="32"/>
    </w:rPr>
  </w:style>
  <w:style w:type="paragraph" w:customStyle="1" w:styleId="45">
    <w:name w:val="标题3"/>
    <w:next w:val="1"/>
    <w:link w:val="46"/>
    <w:autoRedefine/>
    <w:qFormat/>
    <w:uiPriority w:val="0"/>
    <w:pPr>
      <w:keepNext/>
      <w:adjustRightInd w:val="0"/>
      <w:snapToGrid w:val="0"/>
      <w:spacing w:before="156" w:beforeLines="50" w:line="360" w:lineRule="auto"/>
      <w:outlineLvl w:val="2"/>
    </w:pPr>
    <w:rPr>
      <w:rFonts w:ascii="Times New Roman" w:hAnsi="Times New Roman" w:eastAsia="宋体" w:cs="Times New Roman"/>
      <w:b/>
      <w:snapToGrid w:val="0"/>
      <w:color w:val="000000"/>
      <w:spacing w:val="-4"/>
      <w:sz w:val="24"/>
      <w:szCs w:val="28"/>
      <w:lang w:val="en-US" w:eastAsia="zh-CN" w:bidi="ar-SA"/>
    </w:rPr>
  </w:style>
  <w:style w:type="character" w:customStyle="1" w:styleId="46">
    <w:name w:val="标题3 字符"/>
    <w:basedOn w:val="39"/>
    <w:link w:val="45"/>
    <w:qFormat/>
    <w:uiPriority w:val="0"/>
    <w:rPr>
      <w:rFonts w:ascii="Times New Roman" w:hAnsi="Times New Roman" w:cs="Times New Roman"/>
      <w:b/>
      <w:snapToGrid w:val="0"/>
      <w:color w:val="000000"/>
      <w:spacing w:val="-4"/>
      <w:sz w:val="24"/>
      <w:szCs w:val="28"/>
    </w:rPr>
  </w:style>
  <w:style w:type="paragraph" w:customStyle="1" w:styleId="47">
    <w:name w:val="标题4"/>
    <w:next w:val="1"/>
    <w:link w:val="48"/>
    <w:qFormat/>
    <w:uiPriority w:val="0"/>
    <w:pPr>
      <w:keepNext/>
      <w:numPr>
        <w:ilvl w:val="0"/>
        <w:numId w:val="2"/>
      </w:numPr>
      <w:spacing w:line="360" w:lineRule="auto"/>
    </w:pPr>
    <w:rPr>
      <w:rFonts w:ascii="Times New Roman" w:hAnsi="Times New Roman" w:eastAsia="宋体" w:cs="Times New Roman"/>
      <w:b/>
      <w:snapToGrid w:val="0"/>
      <w:color w:val="000000"/>
      <w:sz w:val="24"/>
      <w:szCs w:val="28"/>
      <w:lang w:val="en-US" w:eastAsia="zh-CN" w:bidi="ar-SA"/>
    </w:rPr>
  </w:style>
  <w:style w:type="character" w:customStyle="1" w:styleId="48">
    <w:name w:val="标题4 字符"/>
    <w:basedOn w:val="46"/>
    <w:link w:val="47"/>
    <w:qFormat/>
    <w:uiPriority w:val="0"/>
    <w:rPr>
      <w:rFonts w:ascii="Times New Roman" w:hAnsi="Times New Roman" w:cs="Times New Roman"/>
      <w:snapToGrid w:val="0"/>
      <w:color w:val="000000"/>
      <w:spacing w:val="-4"/>
      <w:sz w:val="24"/>
      <w:szCs w:val="28"/>
    </w:rPr>
  </w:style>
  <w:style w:type="paragraph" w:customStyle="1" w:styleId="49">
    <w:name w:val="标题5"/>
    <w:next w:val="1"/>
    <w:link w:val="50"/>
    <w:qFormat/>
    <w:uiPriority w:val="0"/>
    <w:pPr>
      <w:keepNext/>
      <w:numPr>
        <w:ilvl w:val="0"/>
        <w:numId w:val="3"/>
      </w:numPr>
      <w:spacing w:line="360" w:lineRule="auto"/>
    </w:pPr>
    <w:rPr>
      <w:rFonts w:ascii="Times New Roman" w:hAnsi="Times New Roman" w:eastAsia="宋体" w:cs="Times New Roman"/>
      <w:snapToGrid w:val="0"/>
      <w:color w:val="000000"/>
      <w:sz w:val="24"/>
      <w:szCs w:val="24"/>
      <w:lang w:val="en-US" w:eastAsia="zh-CN" w:bidi="ar-SA"/>
    </w:rPr>
  </w:style>
  <w:style w:type="character" w:customStyle="1" w:styleId="50">
    <w:name w:val="标题5 字符"/>
    <w:basedOn w:val="48"/>
    <w:link w:val="49"/>
    <w:qFormat/>
    <w:uiPriority w:val="0"/>
    <w:rPr>
      <w:rFonts w:ascii="Times New Roman" w:hAnsi="Times New Roman" w:cs="Times New Roman"/>
      <w:b w:val="0"/>
      <w:snapToGrid w:val="0"/>
      <w:color w:val="000000"/>
      <w:spacing w:val="-4"/>
      <w:sz w:val="24"/>
      <w:szCs w:val="24"/>
    </w:rPr>
  </w:style>
  <w:style w:type="paragraph" w:customStyle="1" w:styleId="51">
    <w:name w:val="标题6"/>
    <w:link w:val="52"/>
    <w:qFormat/>
    <w:uiPriority w:val="0"/>
    <w:pPr>
      <w:keepNext/>
      <w:numPr>
        <w:ilvl w:val="0"/>
        <w:numId w:val="4"/>
      </w:numPr>
      <w:spacing w:line="360" w:lineRule="auto"/>
      <w:ind w:hanging="692"/>
    </w:pPr>
    <w:rPr>
      <w:rFonts w:ascii="Times New Roman" w:hAnsi="Times New Roman" w:eastAsia="宋体" w:cs="Times New Roman"/>
      <w:snapToGrid w:val="0"/>
      <w:color w:val="000000"/>
      <w:sz w:val="24"/>
      <w:szCs w:val="24"/>
      <w:lang w:val="en-US" w:eastAsia="zh-CN" w:bidi="ar-SA"/>
    </w:rPr>
  </w:style>
  <w:style w:type="character" w:customStyle="1" w:styleId="52">
    <w:name w:val="标题6 字符"/>
    <w:basedOn w:val="50"/>
    <w:link w:val="51"/>
    <w:qFormat/>
    <w:uiPriority w:val="0"/>
    <w:rPr>
      <w:rFonts w:ascii="Times New Roman" w:hAnsi="Times New Roman" w:cs="Times New Roman"/>
      <w:snapToGrid w:val="0"/>
      <w:color w:val="000000"/>
      <w:spacing w:val="-4"/>
      <w:sz w:val="24"/>
      <w:szCs w:val="24"/>
    </w:rPr>
  </w:style>
  <w:style w:type="paragraph" w:customStyle="1" w:styleId="53">
    <w:name w:val="标题7"/>
    <w:link w:val="54"/>
    <w:qFormat/>
    <w:uiPriority w:val="0"/>
    <w:pPr>
      <w:keepNext/>
      <w:numPr>
        <w:ilvl w:val="0"/>
        <w:numId w:val="5"/>
      </w:numPr>
      <w:spacing w:line="360" w:lineRule="auto"/>
      <w:ind w:left="993"/>
    </w:pPr>
    <w:rPr>
      <w:rFonts w:ascii="Times New Roman" w:hAnsi="Times New Roman" w:eastAsia="宋体" w:cs="Times New Roman"/>
      <w:snapToGrid w:val="0"/>
      <w:color w:val="000000"/>
      <w:sz w:val="24"/>
      <w:szCs w:val="24"/>
      <w:lang w:val="en-US" w:eastAsia="zh-CN" w:bidi="ar-SA"/>
    </w:rPr>
  </w:style>
  <w:style w:type="character" w:customStyle="1" w:styleId="54">
    <w:name w:val="标题7 字符"/>
    <w:basedOn w:val="52"/>
    <w:link w:val="53"/>
    <w:qFormat/>
    <w:uiPriority w:val="0"/>
    <w:rPr>
      <w:rFonts w:ascii="Times New Roman" w:hAnsi="Times New Roman" w:cs="Times New Roman"/>
      <w:snapToGrid w:val="0"/>
      <w:color w:val="000000"/>
      <w:spacing w:val="-4"/>
      <w:sz w:val="24"/>
      <w:szCs w:val="24"/>
    </w:rPr>
  </w:style>
  <w:style w:type="character" w:customStyle="1" w:styleId="55">
    <w:name w:val="批注框文本 字符"/>
    <w:basedOn w:val="32"/>
    <w:link w:val="18"/>
    <w:semiHidden/>
    <w:qFormat/>
    <w:uiPriority w:val="99"/>
    <w:rPr>
      <w:rFonts w:ascii="Times New Roman" w:hAnsi="Times New Roman"/>
      <w:sz w:val="18"/>
      <w:szCs w:val="18"/>
    </w:rPr>
  </w:style>
  <w:style w:type="character" w:customStyle="1" w:styleId="56">
    <w:name w:val="批注主题 字符"/>
    <w:basedOn w:val="32"/>
    <w:link w:val="28"/>
    <w:semiHidden/>
    <w:qFormat/>
    <w:uiPriority w:val="0"/>
    <w:rPr>
      <w:b/>
      <w:bCs/>
    </w:rPr>
  </w:style>
  <w:style w:type="character" w:customStyle="1" w:styleId="57">
    <w:name w:val="纯文本 Char1"/>
    <w:basedOn w:val="32"/>
    <w:semiHidden/>
    <w:qFormat/>
    <w:uiPriority w:val="99"/>
    <w:rPr>
      <w:rFonts w:ascii="宋体" w:hAnsi="Courier New" w:eastAsia="宋体" w:cs="Courier New"/>
      <w:szCs w:val="21"/>
    </w:rPr>
  </w:style>
  <w:style w:type="paragraph" w:customStyle="1" w:styleId="58">
    <w:name w:val="表头"/>
    <w:next w:val="59"/>
    <w:link w:val="99"/>
    <w:qFormat/>
    <w:uiPriority w:val="0"/>
    <w:pPr>
      <w:keepNext/>
      <w:widowControl w:val="0"/>
      <w:jc w:val="center"/>
    </w:pPr>
    <w:rPr>
      <w:rFonts w:ascii="Times New Roman" w:hAnsi="Times New Roman" w:eastAsia="宋体" w:cs="Times New Roman"/>
      <w:color w:val="000000"/>
      <w:kern w:val="2"/>
      <w:sz w:val="21"/>
      <w:szCs w:val="26"/>
      <w:lang w:val="en-US" w:eastAsia="zh-CN" w:bidi="ar-SA"/>
    </w:rPr>
  </w:style>
  <w:style w:type="paragraph" w:customStyle="1" w:styleId="59">
    <w:name w:val="表格内容"/>
    <w:link w:val="126"/>
    <w:qFormat/>
    <w:uiPriority w:val="0"/>
    <w:pPr>
      <w:widowControl w:val="0"/>
      <w:jc w:val="center"/>
    </w:pPr>
    <w:rPr>
      <w:rFonts w:ascii="Times New Roman" w:hAnsi="Times New Roman" w:eastAsia="宋体" w:cs="Times New Roman"/>
      <w:kern w:val="2"/>
      <w:sz w:val="21"/>
      <w:szCs w:val="24"/>
      <w:lang w:val="en-US" w:eastAsia="zh-CN" w:bidi="ar-SA"/>
    </w:rPr>
  </w:style>
  <w:style w:type="character" w:styleId="60">
    <w:name w:val="Placeholder Text"/>
    <w:basedOn w:val="32"/>
    <w:semiHidden/>
    <w:qFormat/>
    <w:uiPriority w:val="99"/>
    <w:rPr>
      <w:color w:val="808080"/>
    </w:rPr>
  </w:style>
  <w:style w:type="paragraph" w:customStyle="1" w:styleId="61">
    <w:name w:val="标题2"/>
    <w:basedOn w:val="1"/>
    <w:next w:val="1"/>
    <w:link w:val="62"/>
    <w:qFormat/>
    <w:uiPriority w:val="0"/>
    <w:pPr>
      <w:autoSpaceDE/>
      <w:autoSpaceDN/>
      <w:ind w:firstLine="0" w:firstLineChars="0"/>
      <w:jc w:val="left"/>
      <w:textAlignment w:val="auto"/>
      <w:outlineLvl w:val="1"/>
    </w:pPr>
    <w:rPr>
      <w:rFonts w:cs="Times New Roman"/>
      <w:b/>
      <w:snapToGrid/>
      <w:color w:val="auto"/>
      <w:kern w:val="2"/>
      <w:sz w:val="28"/>
    </w:rPr>
  </w:style>
  <w:style w:type="character" w:customStyle="1" w:styleId="62">
    <w:name w:val="标题2 字符"/>
    <w:basedOn w:val="32"/>
    <w:link w:val="61"/>
    <w:qFormat/>
    <w:uiPriority w:val="0"/>
    <w:rPr>
      <w:rFonts w:ascii="Times New Roman" w:hAnsi="Times New Roman" w:cs="Times New Roman"/>
      <w:b/>
      <w:kern w:val="2"/>
      <w:sz w:val="28"/>
      <w:szCs w:val="24"/>
    </w:rPr>
  </w:style>
  <w:style w:type="character" w:customStyle="1" w:styleId="63">
    <w:name w:val="日期 字符"/>
    <w:basedOn w:val="32"/>
    <w:semiHidden/>
    <w:qFormat/>
    <w:uiPriority w:val="0"/>
    <w:rPr>
      <w:rFonts w:ascii="Times New Roman" w:hAnsi="Times New Roman"/>
    </w:rPr>
  </w:style>
  <w:style w:type="character" w:customStyle="1" w:styleId="64">
    <w:name w:val="正文文本 字符1"/>
    <w:semiHidden/>
    <w:qFormat/>
    <w:uiPriority w:val="0"/>
    <w:rPr>
      <w:rFonts w:ascii="Times New Roman" w:hAnsi="Times New Roman" w:eastAsia="宋体"/>
      <w:sz w:val="24"/>
    </w:rPr>
  </w:style>
  <w:style w:type="character" w:customStyle="1" w:styleId="65">
    <w:name w:val="批注文字 字符1"/>
    <w:semiHidden/>
    <w:qFormat/>
    <w:uiPriority w:val="0"/>
    <w:rPr>
      <w:rFonts w:ascii="Times New Roman" w:hAnsi="Times New Roman" w:eastAsia="宋体"/>
      <w:sz w:val="24"/>
    </w:rPr>
  </w:style>
  <w:style w:type="table" w:customStyle="1" w:styleId="66">
    <w:name w:val="网格型12"/>
    <w:basedOn w:val="30"/>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三线7"/>
    <w:basedOn w:val="30"/>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未处理的提及1"/>
    <w:basedOn w:val="32"/>
    <w:semiHidden/>
    <w:unhideWhenUsed/>
    <w:qFormat/>
    <w:uiPriority w:val="99"/>
    <w:rPr>
      <w:color w:val="605E5C"/>
      <w:shd w:val="clear" w:color="auto" w:fill="E1DFDD"/>
    </w:rPr>
  </w:style>
  <w:style w:type="paragraph" w:customStyle="1" w:styleId="69">
    <w:name w:val="标题4-1"/>
    <w:link w:val="70"/>
    <w:qFormat/>
    <w:uiPriority w:val="0"/>
    <w:pPr>
      <w:keepNext/>
      <w:numPr>
        <w:ilvl w:val="3"/>
        <w:numId w:val="1"/>
      </w:numPr>
      <w:spacing w:line="360" w:lineRule="auto"/>
      <w:ind w:left="0" w:firstLine="0"/>
    </w:pPr>
    <w:rPr>
      <w:rFonts w:ascii="Times New Roman" w:hAnsi="Times New Roman" w:eastAsia="宋体" w:cs="Times New Roman"/>
      <w:b/>
      <w:bCs/>
      <w:kern w:val="2"/>
      <w:sz w:val="24"/>
      <w:szCs w:val="32"/>
      <w:lang w:val="en-US" w:eastAsia="zh-CN" w:bidi="ar-SA"/>
    </w:rPr>
  </w:style>
  <w:style w:type="character" w:customStyle="1" w:styleId="70">
    <w:name w:val="标题4-1 字符"/>
    <w:basedOn w:val="41"/>
    <w:link w:val="69"/>
    <w:qFormat/>
    <w:uiPriority w:val="0"/>
    <w:rPr>
      <w:rFonts w:ascii="Times New Roman" w:hAnsi="Times New Roman" w:cs="Times New Roman"/>
      <w:snapToGrid/>
      <w:color w:val="auto"/>
      <w:kern w:val="2"/>
      <w:sz w:val="24"/>
      <w:szCs w:val="32"/>
    </w:rPr>
  </w:style>
  <w:style w:type="paragraph" w:customStyle="1" w:styleId="71">
    <w:name w:val="图头"/>
    <w:next w:val="1"/>
    <w:link w:val="72"/>
    <w:qFormat/>
    <w:uiPriority w:val="0"/>
    <w:pPr>
      <w:widowControl w:val="0"/>
      <w:jc w:val="center"/>
    </w:pPr>
    <w:rPr>
      <w:rFonts w:ascii="Times New Roman" w:hAnsi="Times New Roman" w:eastAsia="宋体" w:cs="Times New Roman"/>
      <w:kern w:val="2"/>
      <w:sz w:val="21"/>
      <w:szCs w:val="21"/>
      <w:lang w:val="en-US" w:eastAsia="zh-CN" w:bidi="ar-SA"/>
    </w:rPr>
  </w:style>
  <w:style w:type="character" w:customStyle="1" w:styleId="72">
    <w:name w:val="图头 字符"/>
    <w:basedOn w:val="32"/>
    <w:link w:val="71"/>
    <w:qFormat/>
    <w:uiPriority w:val="0"/>
    <w:rPr>
      <w:rFonts w:ascii="Times New Roman" w:hAnsi="Times New Roman" w:cs="Times New Roman"/>
      <w:snapToGrid/>
      <w:color w:val="auto"/>
      <w:kern w:val="2"/>
      <w:sz w:val="21"/>
      <w:szCs w:val="21"/>
    </w:rPr>
  </w:style>
  <w:style w:type="paragraph" w:customStyle="1" w:styleId="73">
    <w:name w:val="图"/>
    <w:next w:val="71"/>
    <w:link w:val="74"/>
    <w:qFormat/>
    <w:uiPriority w:val="0"/>
    <w:pPr>
      <w:keepNext/>
      <w:ind w:left="-50" w:leftChars="-50"/>
      <w:jc w:val="center"/>
    </w:pPr>
    <w:rPr>
      <w:rFonts w:ascii="Times New Roman" w:hAnsi="Times New Roman" w:eastAsia="宋体" w:cs="Arial"/>
      <w:snapToGrid w:val="0"/>
      <w:color w:val="000000" w:themeColor="text1"/>
      <w:sz w:val="24"/>
      <w:szCs w:val="24"/>
      <w:lang w:val="en-US" w:eastAsia="zh-CN" w:bidi="ar-SA"/>
      <w14:textFill>
        <w14:solidFill>
          <w14:schemeClr w14:val="tx1"/>
        </w14:solidFill>
      </w14:textFill>
    </w:rPr>
  </w:style>
  <w:style w:type="character" w:customStyle="1" w:styleId="74">
    <w:name w:val="图 字符"/>
    <w:basedOn w:val="32"/>
    <w:link w:val="73"/>
    <w:qFormat/>
    <w:uiPriority w:val="0"/>
    <w:rPr>
      <w:rFonts w:ascii="Times New Roman" w:hAnsi="Times New Roman"/>
      <w:color w:val="000000" w:themeColor="text1"/>
      <w14:textFill>
        <w14:solidFill>
          <w14:schemeClr w14:val="tx1"/>
        </w14:solidFill>
      </w14:textFill>
    </w:rPr>
  </w:style>
  <w:style w:type="table" w:customStyle="1" w:styleId="75">
    <w:name w:val="灰度表格1"/>
    <w:basedOn w:val="30"/>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6">
    <w:name w:val="修订1"/>
    <w:hidden/>
    <w:semiHidden/>
    <w:qFormat/>
    <w:uiPriority w:val="99"/>
    <w:rPr>
      <w:rFonts w:ascii="Times New Roman" w:hAnsi="Times New Roman" w:eastAsia="宋体" w:cs="Arial"/>
      <w:snapToGrid w:val="0"/>
      <w:color w:val="000000"/>
      <w:sz w:val="24"/>
      <w:szCs w:val="24"/>
      <w:lang w:val="en-US" w:eastAsia="zh-CN" w:bidi="ar-SA"/>
    </w:rPr>
  </w:style>
  <w:style w:type="table" w:customStyle="1" w:styleId="77">
    <w:name w:val="灰度表格2"/>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网格型121"/>
    <w:basedOn w:val="30"/>
    <w:qFormat/>
    <w:uiPriority w:val="59"/>
    <w:pPr>
      <w:widowControl w:val="0"/>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三线71"/>
    <w:basedOn w:val="30"/>
    <w:qFormat/>
    <w:uiPriority w:val="0"/>
    <w:rPr>
      <w:rFonts w:ascii="Calibri" w:hAnsi="Calibri" w:eastAsia="Times New Roman" w:cs="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
    <w:name w:val="灰度表格11"/>
    <w:basedOn w:val="30"/>
    <w:qFormat/>
    <w:uiPriority w:val="5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批注文字 字符"/>
    <w:basedOn w:val="32"/>
    <w:link w:val="9"/>
    <w:semiHidden/>
    <w:qFormat/>
    <w:uiPriority w:val="0"/>
    <w:rPr>
      <w:rFonts w:ascii="Times New Roman" w:hAnsi="Times New Roman"/>
    </w:rPr>
  </w:style>
  <w:style w:type="character" w:customStyle="1" w:styleId="82">
    <w:name w:val="未处理的提及2"/>
    <w:basedOn w:val="32"/>
    <w:semiHidden/>
    <w:unhideWhenUsed/>
    <w:qFormat/>
    <w:uiPriority w:val="99"/>
    <w:rPr>
      <w:color w:val="605E5C"/>
      <w:shd w:val="clear" w:color="auto" w:fill="E1DFDD"/>
    </w:rPr>
  </w:style>
  <w:style w:type="character" w:customStyle="1" w:styleId="83">
    <w:name w:val="未处理的提及3"/>
    <w:basedOn w:val="32"/>
    <w:semiHidden/>
    <w:unhideWhenUsed/>
    <w:qFormat/>
    <w:uiPriority w:val="99"/>
    <w:rPr>
      <w:color w:val="605E5C"/>
      <w:shd w:val="clear" w:color="auto" w:fill="E1DFDD"/>
    </w:rPr>
  </w:style>
  <w:style w:type="character" w:customStyle="1" w:styleId="84">
    <w:name w:val="页眉 字符"/>
    <w:basedOn w:val="32"/>
    <w:link w:val="20"/>
    <w:qFormat/>
    <w:uiPriority w:val="0"/>
    <w:rPr>
      <w:rFonts w:ascii="Times New Roman" w:hAnsi="Times New Roman"/>
      <w:sz w:val="18"/>
      <w:szCs w:val="18"/>
    </w:rPr>
  </w:style>
  <w:style w:type="character" w:customStyle="1" w:styleId="85">
    <w:name w:val="页脚 字符"/>
    <w:basedOn w:val="32"/>
    <w:link w:val="19"/>
    <w:qFormat/>
    <w:uiPriority w:val="99"/>
    <w:rPr>
      <w:rFonts w:ascii="Times New Roman" w:hAnsi="Times New Roman"/>
      <w:sz w:val="18"/>
      <w:szCs w:val="18"/>
    </w:rPr>
  </w:style>
  <w:style w:type="character" w:customStyle="1" w:styleId="86">
    <w:name w:val="正文文本 字符"/>
    <w:basedOn w:val="32"/>
    <w:link w:val="10"/>
    <w:qFormat/>
    <w:uiPriority w:val="99"/>
    <w:rPr>
      <w:rFonts w:asciiTheme="minorHAnsi" w:hAnsiTheme="minorHAnsi" w:eastAsiaTheme="minorEastAsia" w:cstheme="minorBidi"/>
      <w:snapToGrid/>
      <w:color w:val="auto"/>
      <w:kern w:val="2"/>
      <w:sz w:val="21"/>
      <w:szCs w:val="22"/>
    </w:rPr>
  </w:style>
  <w:style w:type="character" w:customStyle="1" w:styleId="87">
    <w:name w:val="正文文本 2 字符"/>
    <w:basedOn w:val="32"/>
    <w:link w:val="26"/>
    <w:qFormat/>
    <w:uiPriority w:val="99"/>
    <w:rPr>
      <w:rFonts w:asciiTheme="minorHAnsi" w:hAnsiTheme="minorHAnsi" w:eastAsiaTheme="minorEastAsia" w:cstheme="minorBidi"/>
      <w:snapToGrid/>
      <w:color w:val="auto"/>
      <w:kern w:val="2"/>
      <w:sz w:val="21"/>
      <w:szCs w:val="22"/>
    </w:rPr>
  </w:style>
  <w:style w:type="character" w:customStyle="1" w:styleId="88">
    <w:name w:val="正文首行缩进 字符"/>
    <w:basedOn w:val="86"/>
    <w:link w:val="29"/>
    <w:qFormat/>
    <w:uiPriority w:val="0"/>
    <w:rPr>
      <w:rFonts w:ascii="Times New Roman" w:hAnsi="Times New Roman" w:eastAsia="仿宋" w:cstheme="minorBidi"/>
      <w:snapToGrid/>
      <w:color w:val="auto"/>
      <w:kern w:val="2"/>
      <w:sz w:val="28"/>
      <w:szCs w:val="22"/>
    </w:rPr>
  </w:style>
  <w:style w:type="paragraph" w:styleId="89">
    <w:name w:val="No Spacing"/>
    <w:basedOn w:val="1"/>
    <w:qFormat/>
    <w:uiPriority w:val="1"/>
    <w:pPr>
      <w:widowControl/>
      <w:spacing w:line="240" w:lineRule="auto"/>
      <w:ind w:firstLine="0" w:firstLineChars="0"/>
      <w:jc w:val="center"/>
    </w:pPr>
    <w:rPr>
      <w:sz w:val="21"/>
    </w:rPr>
  </w:style>
  <w:style w:type="paragraph" w:customStyle="1" w:styleId="90">
    <w:name w:val="图表头"/>
    <w:basedOn w:val="1"/>
    <w:next w:val="1"/>
    <w:qFormat/>
    <w:uiPriority w:val="0"/>
    <w:pPr>
      <w:autoSpaceDE/>
      <w:autoSpaceDN/>
      <w:spacing w:line="240" w:lineRule="auto"/>
      <w:ind w:firstLine="0" w:firstLineChars="0"/>
      <w:jc w:val="center"/>
      <w:textAlignment w:val="auto"/>
    </w:pPr>
    <w:rPr>
      <w:rFonts w:cs="Times New Roman"/>
      <w:snapToGrid/>
      <w:kern w:val="2"/>
      <w:sz w:val="21"/>
      <w:szCs w:val="26"/>
    </w:rPr>
  </w:style>
  <w:style w:type="paragraph" w:styleId="91">
    <w:name w:val="List Paragraph"/>
    <w:basedOn w:val="1"/>
    <w:link w:val="92"/>
    <w:qFormat/>
    <w:uiPriority w:val="34"/>
    <w:pPr>
      <w:widowControl/>
    </w:pPr>
  </w:style>
  <w:style w:type="character" w:customStyle="1" w:styleId="92">
    <w:name w:val="列出段落 字符"/>
    <w:basedOn w:val="32"/>
    <w:link w:val="91"/>
    <w:qFormat/>
    <w:uiPriority w:val="34"/>
    <w:rPr>
      <w:rFonts w:ascii="Times New Roman" w:hAnsi="Times New Roman"/>
    </w:rPr>
  </w:style>
  <w:style w:type="table" w:customStyle="1" w:styleId="93">
    <w:name w:val="网格型1"/>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2"/>
    <w:basedOn w:val="30"/>
    <w:qFormat/>
    <w:uiPriority w:val="99"/>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
    <w:name w:val="TOC 标题1"/>
    <w:basedOn w:val="2"/>
    <w:next w:val="1"/>
    <w:unhideWhenUsed/>
    <w:qFormat/>
    <w:uiPriority w:val="39"/>
    <w:pPr>
      <w:widowControl/>
      <w:autoSpaceDE/>
      <w:autoSpaceDN/>
      <w:adjustRightInd/>
      <w:snapToGrid/>
      <w:spacing w:before="240" w:after="0" w:line="259" w:lineRule="auto"/>
      <w:ind w:firstLine="0" w:firstLineChars="0"/>
      <w:jc w:val="left"/>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character" w:customStyle="1" w:styleId="96">
    <w:name w:val="Unresolved Mention"/>
    <w:basedOn w:val="32"/>
    <w:semiHidden/>
    <w:unhideWhenUsed/>
    <w:qFormat/>
    <w:uiPriority w:val="99"/>
    <w:rPr>
      <w:color w:val="605E5C"/>
      <w:shd w:val="clear" w:color="auto" w:fill="E1DFDD"/>
    </w:rPr>
  </w:style>
  <w:style w:type="paragraph" w:customStyle="1" w:styleId="97">
    <w:name w:val="表格文字"/>
    <w:basedOn w:val="10"/>
    <w:next w:val="1"/>
    <w:link w:val="98"/>
    <w:qFormat/>
    <w:uiPriority w:val="0"/>
    <w:pPr>
      <w:widowControl/>
      <w:snapToGrid w:val="0"/>
      <w:spacing w:before="60" w:after="160" w:line="259" w:lineRule="auto"/>
      <w:ind w:right="113"/>
      <w:jc w:val="center"/>
    </w:pPr>
    <w:rPr>
      <w:rFonts w:ascii="Times New Roman" w:hAnsi="Times New Roman" w:eastAsia="宋体" w:cs="仿宋_GB2312"/>
      <w:kern w:val="44"/>
      <w:sz w:val="18"/>
      <w:szCs w:val="20"/>
    </w:rPr>
  </w:style>
  <w:style w:type="character" w:customStyle="1" w:styleId="98">
    <w:name w:val="表格文字 Char Char"/>
    <w:link w:val="97"/>
    <w:qFormat/>
    <w:uiPriority w:val="0"/>
    <w:rPr>
      <w:rFonts w:ascii="Times New Roman" w:hAnsi="Times New Roman" w:cs="仿宋_GB2312"/>
      <w:snapToGrid/>
      <w:color w:val="auto"/>
      <w:kern w:val="44"/>
      <w:sz w:val="18"/>
      <w:szCs w:val="20"/>
    </w:rPr>
  </w:style>
  <w:style w:type="character" w:customStyle="1" w:styleId="99">
    <w:name w:val="表头 Char"/>
    <w:link w:val="58"/>
    <w:qFormat/>
    <w:locked/>
    <w:uiPriority w:val="0"/>
    <w:rPr>
      <w:rFonts w:ascii="Times New Roman" w:hAnsi="Times New Roman" w:cs="Times New Roman"/>
      <w:snapToGrid/>
      <w:kern w:val="2"/>
      <w:sz w:val="21"/>
      <w:szCs w:val="26"/>
    </w:rPr>
  </w:style>
  <w:style w:type="character" w:customStyle="1" w:styleId="100">
    <w:name w:val="表格文字 Char"/>
    <w:qFormat/>
    <w:uiPriority w:val="0"/>
    <w:rPr>
      <w:rFonts w:hint="eastAsia" w:ascii="仿宋_GB2312" w:hAnsi="宋体" w:eastAsia="仿宋_GB2312" w:cs="仿宋_GB2312"/>
      <w:color w:val="17365D"/>
      <w:kern w:val="2"/>
      <w:sz w:val="21"/>
      <w:szCs w:val="28"/>
      <w:lang w:val="en-US" w:eastAsia="zh-CN" w:bidi="ar-SA"/>
    </w:rPr>
  </w:style>
  <w:style w:type="character" w:customStyle="1" w:styleId="101">
    <w:name w:val="正文缩进 字符"/>
    <w:link w:val="7"/>
    <w:qFormat/>
    <w:uiPriority w:val="0"/>
    <w:rPr>
      <w:rFonts w:hAnsi="Times New Roman" w:cs="Times New Roman"/>
      <w:kern w:val="2"/>
      <w:sz w:val="24"/>
    </w:rPr>
  </w:style>
  <w:style w:type="paragraph" w:customStyle="1" w:styleId="102">
    <w:name w:val="表格体"/>
    <w:basedOn w:val="89"/>
    <w:link w:val="103"/>
    <w:qFormat/>
    <w:uiPriority w:val="0"/>
    <w:pPr>
      <w:widowControl w:val="0"/>
      <w:autoSpaceDE/>
      <w:autoSpaceDN/>
      <w:adjustRightInd/>
      <w:snapToGrid/>
      <w:spacing w:line="240" w:lineRule="atLeast"/>
      <w:textAlignment w:val="auto"/>
    </w:pPr>
    <w:rPr>
      <w:rFonts w:cs="Times New Roman"/>
      <w:snapToGrid/>
      <w:color w:val="auto"/>
      <w:kern w:val="2"/>
      <w:szCs w:val="22"/>
    </w:rPr>
  </w:style>
  <w:style w:type="character" w:customStyle="1" w:styleId="103">
    <w:name w:val="表格体 Char"/>
    <w:link w:val="102"/>
    <w:qFormat/>
    <w:uiPriority w:val="0"/>
    <w:rPr>
      <w:rFonts w:ascii="Times New Roman" w:hAnsi="Times New Roman" w:cs="Times New Roman"/>
      <w:kern w:val="2"/>
      <w:sz w:val="21"/>
      <w:szCs w:val="22"/>
    </w:rPr>
  </w:style>
  <w:style w:type="character" w:customStyle="1" w:styleId="104">
    <w:name w:val="纯文本 字符"/>
    <w:link w:val="14"/>
    <w:qFormat/>
    <w:uiPriority w:val="0"/>
    <w:rPr>
      <w:rFonts w:hAnsi="Courier New"/>
      <w:kern w:val="2"/>
      <w:sz w:val="21"/>
      <w:szCs w:val="24"/>
    </w:rPr>
  </w:style>
  <w:style w:type="character" w:customStyle="1" w:styleId="105">
    <w:name w:val="纯文本 字符1"/>
    <w:basedOn w:val="32"/>
    <w:semiHidden/>
    <w:qFormat/>
    <w:uiPriority w:val="0"/>
    <w:rPr>
      <w:rFonts w:hAnsi="Courier New" w:cs="Courier New" w:asciiTheme="minorEastAsia" w:eastAsiaTheme="minorEastAsia"/>
      <w:snapToGrid w:val="0"/>
      <w:color w:val="000000"/>
      <w:sz w:val="24"/>
      <w:szCs w:val="24"/>
    </w:rPr>
  </w:style>
  <w:style w:type="character" w:customStyle="1" w:styleId="106">
    <w:name w:val="表头 Char1"/>
    <w:qFormat/>
    <w:uiPriority w:val="0"/>
    <w:rPr>
      <w:spacing w:val="2"/>
      <w:kern w:val="2"/>
      <w:sz w:val="26"/>
      <w:szCs w:val="26"/>
    </w:rPr>
  </w:style>
  <w:style w:type="character" w:customStyle="1" w:styleId="107">
    <w:name w:val="日期 字符1"/>
    <w:basedOn w:val="32"/>
    <w:link w:val="16"/>
    <w:semiHidden/>
    <w:qFormat/>
    <w:uiPriority w:val="0"/>
    <w:rPr>
      <w:rFonts w:ascii="Times New Roman" w:hAnsi="Times New Roman"/>
      <w:snapToGrid w:val="0"/>
      <w:color w:val="000000"/>
      <w:sz w:val="24"/>
      <w:szCs w:val="24"/>
    </w:rPr>
  </w:style>
  <w:style w:type="character" w:customStyle="1" w:styleId="108">
    <w:name w:val="正文缩进 Char"/>
    <w:qFormat/>
    <w:uiPriority w:val="0"/>
    <w:rPr>
      <w:rFonts w:ascii="宋体"/>
      <w:kern w:val="2"/>
      <w:sz w:val="24"/>
    </w:rPr>
  </w:style>
  <w:style w:type="character" w:customStyle="1" w:styleId="109">
    <w:name w:val="正文文本缩进 2 字符"/>
    <w:basedOn w:val="32"/>
    <w:link w:val="17"/>
    <w:semiHidden/>
    <w:qFormat/>
    <w:uiPriority w:val="99"/>
    <w:rPr>
      <w:rFonts w:ascii="Times New Roman" w:hAnsi="Times New Roman"/>
      <w:snapToGrid w:val="0"/>
      <w:color w:val="000000"/>
      <w:sz w:val="24"/>
      <w:szCs w:val="24"/>
    </w:rPr>
  </w:style>
  <w:style w:type="character" w:customStyle="1" w:styleId="110">
    <w:name w:val="环评正文 Char"/>
    <w:link w:val="111"/>
    <w:qFormat/>
    <w:uiPriority w:val="0"/>
    <w:rPr>
      <w:rFonts w:eastAsia="仿宋_GB2312"/>
      <w:kern w:val="2"/>
      <w:sz w:val="24"/>
      <w:szCs w:val="24"/>
    </w:rPr>
  </w:style>
  <w:style w:type="paragraph" w:customStyle="1" w:styleId="111">
    <w:name w:val="环评正文"/>
    <w:basedOn w:val="1"/>
    <w:link w:val="110"/>
    <w:qFormat/>
    <w:uiPriority w:val="0"/>
    <w:pPr>
      <w:autoSpaceDE/>
      <w:autoSpaceDN/>
      <w:adjustRightInd/>
      <w:snapToGrid/>
      <w:spacing w:before="60" w:after="60" w:line="400" w:lineRule="exact"/>
      <w:textAlignment w:val="auto"/>
    </w:pPr>
    <w:rPr>
      <w:rFonts w:ascii="宋体" w:hAnsi="宋体" w:eastAsia="仿宋_GB2312"/>
      <w:snapToGrid/>
      <w:color w:val="auto"/>
      <w:kern w:val="2"/>
    </w:rPr>
  </w:style>
  <w:style w:type="character" w:customStyle="1" w:styleId="112">
    <w:name w:val="表格 Char Char"/>
    <w:link w:val="113"/>
    <w:qFormat/>
    <w:uiPriority w:val="0"/>
    <w:rPr>
      <w:snapToGrid w:val="0"/>
      <w:sz w:val="21"/>
    </w:rPr>
  </w:style>
  <w:style w:type="paragraph" w:customStyle="1" w:styleId="113">
    <w:name w:val="表格"/>
    <w:link w:val="112"/>
    <w:qFormat/>
    <w:uiPriority w:val="0"/>
    <w:pPr>
      <w:spacing w:line="380" w:lineRule="exact"/>
      <w:jc w:val="center"/>
    </w:pPr>
    <w:rPr>
      <w:rFonts w:ascii="宋体" w:hAnsi="宋体" w:eastAsia="宋体" w:cs="Arial"/>
      <w:snapToGrid w:val="0"/>
      <w:sz w:val="21"/>
      <w:lang w:val="en-US" w:eastAsia="zh-CN" w:bidi="ar-SA"/>
    </w:rPr>
  </w:style>
  <w:style w:type="paragraph" w:customStyle="1" w:styleId="114">
    <w:name w:val="松江超硅标题1"/>
    <w:basedOn w:val="2"/>
    <w:qFormat/>
    <w:uiPriority w:val="99"/>
    <w:pPr>
      <w:widowControl/>
      <w:numPr>
        <w:ilvl w:val="0"/>
        <w:numId w:val="6"/>
      </w:numPr>
      <w:autoSpaceDE/>
      <w:autoSpaceDN/>
      <w:adjustRightInd/>
      <w:spacing w:before="0" w:after="0" w:line="360" w:lineRule="auto"/>
      <w:ind w:firstLine="0" w:firstLineChars="0"/>
      <w:textAlignment w:val="auto"/>
    </w:pPr>
    <w:rPr>
      <w:rFonts w:ascii="宋体" w:hAnsi="宋体" w:cs="Times New Roman"/>
      <w:snapToGrid/>
      <w:color w:val="auto"/>
      <w:sz w:val="28"/>
      <w:szCs w:val="28"/>
      <w:lang w:val="zh-CN"/>
    </w:rPr>
  </w:style>
  <w:style w:type="paragraph" w:customStyle="1" w:styleId="115">
    <w:name w:val="松江超硅标题3"/>
    <w:basedOn w:val="4"/>
    <w:qFormat/>
    <w:uiPriority w:val="99"/>
    <w:pPr>
      <w:widowControl/>
      <w:numPr>
        <w:ilvl w:val="2"/>
        <w:numId w:val="6"/>
      </w:numPr>
      <w:adjustRightInd/>
      <w:spacing w:before="0" w:after="0"/>
      <w:ind w:left="0"/>
    </w:pPr>
    <w:rPr>
      <w:kern w:val="0"/>
      <w:sz w:val="24"/>
      <w:szCs w:val="24"/>
      <w:lang w:val="zh-CN"/>
    </w:rPr>
  </w:style>
  <w:style w:type="paragraph" w:customStyle="1" w:styleId="116">
    <w:name w:val="松江超硅标题4"/>
    <w:basedOn w:val="5"/>
    <w:qFormat/>
    <w:uiPriority w:val="99"/>
    <w:pPr>
      <w:widowControl/>
      <w:numPr>
        <w:ilvl w:val="3"/>
        <w:numId w:val="6"/>
      </w:numPr>
      <w:textAlignment w:val="baseline"/>
    </w:pPr>
    <w:rPr>
      <w:rFonts w:ascii="Times New Roman" w:hAnsi="宋体" w:eastAsia="宋体" w:cs="Times New Roman"/>
      <w:b w:val="0"/>
      <w:bCs w:val="0"/>
      <w:kern w:val="0"/>
      <w:szCs w:val="24"/>
      <w:lang w:val="zh-CN"/>
    </w:rPr>
  </w:style>
  <w:style w:type="paragraph" w:customStyle="1" w:styleId="117">
    <w:name w:val="松江超硅标题2"/>
    <w:basedOn w:val="3"/>
    <w:qFormat/>
    <w:uiPriority w:val="99"/>
    <w:pPr>
      <w:keepLines/>
      <w:numPr>
        <w:numId w:val="6"/>
      </w:numPr>
      <w:tabs>
        <w:tab w:val="left" w:pos="576"/>
      </w:tabs>
      <w:spacing w:before="50" w:beforeLines="0" w:after="50"/>
      <w:jc w:val="both"/>
    </w:pPr>
    <w:rPr>
      <w:rFonts w:ascii="宋体" w:hAnsi="宋体" w:cs="Times New Roman"/>
      <w:bCs/>
      <w:snapToGrid/>
      <w:spacing w:val="0"/>
      <w:kern w:val="2"/>
      <w:sz w:val="24"/>
      <w:szCs w:val="24"/>
      <w:lang w:val="zh-CN"/>
    </w:rPr>
  </w:style>
  <w:style w:type="character" w:customStyle="1" w:styleId="118">
    <w:name w:val="表内字体 Char"/>
    <w:link w:val="119"/>
    <w:qFormat/>
    <w:uiPriority w:val="0"/>
    <w:rPr>
      <w:kern w:val="2"/>
      <w:sz w:val="18"/>
      <w:szCs w:val="18"/>
    </w:rPr>
  </w:style>
  <w:style w:type="paragraph" w:customStyle="1" w:styleId="119">
    <w:name w:val="表内字体"/>
    <w:basedOn w:val="1"/>
    <w:link w:val="118"/>
    <w:qFormat/>
    <w:uiPriority w:val="0"/>
    <w:pPr>
      <w:tabs>
        <w:tab w:val="left" w:pos="0"/>
      </w:tabs>
      <w:autoSpaceDE/>
      <w:autoSpaceDN/>
      <w:adjustRightInd/>
      <w:spacing w:line="240" w:lineRule="auto"/>
      <w:ind w:firstLine="0" w:firstLineChars="0"/>
      <w:jc w:val="center"/>
      <w:textAlignment w:val="auto"/>
    </w:pPr>
    <w:rPr>
      <w:rFonts w:ascii="宋体" w:hAnsi="宋体"/>
      <w:snapToGrid/>
      <w:color w:val="auto"/>
      <w:kern w:val="2"/>
      <w:sz w:val="18"/>
      <w:szCs w:val="18"/>
    </w:rPr>
  </w:style>
  <w:style w:type="paragraph" w:customStyle="1" w:styleId="120">
    <w:name w:val="样式 样式 正文首行缩进 2 + 四号 首行缩进:  2 字符 + 首行缩进:  2 字符"/>
    <w:basedOn w:val="1"/>
    <w:qFormat/>
    <w:uiPriority w:val="0"/>
    <w:pPr>
      <w:autoSpaceDE/>
      <w:autoSpaceDN/>
      <w:adjustRightInd/>
      <w:snapToGrid/>
      <w:ind w:firstLine="480"/>
      <w:textAlignment w:val="auto"/>
    </w:pPr>
    <w:rPr>
      <w:rFonts w:cs="宋体"/>
      <w:snapToGrid/>
      <w:color w:val="auto"/>
      <w:kern w:val="2"/>
    </w:rPr>
  </w:style>
  <w:style w:type="character" w:customStyle="1" w:styleId="121">
    <w:name w:val="普通(网站) 字符"/>
    <w:link w:val="27"/>
    <w:qFormat/>
    <w:uiPriority w:val="99"/>
    <w:rPr>
      <w:rFonts w:cs="宋体"/>
      <w:sz w:val="24"/>
      <w:szCs w:val="24"/>
    </w:rPr>
  </w:style>
  <w:style w:type="character" w:customStyle="1" w:styleId="122">
    <w:name w:val="正文文本缩进 字符"/>
    <w:basedOn w:val="32"/>
    <w:link w:val="11"/>
    <w:semiHidden/>
    <w:qFormat/>
    <w:uiPriority w:val="0"/>
    <w:rPr>
      <w:rFonts w:ascii="Times New Roman" w:hAnsi="Times New Roman"/>
      <w:snapToGrid w:val="0"/>
      <w:color w:val="000000"/>
      <w:sz w:val="24"/>
      <w:szCs w:val="24"/>
    </w:rPr>
  </w:style>
  <w:style w:type="paragraph" w:customStyle="1" w:styleId="123">
    <w:name w:val="表格1"/>
    <w:basedOn w:val="1"/>
    <w:link w:val="125"/>
    <w:qFormat/>
    <w:uiPriority w:val="0"/>
    <w:pPr>
      <w:autoSpaceDE/>
      <w:autoSpaceDN/>
      <w:spacing w:line="240" w:lineRule="auto"/>
      <w:ind w:firstLine="0" w:firstLineChars="0"/>
      <w:jc w:val="center"/>
      <w:textAlignment w:val="auto"/>
    </w:pPr>
    <w:rPr>
      <w:rFonts w:eastAsia="方正仿宋_GBK" w:cs="Times New Roman"/>
      <w:snapToGrid/>
      <w:sz w:val="32"/>
    </w:rPr>
  </w:style>
  <w:style w:type="paragraph" w:customStyle="1" w:styleId="124">
    <w:name w:val="表格格式（1号）"/>
    <w:basedOn w:val="1"/>
    <w:autoRedefine/>
    <w:qFormat/>
    <w:uiPriority w:val="0"/>
    <w:pPr>
      <w:autoSpaceDE/>
      <w:autoSpaceDN/>
      <w:spacing w:line="240" w:lineRule="auto"/>
      <w:ind w:firstLine="0" w:firstLineChars="0"/>
      <w:jc w:val="center"/>
      <w:textAlignment w:val="auto"/>
    </w:pPr>
    <w:rPr>
      <w:rFonts w:ascii="宋体" w:hAnsi="宋体" w:cs="Times New Roman"/>
      <w:snapToGrid/>
      <w:color w:val="auto"/>
      <w:kern w:val="2"/>
      <w:sz w:val="21"/>
      <w:szCs w:val="21"/>
    </w:rPr>
  </w:style>
  <w:style w:type="character" w:customStyle="1" w:styleId="125">
    <w:name w:val="表格 Char1"/>
    <w:basedOn w:val="32"/>
    <w:link w:val="123"/>
    <w:qFormat/>
    <w:uiPriority w:val="0"/>
    <w:rPr>
      <w:rFonts w:ascii="Times New Roman" w:hAnsi="Times New Roman" w:eastAsia="方正仿宋_GBK" w:cs="Times New Roman"/>
      <w:color w:val="000000"/>
      <w:sz w:val="32"/>
      <w:szCs w:val="24"/>
    </w:rPr>
  </w:style>
  <w:style w:type="character" w:customStyle="1" w:styleId="126">
    <w:name w:val="表格内容 Char"/>
    <w:basedOn w:val="32"/>
    <w:link w:val="59"/>
    <w:qFormat/>
    <w:uiPriority w:val="0"/>
    <w:rPr>
      <w:rFonts w:ascii="Times New Roman" w:hAnsi="Times New Roman"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6631;&#39064;&#34920;&#22270;&#22836;&#33258;&#21160;&#32534;&#21495;V0.0.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65894B-968B-48C0-9775-BB57DA4FA5F0}">
  <ds:schemaRefs/>
</ds:datastoreItem>
</file>

<file path=docProps/app.xml><?xml version="1.0" encoding="utf-8"?>
<Properties xmlns="http://schemas.openxmlformats.org/officeDocument/2006/extended-properties" xmlns:vt="http://schemas.openxmlformats.org/officeDocument/2006/docPropsVTypes">
  <Template>标题表图头自动编号V0.0.2</Template>
  <Pages>63</Pages>
  <Words>2944</Words>
  <Characters>3256</Characters>
  <Lines>350</Lines>
  <Paragraphs>98</Paragraphs>
  <TotalTime>6612</TotalTime>
  <ScaleCrop>false</ScaleCrop>
  <LinksUpToDate>false</LinksUpToDate>
  <CharactersWithSpaces>3459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2024-04-09T03:29:00Z</dcterms:created>
  <dc:creator>FPR</dc:creator>
  <cp:lastModifiedBy>冉航宇</cp:lastModifiedBy>
  <cp:lastPrinted>2022-06-30T09:12:00Z</cp:lastPrinted>
  <dcterms:modified xsi:type="dcterms:W3CDTF">2025-10-13T02:42:02Z</dcterms:modified>
  <cp:revision>506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eyJoZGlkIjoiYzhmNjdiMzQ5ZTgwNWE4NzgzYzgyYjAyMjMxMDNiZTgiLCJ1c2VySWQiOiI0MDUzNTExODkifQ==</vt:lpwstr>
  </property>
  <property fmtid="{D5CDD505-2E9C-101B-9397-08002B2CF9AE}" pid="4" name="ICV">
    <vt:lpwstr>6E385ABBEC8647739A19B0321C491286_12</vt:lpwstr>
  </property>
</Properties>
</file>