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54"/>
          <w:tab w:val="left" w:pos="1594"/>
          <w:tab w:val="left" w:pos="2574"/>
          <w:tab w:val="left" w:pos="3934"/>
          <w:tab w:val="left" w:pos="7814"/>
          <w:tab w:val="left" w:pos="8554"/>
          <w:tab w:val="left" w:pos="9574"/>
          <w:tab w:val="left" w:pos="11334"/>
          <w:tab w:val="left" w:pos="11994"/>
          <w:tab w:val="left" w:pos="12654"/>
          <w:tab w:val="left" w:pos="13294"/>
          <w:tab w:val="left" w:pos="14034"/>
          <w:tab w:val="left" w:pos="14674"/>
          <w:tab w:val="left" w:pos="15394"/>
        </w:tabs>
        <w:overflowPunct w:val="0"/>
        <w:snapToGrid w:val="0"/>
        <w:ind w:left="94"/>
        <w:jc w:val="left"/>
        <w:rPr>
          <w:rFonts w:ascii="方正黑体_GBK" w:hAnsi="宋体" w:eastAsia="方正黑体_GBK" w:cs="宋体"/>
          <w:color w:val="000000"/>
          <w:kern w:val="0"/>
          <w:szCs w:val="32"/>
        </w:rPr>
      </w:pPr>
      <w:r>
        <w:rPr>
          <w:rFonts w:hint="eastAsia" w:ascii="方正黑体_GBK" w:hAnsi="宋体" w:eastAsia="方正黑体_GBK" w:cs="宋体"/>
          <w:color w:val="000000"/>
          <w:kern w:val="0"/>
          <w:szCs w:val="32"/>
        </w:rPr>
        <w:t>附件</w:t>
      </w:r>
    </w:p>
    <w:p>
      <w:pPr>
        <w:overflowPunct w:val="0"/>
        <w:snapToGrid w:val="0"/>
        <w:ind w:right="880"/>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lang w:eastAsia="zh-CN"/>
        </w:rPr>
        <w:t>彭水苗族土家族自治县</w:t>
      </w:r>
      <w:r>
        <w:rPr>
          <w:rFonts w:hint="eastAsia" w:ascii="方正小标宋_GBK" w:hAnsi="宋体" w:eastAsia="方正小标宋_GBK" w:cs="宋体"/>
          <w:color w:val="000000"/>
          <w:kern w:val="0"/>
          <w:sz w:val="44"/>
          <w:szCs w:val="44"/>
        </w:rPr>
        <w:t>养老服务领域政务公开标准目录</w:t>
      </w:r>
    </w:p>
    <w:tbl>
      <w:tblPr>
        <w:tblStyle w:val="7"/>
        <w:tblW w:w="134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761"/>
        <w:gridCol w:w="790"/>
        <w:gridCol w:w="1331"/>
        <w:gridCol w:w="3130"/>
        <w:gridCol w:w="597"/>
        <w:gridCol w:w="820"/>
        <w:gridCol w:w="1613"/>
        <w:gridCol w:w="573"/>
        <w:gridCol w:w="535"/>
        <w:gridCol w:w="516"/>
        <w:gridCol w:w="597"/>
        <w:gridCol w:w="862"/>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51"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 号</w:t>
            </w:r>
          </w:p>
        </w:tc>
        <w:tc>
          <w:tcPr>
            <w:tcW w:w="1551"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1331"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 xml:space="preserve">(要素)        </w:t>
            </w:r>
          </w:p>
        </w:tc>
        <w:tc>
          <w:tcPr>
            <w:tcW w:w="3130"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597"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820"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1613"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1108"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113"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1729"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51" w:type="dxa"/>
            <w:vMerge w:val="continue"/>
            <w:vAlign w:val="center"/>
          </w:tcPr>
          <w:p>
            <w:pPr>
              <w:overflowPunct w:val="0"/>
              <w:snapToGrid w:val="0"/>
              <w:jc w:val="left"/>
              <w:rPr>
                <w:rFonts w:ascii="宋体" w:hAnsi="宋体" w:eastAsia="宋体" w:cs="宋体"/>
                <w:b/>
                <w:bCs/>
                <w:color w:val="000000"/>
                <w:kern w:val="0"/>
                <w:sz w:val="18"/>
                <w:szCs w:val="18"/>
              </w:rPr>
            </w:pPr>
          </w:p>
        </w:tc>
        <w:tc>
          <w:tcPr>
            <w:tcW w:w="761"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   事项</w:t>
            </w:r>
          </w:p>
        </w:tc>
        <w:tc>
          <w:tcPr>
            <w:tcW w:w="790"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       事项</w:t>
            </w:r>
          </w:p>
        </w:tc>
        <w:tc>
          <w:tcPr>
            <w:tcW w:w="1331" w:type="dxa"/>
            <w:vMerge w:val="continue"/>
            <w:vAlign w:val="center"/>
          </w:tcPr>
          <w:p>
            <w:pPr>
              <w:overflowPunct w:val="0"/>
              <w:snapToGrid w:val="0"/>
              <w:jc w:val="left"/>
              <w:rPr>
                <w:rFonts w:ascii="宋体" w:hAnsi="宋体" w:eastAsia="宋体" w:cs="宋体"/>
                <w:b/>
                <w:bCs/>
                <w:color w:val="000000"/>
                <w:kern w:val="0"/>
                <w:sz w:val="18"/>
                <w:szCs w:val="18"/>
              </w:rPr>
            </w:pPr>
          </w:p>
        </w:tc>
        <w:tc>
          <w:tcPr>
            <w:tcW w:w="3130" w:type="dxa"/>
            <w:vMerge w:val="continue"/>
            <w:vAlign w:val="center"/>
          </w:tcPr>
          <w:p>
            <w:pPr>
              <w:overflowPunct w:val="0"/>
              <w:snapToGrid w:val="0"/>
              <w:jc w:val="left"/>
              <w:rPr>
                <w:rFonts w:ascii="宋体" w:hAnsi="宋体" w:eastAsia="宋体" w:cs="宋体"/>
                <w:b/>
                <w:bCs/>
                <w:color w:val="000000"/>
                <w:kern w:val="0"/>
                <w:sz w:val="18"/>
                <w:szCs w:val="18"/>
              </w:rPr>
            </w:pPr>
          </w:p>
        </w:tc>
        <w:tc>
          <w:tcPr>
            <w:tcW w:w="597" w:type="dxa"/>
            <w:vMerge w:val="continue"/>
            <w:vAlign w:val="center"/>
          </w:tcPr>
          <w:p>
            <w:pPr>
              <w:overflowPunct w:val="0"/>
              <w:snapToGrid w:val="0"/>
              <w:jc w:val="left"/>
              <w:rPr>
                <w:rFonts w:ascii="宋体" w:hAnsi="宋体" w:eastAsia="宋体" w:cs="宋体"/>
                <w:b/>
                <w:bCs/>
                <w:color w:val="000000"/>
                <w:kern w:val="0"/>
                <w:sz w:val="18"/>
                <w:szCs w:val="18"/>
              </w:rPr>
            </w:pPr>
          </w:p>
        </w:tc>
        <w:tc>
          <w:tcPr>
            <w:tcW w:w="820" w:type="dxa"/>
            <w:vMerge w:val="continue"/>
            <w:vAlign w:val="center"/>
          </w:tcPr>
          <w:p>
            <w:pPr>
              <w:overflowPunct w:val="0"/>
              <w:snapToGrid w:val="0"/>
              <w:jc w:val="left"/>
              <w:rPr>
                <w:rFonts w:ascii="宋体" w:hAnsi="宋体" w:eastAsia="宋体" w:cs="宋体"/>
                <w:b/>
                <w:bCs/>
                <w:color w:val="000000"/>
                <w:kern w:val="0"/>
                <w:sz w:val="18"/>
                <w:szCs w:val="18"/>
              </w:rPr>
            </w:pPr>
          </w:p>
        </w:tc>
        <w:tc>
          <w:tcPr>
            <w:tcW w:w="1613" w:type="dxa"/>
            <w:vMerge w:val="continue"/>
            <w:vAlign w:val="center"/>
          </w:tcPr>
          <w:p>
            <w:pPr>
              <w:overflowPunct w:val="0"/>
              <w:snapToGrid w:val="0"/>
              <w:jc w:val="left"/>
              <w:rPr>
                <w:rFonts w:ascii="宋体" w:hAnsi="宋体" w:eastAsia="宋体" w:cs="宋体"/>
                <w:b/>
                <w:bCs/>
                <w:color w:val="000000"/>
                <w:kern w:val="0"/>
                <w:sz w:val="18"/>
                <w:szCs w:val="18"/>
              </w:rPr>
            </w:pPr>
          </w:p>
        </w:tc>
        <w:tc>
          <w:tcPr>
            <w:tcW w:w="573"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社会</w:t>
            </w:r>
          </w:p>
        </w:tc>
        <w:tc>
          <w:tcPr>
            <w:tcW w:w="535"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516"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597"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申请</w:t>
            </w:r>
          </w:p>
        </w:tc>
        <w:tc>
          <w:tcPr>
            <w:tcW w:w="862"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区县级</w:t>
            </w:r>
          </w:p>
        </w:tc>
        <w:tc>
          <w:tcPr>
            <w:tcW w:w="867"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2"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法规政策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●发文部门</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●《养老机构管理办法》           ●《重庆市老年人权益保障条例》                        ●《重庆市养老机构管理办法》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制定或获取文件之日起10个工作日内</w:t>
            </w:r>
          </w:p>
        </w:tc>
        <w:tc>
          <w:tcPr>
            <w:tcW w:w="82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6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法规政策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政策文件</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●发文部门</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●《国务院办公厅关于全面放开养老服务市场提升养老服务质量的若干意见》                           ●《国务院办公厅关于推进养老服务发展的意见》                     ●《重庆市人民政府关于加快推进养老服务业发展的意见》              ●《重庆市人民政府办公厅关于全面放开养老服务市场提升养老服务质量的实施意见》                       ●《重庆市人民政府办公厅关于做好制定和实施老年人照顾服务项目工作的通知》                           ●《重庆市人民政府办公厅关于印发重庆市推进养老服务发展实施方案的通知》                             ●《重庆市民政局 重庆市财政局关于印发〈重庆市养老服务市级财政资金管理办法〉的通知》                       ●《重庆市民政局关于贯彻落实新修改的〈中华人民共和国老年人权益保障法〉和〈重庆市养老机构管理办法〉的通知》</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《彭水苗族土家族自治县人民政府办公室关于印发社区居家养老服务全覆盖实施方案的通知》</w:t>
            </w:r>
            <w:r>
              <w:rPr>
                <w:rFonts w:hint="eastAsia" w:ascii="宋体" w:hAnsi="宋体" w:eastAsia="宋体" w:cs="宋体"/>
                <w:color w:val="000000"/>
                <w:kern w:val="0"/>
                <w:sz w:val="18"/>
                <w:szCs w:val="18"/>
              </w:rPr>
              <w:t xml:space="preserve">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制定或获取文件之日起10个工作日内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6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法规政策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扶持政策措施清单</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●扶持政策措施名称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●扶持对象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●扶持政策措施内容和标准</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●《财政部 税务总局 发展改革委 民政部 卫生健康委关于养老、托育、家政等社区家庭服务业税费优惠政策的公告》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●《重庆市人民政府办公厅关于印发重庆市推进养老服务发展实施方案的通知》                                                                  ●《重庆市民政局 重庆话四财政局 重庆市卫生健康委员会 重庆市残疾人联合会关于印发老年人照顾服务计划实施方案的通知》                                                                                                   ●《重庆市民政局 重庆市财政局 重庆市卫生健康委员会 重庆市残疾人联合会关于印发失能特困人员集中照护工程实施方案的通知》                                 ●</w:t>
            </w:r>
            <w:r>
              <w:rPr>
                <w:rFonts w:hint="eastAsia" w:ascii="宋体" w:hAnsi="宋体" w:eastAsia="宋体" w:cs="宋体"/>
                <w:color w:val="000000"/>
                <w:kern w:val="0"/>
                <w:sz w:val="18"/>
                <w:szCs w:val="18"/>
                <w:lang w:eastAsia="zh-CN"/>
              </w:rPr>
              <w:t>《彭水苗族土家族自治县人民政府办公室关于印发失能贫困人员集中照护实施方案的通知》</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制定或获取扶持政策措施之日起10个工作日内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6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1"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法规政策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投资指南</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●本区域养老机构投资环境简介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●养老机构投资审批条件及依据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●养老机构投资审批涉及部门和联系方式</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制定或获取指南之日起10个工作日内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6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机构备案</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●备案申请材料清单及样式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●备案流程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●《重庆市养老机构管理办法》                                                               ●《重庆市民政局关于贯彻落实新修改的〈中华人民共和国老年人权益保障法〉和〈重庆市养老机构管理办法〉的通知》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制定或获取备案政策之日起10个工作日内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6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扶持补贴</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●养老服务扶持补贴名称（建设补贴、运营补贴等）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●各项养老服务扶持补贴申请条件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●各项养老服务扶持补贴内容和标准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●补贴申请材料清单及样式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●《重庆市养老机构管理办法》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●《重庆市民政局 重庆市财政局关于印发〈重庆市养老服务市级财政资金管理办法〉的通知》</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《彭水苗族土家族自治县人民政府办公室关于印发社区居家养老服务全覆盖实施方案的通知》</w:t>
            </w:r>
            <w:r>
              <w:rPr>
                <w:rFonts w:hint="eastAsia" w:ascii="宋体" w:hAnsi="宋体" w:eastAsia="宋体" w:cs="宋体"/>
                <w:color w:val="000000"/>
                <w:kern w:val="0"/>
                <w:sz w:val="18"/>
                <w:szCs w:val="18"/>
              </w:rPr>
              <w:t xml:space="preserve">                                                    ●信息公开规定  </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制定或获取扶持补贴政策之日起10个工作日内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6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5"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老年人补贴</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●老年人补贴名称（高龄津贴、养老服务补贴、护理补贴等）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●各项老年人补贴内容和标准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●补贴申请材料清单及格式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●《财政部 民政部 全国老龄办关于建立健全经济困难的高龄 失能等老年人补贴制度的通知》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制定或获取补贴政策之日起10个工作日内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民政局</w:t>
            </w:r>
            <w:r>
              <w:rPr>
                <w:rFonts w:hint="eastAsia" w:ascii="宋体" w:hAnsi="宋体" w:eastAsia="宋体" w:cs="宋体"/>
                <w:color w:val="000000"/>
                <w:kern w:val="0"/>
                <w:sz w:val="18"/>
                <w:szCs w:val="18"/>
              </w:rPr>
              <w:t>、乡镇人民政府（街道办事处）</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其他</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6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备案信息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●本行政区域已备案养老机构案数量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●本行政区域已备案养老机构名称、机构地址、床位数量等基本信息</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●《养老机构管理办法》            ●《重庆市老年人权益保障条例》                         ●《重庆市养老机构管理办法》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其他</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6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5"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扶持补贴信息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●本行政区域各项养老服务扶持补贴申请数量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●本行政区域各项养老服务扶持补贴申请审核通过数量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●本行政区域各项养老服务扶持补贴申请审核通过名单及补贴金额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●本行政区域各项养老服务扶持补贴发放总金额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●《财政部 税务总局 发展改革委 民政部 卫生健康委关于养老、托育、家政等社区家庭服务业税费优惠政策的公告》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●《重庆市人民政府办公厅关于印发重庆市推进养老服务发展实施方案的通知》                              ●《重庆市民政局 重庆市财政局 重庆市卫生健康委员会 重庆市残疾人联合会关于印发老年人照顾服务计划实施方案的通知》                        ●《重庆市民政局 重庆市财政局 重庆市卫生健康委员会 重庆市残疾人联合会关于印发失能特困人员集中照护工程实施方案的通知》</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《彭水苗族土家族自治县人民政府办公室关于印发失能贫困人员集中照护实施方案的通知》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民政局</w:t>
            </w:r>
          </w:p>
        </w:tc>
        <w:tc>
          <w:tcPr>
            <w:tcW w:w="161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其他</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6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9"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老年人申领和发放信息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●本行政区域各项老年人补贴申领数量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●本行政区域各项老年人补贴申领审核通过数量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●本行政区域各项老年人补贴申领审核通过名单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●本行政区域各项老年人补贴发放总金额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●《财政部 民政部 全国老龄办关于建立健全经济困难的高龄 失能等老年人补贴制度的通知》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w:t>
            </w:r>
          </w:p>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《彭水县民政局关于印发彭水县经济困难的高龄失能老人养老服务补贴发放工作指南的通知》</w:t>
            </w:r>
          </w:p>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《彭水县民政局关于印发彭水自治县农村留守老人扶贫关爱行动工作方案的通知》</w:t>
            </w:r>
          </w:p>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《彭水县民政局关于印发彭水自治县智力重度残疾人员集中托养工作方案的通知》</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《彭水县民政局关于印发彭水县贫困残疾人生活补贴和重度残疾人护理补贴发放工作指南的通知》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bookmarkStart w:id="0" w:name="_GoBack"/>
            <w:bookmarkEnd w:id="0"/>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其他</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6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机构评估信息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●本行政区域养老机构评估事项（综合评估、标准评定等）申请数量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●本行政区域养老机构评估总体结果（综合评估、标准评估等）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●本行政区域养老机构评估机构清单（综合评估、标准评估等）</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●《养老机构管理办法》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●《养老机构等级划分与评定》（GB/T37276-2018)                      ●《养老机构服务质量基本规范》（GB/T35796-2017）                   ●《重庆市养老机构管理办法》             ●《养老机构等级划分与评定》（DB50/T 908-2019）</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制定或获取评估结果之日起10个工作日内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发布会/听证会                                                                                                                                                                                              □广播电视    □纸质媒体                                                                                                                                                                                                   □公开查阅点  □政府服务中心                                                                                                                                                                                                    □便民服务站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其他</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6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●行政处罚事项及标准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●行政处罚结果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●行政复议、行政诉讼、监督方式及电话</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●《中华人民共和国行政强制法》、《中华人民共和国行政处罚法》及其他有关法律、行政法规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●《重庆市老年人权益保障条例》《重庆市养老机构管理办法》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行政处罚决定做出之日起5个工作日内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发布会/听证会                                                                                                                                                                                              □广播电视    □纸质媒体                                                                                                                                                                                                   □公开查阅点  □政府服务中心                                                                                                                                                                                                    □便民服务站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其他</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6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检查事项及标准、检查结果</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●《养老机构管理办法》               ●《重庆市老年人权益保障条例》                        ●《重庆市养老机构管理办法》                  ●《养老机构服务质量基本规范》（GB/T35796-2017）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检查结果做出之日起5个工作日内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发布会/听证会                                                                                                                                                                                              □广播电视    □纸质媒体                                                                                                                                                                                                   □公开查阅点  □政府服务中心                                                                                                                                                                                                    □便民服务站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其他</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6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行政奖励</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表彰事项、奖励事项</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●《养老机构管理办法》                       ●《农村五保供养工作条例》                       ●《重庆市养老机构管理办法》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获得表彰或奖励结果之日起5个工作日内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发布会/听证会                                                                                                                                                                                              □广播电视    □纸质媒体                                                                                                                                                                                                   □公开查阅点  □政府服务中心                                                                                                                                                                                                    □便民服务站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其他</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6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对养老服务收费项目及标准进行监督管理</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监督项目及标准</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●《重庆市老年人权益保障条例》                        ●《重庆市养老机构管理办法》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检查结果做出之日起5个工作日内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w:t>
            </w:r>
            <w:r>
              <w:rPr>
                <w:rFonts w:hint="eastAsia" w:ascii="宋体" w:hAnsi="宋体" w:eastAsia="宋体" w:cs="宋体"/>
                <w:color w:val="000000"/>
                <w:kern w:val="0"/>
                <w:sz w:val="18"/>
                <w:szCs w:val="18"/>
                <w:lang w:eastAsia="zh-CN"/>
              </w:rPr>
              <w:t>民政局</w:t>
            </w:r>
            <w:r>
              <w:rPr>
                <w:rFonts w:hint="eastAsia" w:ascii="宋体" w:hAnsi="宋体" w:eastAsia="宋体" w:cs="宋体"/>
                <w:color w:val="000000"/>
                <w:kern w:val="0"/>
                <w:sz w:val="18"/>
                <w:szCs w:val="18"/>
              </w:rPr>
              <w:t>、乡镇人民政府（街道办事处）</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发布会/听证会                                                                                                                                                                                              □广播电视    □纸质媒体                                                                                                                                                                                                   □公开查阅点  □政府服务中心                                                                                                                                                                                                    □便民服务站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其他</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6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6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pPr>
        <w:overflowPunct w:val="0"/>
        <w:adjustRightInd w:val="0"/>
        <w:snapToGrid w:val="0"/>
        <w:rPr>
          <w:sz w:val="28"/>
          <w:szCs w:val="32"/>
        </w:rPr>
      </w:pPr>
    </w:p>
    <w:sectPr>
      <w:headerReference r:id="rId4" w:type="first"/>
      <w:footerReference r:id="rId7" w:type="first"/>
      <w:footerReference r:id="rId5" w:type="default"/>
      <w:headerReference r:id="rId3" w:type="even"/>
      <w:footerReference r:id="rId6" w:type="even"/>
      <w:pgSz w:w="16838" w:h="11906" w:orient="landscape"/>
      <w:pgMar w:top="1531" w:right="2098" w:bottom="1531" w:left="1985" w:header="851" w:footer="1474" w:gutter="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pict>
        <v:shape id="_x0000_s34820" o:spid="_x0000_s34820" o:spt="202" type="#_x0000_t202" style="position:absolute;left:0pt;margin-left:-66.45pt;margin-top:-52.5pt;height:57pt;width:31.7pt;mso-wrap-distance-bottom:0pt;mso-wrap-distance-left:9pt;mso-wrap-distance-right:9pt;mso-wrap-distance-top:0pt;mso-wrap-style:none;z-index:251666432;mso-width-relative:page;mso-height-relative:page;" stroked="f" coordsize="21600,21600">
          <v:path/>
          <v:fill opacity="0f" focussize="0,0"/>
          <v:stroke on="f" joinstyle="miter"/>
          <v:imagedata o:title=""/>
          <o:lock v:ext="edit"/>
          <v:textbox style="layout-flow:vertical-ideographic;mso-fit-shape-to-text:t;">
            <w:txbxContent>
              <w:p>
                <w:pPr>
                  <w:pStyle w:val="5"/>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sz w:val="28"/>
                    <w:szCs w:val="28"/>
                  </w:rPr>
                  <w:t xml:space="preserve"> —</w:t>
                </w:r>
              </w:p>
            </w:txbxContent>
          </v:textbox>
          <w10:wrap type="squar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4821" o:spid="_x0000_s34821" o:spt="202" type="#_x0000_t202" style="position:absolute;left:0pt;margin-left:-65.25pt;margin-top:36.95pt;height:57pt;width:31.7pt;mso-wrap-distance-bottom:0pt;mso-wrap-distance-left:9pt;mso-wrap-distance-right:9pt;mso-wrap-distance-top:0pt;mso-wrap-style:none;z-index:251668480;mso-width-relative:page;mso-height-relative:page;" stroked="f" coordsize="21600,21600">
          <v:path/>
          <v:fill opacity="0f" focussize="0,0"/>
          <v:stroke on="f" joinstyle="miter"/>
          <v:imagedata o:title=""/>
          <o:lock v:ext="edit"/>
          <v:textbox style="layout-flow:vertical-ideographic;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sz w:val="28"/>
                    <w:szCs w:val="28"/>
                  </w:rPr>
                  <w:t xml:space="preserve"> —</w:t>
                </w:r>
              </w:p>
            </w:txbxContent>
          </v:textbox>
          <w10:wrap type="squar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4819" o:spid="_x0000_s34819" o:spt="202" type="#_x0000_t202" style="position:absolute;left:0pt;margin-left:-54.75pt;margin-top:33.2pt;height:57pt;width:31.7pt;mso-wrap-distance-bottom:0pt;mso-wrap-distance-left:9pt;mso-wrap-distance-right:9pt;mso-wrap-distance-top:0pt;mso-wrap-style:none;z-index:251664384;mso-width-relative:page;mso-height-relative:page;" stroked="f" coordsize="21600,21600">
          <v:path/>
          <v:fill opacity="0f" focussize="0,0"/>
          <v:stroke on="f" joinstyle="miter"/>
          <v:imagedata o:title=""/>
          <o:lock v:ext="edit"/>
          <v:textbox style="layout-flow:vertical-ideographic;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sz w:val="28"/>
                    <w:szCs w:val="28"/>
                  </w:rPr>
                  <w:t xml:space="preserve"> —</w:t>
                </w:r>
              </w:p>
            </w:txbxContent>
          </v:textbox>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6056"/>
    <w:rsid w:val="00023CCD"/>
    <w:rsid w:val="00114327"/>
    <w:rsid w:val="00136381"/>
    <w:rsid w:val="00194C0A"/>
    <w:rsid w:val="001C5EA9"/>
    <w:rsid w:val="001D5FDC"/>
    <w:rsid w:val="001E7F0B"/>
    <w:rsid w:val="001F6056"/>
    <w:rsid w:val="002512FC"/>
    <w:rsid w:val="002B71E8"/>
    <w:rsid w:val="002C7F60"/>
    <w:rsid w:val="002F10A2"/>
    <w:rsid w:val="00310579"/>
    <w:rsid w:val="00366A2B"/>
    <w:rsid w:val="003A465C"/>
    <w:rsid w:val="003D2CB3"/>
    <w:rsid w:val="00441CBB"/>
    <w:rsid w:val="00446647"/>
    <w:rsid w:val="00503DCC"/>
    <w:rsid w:val="005316B2"/>
    <w:rsid w:val="00553D6B"/>
    <w:rsid w:val="00555B1D"/>
    <w:rsid w:val="00582C00"/>
    <w:rsid w:val="005A47A1"/>
    <w:rsid w:val="005C4F1D"/>
    <w:rsid w:val="005D64ED"/>
    <w:rsid w:val="00607DA4"/>
    <w:rsid w:val="0063703F"/>
    <w:rsid w:val="006623ED"/>
    <w:rsid w:val="006870C5"/>
    <w:rsid w:val="006C12C4"/>
    <w:rsid w:val="00765B5C"/>
    <w:rsid w:val="00791120"/>
    <w:rsid w:val="007D517F"/>
    <w:rsid w:val="00811145"/>
    <w:rsid w:val="00884C26"/>
    <w:rsid w:val="00977BF8"/>
    <w:rsid w:val="009A4A8E"/>
    <w:rsid w:val="009C0738"/>
    <w:rsid w:val="009D2046"/>
    <w:rsid w:val="009E128E"/>
    <w:rsid w:val="009E4005"/>
    <w:rsid w:val="009F73D6"/>
    <w:rsid w:val="00A46FBD"/>
    <w:rsid w:val="00B009C6"/>
    <w:rsid w:val="00B03DC0"/>
    <w:rsid w:val="00B26CC8"/>
    <w:rsid w:val="00CC25ED"/>
    <w:rsid w:val="00CE0B7B"/>
    <w:rsid w:val="00D43900"/>
    <w:rsid w:val="00D450EC"/>
    <w:rsid w:val="00DC0EDA"/>
    <w:rsid w:val="00DD46AA"/>
    <w:rsid w:val="00DE2CCF"/>
    <w:rsid w:val="00E3734B"/>
    <w:rsid w:val="00E71357"/>
    <w:rsid w:val="00F41570"/>
    <w:rsid w:val="00F847F8"/>
    <w:rsid w:val="00F9032F"/>
    <w:rsid w:val="00FA1B26"/>
    <w:rsid w:val="00FD6340"/>
    <w:rsid w:val="00FE7891"/>
    <w:rsid w:val="0A6A5EA8"/>
    <w:rsid w:val="14E00391"/>
    <w:rsid w:val="17994E82"/>
    <w:rsid w:val="1850476F"/>
    <w:rsid w:val="1AA94818"/>
    <w:rsid w:val="221E4EC3"/>
    <w:rsid w:val="3F750828"/>
    <w:rsid w:val="50161C49"/>
    <w:rsid w:val="5836057E"/>
    <w:rsid w:val="584B0E23"/>
    <w:rsid w:val="5C660AF2"/>
    <w:rsid w:val="65F857DF"/>
    <w:rsid w:val="6B4D7452"/>
    <w:rsid w:val="6BC41111"/>
    <w:rsid w:val="756F295E"/>
    <w:rsid w:val="77306712"/>
    <w:rsid w:val="7CD115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uiPriority w:val="0"/>
    <w:pPr>
      <w:ind w:left="100" w:leftChars="100" w:right="100" w:rightChars="100"/>
    </w:pPr>
    <w:rPr>
      <w:szCs w:val="32"/>
    </w:rPr>
  </w:style>
  <w:style w:type="paragraph" w:styleId="3">
    <w:name w:val="Date"/>
    <w:basedOn w:val="1"/>
    <w:next w:val="1"/>
    <w:link w:val="12"/>
    <w:semiHidden/>
    <w:unhideWhenUsed/>
    <w:uiPriority w:val="99"/>
    <w:pPr>
      <w:ind w:left="100" w:leftChars="2500"/>
    </w:pPr>
  </w:style>
  <w:style w:type="paragraph" w:styleId="4">
    <w:name w:val="Balloon Text"/>
    <w:basedOn w:val="1"/>
    <w:link w:val="9"/>
    <w:semiHidden/>
    <w:unhideWhenUsed/>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Char"/>
    <w:basedOn w:val="8"/>
    <w:link w:val="4"/>
    <w:semiHidden/>
    <w:qFormat/>
    <w:uiPriority w:val="99"/>
    <w:rPr>
      <w:rFonts w:ascii="Times New Roman" w:hAnsi="Times New Roman" w:eastAsia="方正仿宋_GBK" w:cs="Times New Roman"/>
      <w:sz w:val="18"/>
      <w:szCs w:val="18"/>
    </w:rPr>
  </w:style>
  <w:style w:type="character" w:customStyle="1" w:styleId="10">
    <w:name w:val="页脚 Char"/>
    <w:basedOn w:val="8"/>
    <w:link w:val="5"/>
    <w:qFormat/>
    <w:uiPriority w:val="99"/>
    <w:rPr>
      <w:rFonts w:ascii="Times New Roman" w:hAnsi="Times New Roman" w:eastAsia="方正仿宋_GBK" w:cs="Times New Roman"/>
      <w:sz w:val="18"/>
      <w:szCs w:val="18"/>
    </w:rPr>
  </w:style>
  <w:style w:type="character" w:customStyle="1" w:styleId="11">
    <w:name w:val="正文文本 Char"/>
    <w:basedOn w:val="8"/>
    <w:link w:val="2"/>
    <w:qFormat/>
    <w:uiPriority w:val="0"/>
    <w:rPr>
      <w:rFonts w:ascii="Times New Roman" w:hAnsi="Times New Roman" w:eastAsia="方正仿宋_GBK" w:cs="Times New Roman"/>
      <w:sz w:val="32"/>
      <w:szCs w:val="32"/>
    </w:rPr>
  </w:style>
  <w:style w:type="character" w:customStyle="1" w:styleId="12">
    <w:name w:val="日期 Char"/>
    <w:basedOn w:val="8"/>
    <w:link w:val="3"/>
    <w:semiHidden/>
    <w:qFormat/>
    <w:uiPriority w:val="99"/>
    <w:rPr>
      <w:rFonts w:ascii="Times New Roman" w:hAnsi="Times New Roman" w:eastAsia="方正仿宋_GBK" w:cs="Times New Roman"/>
      <w:sz w:val="32"/>
      <w:szCs w:val="20"/>
    </w:rPr>
  </w:style>
  <w:style w:type="character" w:customStyle="1" w:styleId="13">
    <w:name w:val="页眉 Char"/>
    <w:basedOn w:val="8"/>
    <w:link w:val="6"/>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4821"/>
    <customShpInfo spid="_x0000_s34819"/>
    <customShpInfo spid="_x0000_s348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14</Pages>
  <Words>4004</Words>
  <Characters>22823</Characters>
  <Lines>190</Lines>
  <Paragraphs>53</Paragraphs>
  <TotalTime>1</TotalTime>
  <ScaleCrop>false</ScaleCrop>
  <LinksUpToDate>false</LinksUpToDate>
  <CharactersWithSpaces>26774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SkyUser</dc:creator>
  <cp:lastModifiedBy>Administrator</cp:lastModifiedBy>
  <cp:lastPrinted>2020-07-24T02:54:00Z</cp:lastPrinted>
  <dcterms:modified xsi:type="dcterms:W3CDTF">2020-10-21T05:29:42Z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